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olor w:val="538135" w:themeColor="accent6" w:themeShade="BF"/>
        </w:rPr>
        <w:id w:val="1295100865"/>
        <w:docPartObj>
          <w:docPartGallery w:val="Cover Pages"/>
          <w:docPartUnique/>
        </w:docPartObj>
      </w:sdtPr>
      <w:sdtEndPr>
        <w:rPr>
          <w:rFonts w:ascii="Arial" w:hAnsi="Arial" w:cs="Arial"/>
          <w:sz w:val="24"/>
          <w:szCs w:val="24"/>
        </w:rPr>
      </w:sdtEndPr>
      <w:sdtContent>
        <w:p w14:paraId="79995630" w14:textId="77777777" w:rsidR="0042308F" w:rsidRPr="00677AB0" w:rsidRDefault="0042308F" w:rsidP="0042308F">
          <w:pPr>
            <w:tabs>
              <w:tab w:val="left" w:pos="1605"/>
            </w:tabs>
            <w:jc w:val="center"/>
            <w:rPr>
              <w:caps/>
              <w:color w:val="FFFFFF" w:themeColor="background1"/>
            </w:rPr>
          </w:pPr>
          <w:r w:rsidRPr="00677AB0">
            <w:rPr>
              <w:rFonts w:ascii="Arial" w:hAnsi="Arial" w:cs="Arial"/>
              <w:noProof/>
              <w:color w:val="FFFFFF" w:themeColor="background1"/>
              <w:sz w:val="24"/>
              <w:szCs w:val="24"/>
              <w:lang w:eastAsia="hr-HR"/>
            </w:rPr>
            <mc:AlternateContent>
              <mc:Choice Requires="wpg">
                <w:drawing>
                  <wp:anchor distT="0" distB="0" distL="114300" distR="114300" simplePos="0" relativeHeight="251659264" behindDoc="1" locked="0" layoutInCell="1" allowOverlap="1" wp14:anchorId="534BC9E7" wp14:editId="1D8D878D">
                    <wp:simplePos x="0" y="0"/>
                    <wp:positionH relativeFrom="margin">
                      <wp:posOffset>-668867</wp:posOffset>
                    </wp:positionH>
                    <wp:positionV relativeFrom="margin">
                      <wp:posOffset>-441326</wp:posOffset>
                    </wp:positionV>
                    <wp:extent cx="7058025" cy="9863667"/>
                    <wp:effectExtent l="0" t="0" r="9525" b="4445"/>
                    <wp:wrapNone/>
                    <wp:docPr id="193" name="Group 193"/>
                    <wp:cNvGraphicFramePr/>
                    <a:graphic xmlns:a="http://schemas.openxmlformats.org/drawingml/2006/main">
                      <a:graphicData uri="http://schemas.microsoft.com/office/word/2010/wordprocessingGroup">
                        <wpg:wgp>
                          <wpg:cNvGrpSpPr/>
                          <wpg:grpSpPr>
                            <a:xfrm>
                              <a:off x="0" y="0"/>
                              <a:ext cx="7058025" cy="9863667"/>
                              <a:chOff x="-28575" y="0"/>
                              <a:chExt cx="7058025" cy="9724395"/>
                            </a:xfrm>
                          </wpg:grpSpPr>
                          <wps:wsp>
                            <wps:cNvPr id="194" name="Rectangle 194"/>
                            <wps:cNvSpPr/>
                            <wps:spPr>
                              <a:xfrm>
                                <a:off x="6824" y="0"/>
                                <a:ext cx="7022626" cy="1371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8575" y="7427595"/>
                                <a:ext cx="6933600" cy="22968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7897E9" w14:textId="77777777" w:rsidR="00C73F9B" w:rsidRDefault="00C73F9B" w:rsidP="0042308F">
                                  <w:pPr>
                                    <w:pStyle w:val="NoSpacing"/>
                                    <w:spacing w:before="120"/>
                                    <w:jc w:val="center"/>
                                    <w:rPr>
                                      <w:color w:val="FFFFFF" w:themeColor="background1"/>
                                    </w:rPr>
                                  </w:pPr>
                                </w:p>
                                <w:p w14:paraId="0D689CB7" w14:textId="77777777" w:rsidR="00C73F9B" w:rsidRDefault="00C73F9B" w:rsidP="0042308F">
                                  <w:pPr>
                                    <w:pStyle w:val="NoSpacing"/>
                                    <w:spacing w:before="120"/>
                                    <w:jc w:val="center"/>
                                    <w:rPr>
                                      <w:color w:val="FFFFFF" w:themeColor="background1"/>
                                    </w:rPr>
                                  </w:pPr>
                                  <w:r>
                                    <w:rPr>
                                      <w:color w:val="FFFFFF" w:themeColor="background1"/>
                                    </w:rPr>
                                    <w:t> </w:t>
                                  </w:r>
                                </w:p>
                                <w:p w14:paraId="0150CE82" w14:textId="77777777" w:rsidR="00C73F9B" w:rsidRDefault="00C73F9B" w:rsidP="0042308F">
                                  <w:pPr>
                                    <w:pStyle w:val="NoSpacing"/>
                                    <w:spacing w:before="120"/>
                                    <w:jc w:val="center"/>
                                    <w:rPr>
                                      <w:color w:val="FFFFFF" w:themeColor="background1"/>
                                    </w:rPr>
                                  </w:pPr>
                                  <w:r w:rsidRPr="00425A2B">
                                    <w:rPr>
                                      <w:color w:val="FFFFFF" w:themeColor="background1"/>
                                    </w:rPr>
                                    <w:t xml:space="preserve">Sarajevo, </w:t>
                                  </w:r>
                                  <w:r>
                                    <w:rPr>
                                      <w:color w:val="FFFFFF" w:themeColor="background1"/>
                                    </w:rPr>
                                    <w:t>svibanj</w:t>
                                  </w:r>
                                  <w:r w:rsidRPr="00425A2B">
                                    <w:rPr>
                                      <w:color w:val="FFFFFF" w:themeColor="background1"/>
                                      <w:lang w:val="hr-BA"/>
                                    </w:rPr>
                                    <w:t xml:space="preserve"> </w:t>
                                  </w:r>
                                  <w:r w:rsidRPr="00425A2B">
                                    <w:rPr>
                                      <w:color w:val="FFFFFF" w:themeColor="background1"/>
                                    </w:rPr>
                                    <w:t>2024.</w:t>
                                  </w:r>
                                </w:p>
                                <w:p w14:paraId="140F0348" w14:textId="77777777" w:rsidR="00C73F9B" w:rsidRDefault="00C73F9B" w:rsidP="0042308F">
                                  <w:pPr>
                                    <w:pStyle w:val="NoSpacing"/>
                                    <w:spacing w:before="120"/>
                                    <w:jc w:val="center"/>
                                    <w:rPr>
                                      <w:color w:val="FFFFFF" w:themeColor="background1"/>
                                    </w:rPr>
                                  </w:pPr>
                                  <w:r>
                                    <w:rPr>
                                      <w:color w:val="FFFFFF" w:themeColor="background1"/>
                                    </w:rPr>
                                    <w:t> www.fmf.gov.ba</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A51C9" w14:textId="77777777" w:rsidR="00C73F9B" w:rsidRPr="00BF51BB" w:rsidRDefault="00C73F9B" w:rsidP="0042308F">
                                  <w:pPr>
                                    <w:pStyle w:val="NoSpacing"/>
                                    <w:jc w:val="center"/>
                                    <w:rPr>
                                      <w:rFonts w:asciiTheme="majorHAnsi" w:eastAsiaTheme="majorEastAsia" w:hAnsiTheme="majorHAnsi" w:cstheme="majorBidi"/>
                                      <w:caps/>
                                      <w:color w:val="5B9BD5" w:themeColor="accent1"/>
                                      <w:sz w:val="72"/>
                                      <w:szCs w:val="72"/>
                                      <w:lang w:val="hr-HR"/>
                                    </w:rPr>
                                  </w:pPr>
                                  <w:r w:rsidRPr="0042308F">
                                    <w:rPr>
                                      <w:rFonts w:asciiTheme="majorHAnsi" w:eastAsiaTheme="majorEastAsia" w:hAnsiTheme="majorHAnsi" w:cstheme="majorBidi"/>
                                      <w:caps/>
                                      <w:color w:val="5B9BD5" w:themeColor="accent1"/>
                                      <w:sz w:val="72"/>
                                      <w:szCs w:val="72"/>
                                      <w:lang w:val="hr-HR"/>
                                    </w:rPr>
                                    <w:t>STRATEGIJA UPRAVLJANJA DUGOM 2024-2026.</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4BC9E7" id="Group 193" o:spid="_x0000_s1026" style="position:absolute;left:0;text-align:left;margin-left:-52.65pt;margin-top:-34.75pt;width:555.75pt;height:776.65pt;z-index:-251657216;mso-position-horizontal-relative:margin;mso-position-vertical-relative:margin" coordorigin="-285" coordsize="70580,9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">
                    <v:rect id="Rectangle 194" o:spid="_x0000_s1027" style="position:absolute;left:68;width:702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" fillcolor="#bdd6ee [1300]" stroked="f" strokeweight="1pt"/>
                    <v:rect id="Rectangle 195" o:spid="_x0000_s1028" style="position:absolute;left:-285;top:74275;width:69335;height:22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" fillcolor="#bdd6ee [1300]" stroked="f" strokeweight="1pt">
                      <v:textbox inset="36pt,57.6pt,36pt,36pt">
                        <w:txbxContent>
                          <w:p w14:paraId="607897E9" w14:textId="77777777" w:rsidR="00C73F9B" w:rsidRDefault="00C73F9B" w:rsidP="0042308F">
                            <w:pPr>
                              <w:pStyle w:val="NoSpacing"/>
                              <w:spacing w:before="120"/>
                              <w:jc w:val="center"/>
                              <w:rPr>
                                <w:color w:val="FFFFFF" w:themeColor="background1"/>
                              </w:rPr>
                            </w:pPr>
                          </w:p>
                          <w:p w14:paraId="0D689CB7" w14:textId="77777777" w:rsidR="00C73F9B" w:rsidRDefault="00C73F9B" w:rsidP="0042308F">
                            <w:pPr>
                              <w:pStyle w:val="NoSpacing"/>
                              <w:spacing w:before="120"/>
                              <w:jc w:val="center"/>
                              <w:rPr>
                                <w:color w:val="FFFFFF" w:themeColor="background1"/>
                              </w:rPr>
                            </w:pPr>
                            <w:r>
                              <w:rPr>
                                <w:color w:val="FFFFFF" w:themeColor="background1"/>
                              </w:rPr>
                              <w:t> </w:t>
                            </w:r>
                          </w:p>
                          <w:p w14:paraId="0150CE82" w14:textId="77777777" w:rsidR="00C73F9B" w:rsidRDefault="00C73F9B" w:rsidP="0042308F">
                            <w:pPr>
                              <w:pStyle w:val="NoSpacing"/>
                              <w:spacing w:before="120"/>
                              <w:jc w:val="center"/>
                              <w:rPr>
                                <w:color w:val="FFFFFF" w:themeColor="background1"/>
                              </w:rPr>
                            </w:pPr>
                            <w:r w:rsidRPr="00425A2B">
                              <w:rPr>
                                <w:color w:val="FFFFFF" w:themeColor="background1"/>
                              </w:rPr>
                              <w:t xml:space="preserve">Sarajevo, </w:t>
                            </w:r>
                            <w:r>
                              <w:rPr>
                                <w:color w:val="FFFFFF" w:themeColor="background1"/>
                              </w:rPr>
                              <w:t>svibanj</w:t>
                            </w:r>
                            <w:r w:rsidRPr="00425A2B">
                              <w:rPr>
                                <w:color w:val="FFFFFF" w:themeColor="background1"/>
                                <w:lang w:val="hr-BA"/>
                              </w:rPr>
                              <w:t xml:space="preserve"> </w:t>
                            </w:r>
                            <w:r w:rsidRPr="00425A2B">
                              <w:rPr>
                                <w:color w:val="FFFFFF" w:themeColor="background1"/>
                              </w:rPr>
                              <w:t>2024.</w:t>
                            </w:r>
                          </w:p>
                          <w:p w14:paraId="140F0348" w14:textId="77777777" w:rsidR="00C73F9B" w:rsidRDefault="00C73F9B" w:rsidP="0042308F">
                            <w:pPr>
                              <w:pStyle w:val="NoSpacing"/>
                              <w:spacing w:before="120"/>
                              <w:jc w:val="center"/>
                              <w:rPr>
                                <w:color w:val="FFFFFF" w:themeColor="background1"/>
                              </w:rPr>
                            </w:pPr>
                            <w:r>
                              <w:rPr>
                                <w:color w:val="FFFFFF" w:themeColor="background1"/>
                              </w:rPr>
                              <w:t> www.fmf.gov.ba</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032A51C9" w14:textId="77777777" w:rsidR="00C73F9B" w:rsidRPr="00BF51BB" w:rsidRDefault="00C73F9B" w:rsidP="0042308F">
                            <w:pPr>
                              <w:pStyle w:val="NoSpacing"/>
                              <w:jc w:val="center"/>
                              <w:rPr>
                                <w:rFonts w:asciiTheme="majorHAnsi" w:eastAsiaTheme="majorEastAsia" w:hAnsiTheme="majorHAnsi" w:cstheme="majorBidi"/>
                                <w:caps/>
                                <w:color w:val="5B9BD5" w:themeColor="accent1"/>
                                <w:sz w:val="72"/>
                                <w:szCs w:val="72"/>
                                <w:lang w:val="hr-HR"/>
                              </w:rPr>
                            </w:pPr>
                            <w:r w:rsidRPr="0042308F">
                              <w:rPr>
                                <w:rFonts w:asciiTheme="majorHAnsi" w:eastAsiaTheme="majorEastAsia" w:hAnsiTheme="majorHAnsi" w:cstheme="majorBidi"/>
                                <w:caps/>
                                <w:color w:val="5B9BD5" w:themeColor="accent1"/>
                                <w:sz w:val="72"/>
                                <w:szCs w:val="72"/>
                                <w:lang w:val="hr-HR"/>
                              </w:rPr>
                              <w:t>STRATEGIJA UPRAVLJANJA DUGOM 2024-2026.</w:t>
                            </w:r>
                          </w:p>
                        </w:txbxContent>
                      </v:textbox>
                    </v:shape>
                    <w10:wrap anchorx="margin" anchory="margin"/>
                  </v:group>
                </w:pict>
              </mc:Fallback>
            </mc:AlternateContent>
          </w:r>
          <w:r w:rsidRPr="00677AB0">
            <w:rPr>
              <w:rFonts w:ascii="Arial" w:hAnsi="Arial" w:cs="Arial"/>
              <w:noProof/>
              <w:color w:val="FFFFFF" w:themeColor="background1"/>
              <w:sz w:val="24"/>
              <w:szCs w:val="24"/>
              <w:lang w:eastAsia="hr-HR"/>
            </w:rPr>
            <mc:AlternateContent>
              <mc:Choice Requires="wps">
                <w:drawing>
                  <wp:anchor distT="0" distB="0" distL="114300" distR="114300" simplePos="0" relativeHeight="251660288" behindDoc="0" locked="0" layoutInCell="1" allowOverlap="1" wp14:anchorId="5995DD86" wp14:editId="65604B73">
                    <wp:simplePos x="0" y="0"/>
                    <wp:positionH relativeFrom="margin">
                      <wp:posOffset>238126</wp:posOffset>
                    </wp:positionH>
                    <wp:positionV relativeFrom="paragraph">
                      <wp:posOffset>3981450</wp:posOffset>
                    </wp:positionV>
                    <wp:extent cx="5238750" cy="30289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238750" cy="302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413DB" w14:textId="77777777" w:rsidR="00C73F9B" w:rsidRDefault="00C73F9B" w:rsidP="0042308F">
                                <w:pPr>
                                  <w:ind w:hanging="284"/>
                                  <w:jc w:val="center"/>
                                </w:pPr>
                                <w:r>
                                  <w:rPr>
                                    <w:noProof/>
                                    <w:lang w:eastAsia="hr-HR"/>
                                  </w:rPr>
                                  <w:drawing>
                                    <wp:inline distT="0" distB="0" distL="0" distR="0" wp14:anchorId="576EEFF3" wp14:editId="55F834A3">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7">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95DD86" id="Text Box 19" o:spid="_x0000_s1030" type="#_x0000_t202" style="position:absolute;left:0;text-align:left;margin-left:18.75pt;margin-top:313.5pt;width:412.5pt;height:23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" fillcolor="white [3201]" stroked="f" strokeweight=".5pt">
                    <v:textbox>
                      <w:txbxContent>
                        <w:p w14:paraId="7D4413DB" w14:textId="77777777" w:rsidR="00C73F9B" w:rsidRDefault="00C73F9B" w:rsidP="0042308F">
                          <w:pPr>
                            <w:ind w:hanging="284"/>
                            <w:jc w:val="center"/>
                          </w:pPr>
                          <w:r>
                            <w:rPr>
                              <w:noProof/>
                              <w:lang w:eastAsia="hr-HR"/>
                            </w:rPr>
                            <w:drawing>
                              <wp:inline distT="0" distB="0" distL="0" distR="0" wp14:anchorId="576EEFF3" wp14:editId="55F834A3">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8">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v:textbox>
                    <w10:wrap anchorx="margin"/>
                  </v:shape>
                </w:pict>
              </mc:Fallback>
            </mc:AlternateContent>
          </w:r>
          <w:r w:rsidRPr="00677AB0">
            <w:rPr>
              <w:rFonts w:ascii="Arial" w:hAnsi="Arial" w:cs="Arial"/>
              <w:color w:val="FFFFFF" w:themeColor="background1"/>
              <w:sz w:val="24"/>
              <w:szCs w:val="24"/>
            </w:rPr>
            <w:t xml:space="preserve">BOSNA I HERCEGOVINA                                                                                                                                  FEDERACIJA BOSNE I HERCEGOVINE                                                                                                        FEDERALNO MINISTARSTVO </w:t>
          </w:r>
          <w:r>
            <w:rPr>
              <w:rFonts w:ascii="Arial" w:hAnsi="Arial" w:cs="Arial"/>
              <w:color w:val="FFFFFF" w:themeColor="background1"/>
              <w:sz w:val="24"/>
              <w:szCs w:val="24"/>
            </w:rPr>
            <w:t>FINANC</w:t>
          </w:r>
          <w:r w:rsidRPr="00677AB0">
            <w:rPr>
              <w:rFonts w:ascii="Arial" w:hAnsi="Arial" w:cs="Arial"/>
              <w:color w:val="FFFFFF" w:themeColor="background1"/>
              <w:sz w:val="24"/>
              <w:szCs w:val="24"/>
            </w:rPr>
            <w:t>IJA                                                                                                      FEDERALNO MINISTARSTVO FINAN</w:t>
          </w:r>
          <w:r>
            <w:rPr>
              <w:rFonts w:ascii="Arial" w:hAnsi="Arial" w:cs="Arial"/>
              <w:color w:val="FFFFFF" w:themeColor="background1"/>
              <w:sz w:val="24"/>
              <w:szCs w:val="24"/>
            </w:rPr>
            <w:t>S</w:t>
          </w:r>
          <w:r w:rsidRPr="00677AB0">
            <w:rPr>
              <w:rFonts w:ascii="Arial" w:hAnsi="Arial" w:cs="Arial"/>
              <w:color w:val="FFFFFF" w:themeColor="background1"/>
              <w:sz w:val="24"/>
              <w:szCs w:val="24"/>
            </w:rPr>
            <w:t>IJA</w:t>
          </w:r>
          <w:r w:rsidRPr="00677AB0">
            <w:rPr>
              <w:caps/>
              <w:color w:val="FFFFFF" w:themeColor="background1"/>
            </w:rPr>
            <w:t xml:space="preserve"> </w:t>
          </w:r>
        </w:p>
        <w:p w14:paraId="0A8C6A66" w14:textId="77777777" w:rsidR="0042308F" w:rsidRPr="00677AB0" w:rsidRDefault="0042308F" w:rsidP="0042308F">
          <w:pPr>
            <w:tabs>
              <w:tab w:val="left" w:pos="1605"/>
            </w:tabs>
            <w:jc w:val="center"/>
            <w:rPr>
              <w:caps/>
              <w:color w:val="FFFFFF" w:themeColor="background1"/>
            </w:rPr>
          </w:pPr>
        </w:p>
        <w:p w14:paraId="47DA8161" w14:textId="77777777" w:rsidR="0042308F" w:rsidRPr="00677AB0" w:rsidRDefault="0042308F" w:rsidP="0042308F">
          <w:pPr>
            <w:tabs>
              <w:tab w:val="left" w:pos="1605"/>
            </w:tabs>
            <w:jc w:val="center"/>
            <w:rPr>
              <w:caps/>
              <w:color w:val="FFFFFF" w:themeColor="background1"/>
            </w:rPr>
          </w:pPr>
        </w:p>
        <w:p w14:paraId="24A2342A" w14:textId="77777777" w:rsidR="0042308F" w:rsidRPr="00677AB0" w:rsidRDefault="0042308F" w:rsidP="0042308F">
          <w:pPr>
            <w:tabs>
              <w:tab w:val="left" w:pos="855"/>
              <w:tab w:val="left" w:pos="1605"/>
            </w:tabs>
            <w:rPr>
              <w:caps/>
              <w:color w:val="FFFFFF" w:themeColor="background1"/>
            </w:rPr>
          </w:pPr>
          <w:r w:rsidRPr="00677AB0">
            <w:rPr>
              <w:caps/>
              <w:color w:val="FFFFFF" w:themeColor="background1"/>
            </w:rPr>
            <w:tab/>
          </w:r>
          <w:r w:rsidRPr="00677AB0">
            <w:rPr>
              <w:caps/>
              <w:color w:val="FFFFFF" w:themeColor="background1"/>
            </w:rPr>
            <w:tab/>
          </w:r>
        </w:p>
        <w:p w14:paraId="7DB8057F" w14:textId="77777777" w:rsidR="0042308F" w:rsidRPr="00677AB0" w:rsidRDefault="0042308F" w:rsidP="0042308F">
          <w:pPr>
            <w:tabs>
              <w:tab w:val="left" w:pos="1605"/>
            </w:tabs>
            <w:jc w:val="center"/>
            <w:rPr>
              <w:caps/>
              <w:color w:val="FFFFFF" w:themeColor="background1"/>
            </w:rPr>
          </w:pPr>
        </w:p>
        <w:p w14:paraId="17B7DBF7" w14:textId="77777777" w:rsidR="0042308F" w:rsidRPr="00677AB0" w:rsidRDefault="0042308F" w:rsidP="0042308F">
          <w:pPr>
            <w:tabs>
              <w:tab w:val="left" w:pos="1605"/>
            </w:tabs>
            <w:jc w:val="center"/>
            <w:rPr>
              <w:caps/>
              <w:color w:val="FFFFFF" w:themeColor="background1"/>
            </w:rPr>
          </w:pPr>
        </w:p>
        <w:p w14:paraId="037E4BE8" w14:textId="77777777" w:rsidR="0042308F" w:rsidRPr="00677AB0" w:rsidRDefault="0042308F" w:rsidP="0042308F">
          <w:pPr>
            <w:tabs>
              <w:tab w:val="left" w:pos="1605"/>
              <w:tab w:val="left" w:pos="3790"/>
              <w:tab w:val="left" w:pos="6083"/>
            </w:tabs>
            <w:rPr>
              <w:caps/>
              <w:color w:val="FFFFFF" w:themeColor="background1"/>
            </w:rPr>
          </w:pPr>
          <w:r w:rsidRPr="00677AB0">
            <w:rPr>
              <w:caps/>
              <w:color w:val="FFFFFF" w:themeColor="background1"/>
            </w:rPr>
            <w:tab/>
          </w:r>
          <w:r w:rsidRPr="00677AB0">
            <w:rPr>
              <w:caps/>
              <w:color w:val="FFFFFF" w:themeColor="background1"/>
            </w:rPr>
            <w:tab/>
          </w:r>
        </w:p>
        <w:p w14:paraId="1F32A719" w14:textId="77777777" w:rsidR="0042308F" w:rsidRPr="00677AB0" w:rsidRDefault="0042308F" w:rsidP="0042308F">
          <w:pPr>
            <w:tabs>
              <w:tab w:val="left" w:pos="1605"/>
              <w:tab w:val="left" w:pos="4159"/>
            </w:tabs>
            <w:rPr>
              <w:caps/>
              <w:color w:val="FFFFFF" w:themeColor="background1"/>
            </w:rPr>
          </w:pPr>
          <w:r w:rsidRPr="00677AB0">
            <w:rPr>
              <w:caps/>
              <w:color w:val="FFFFFF" w:themeColor="background1"/>
            </w:rPr>
            <w:tab/>
            <w:t xml:space="preserve"> </w:t>
          </w:r>
        </w:p>
        <w:p w14:paraId="75413D2D" w14:textId="77777777" w:rsidR="0042308F" w:rsidRPr="00677AB0" w:rsidRDefault="0042308F" w:rsidP="0042308F">
          <w:pPr>
            <w:tabs>
              <w:tab w:val="left" w:pos="1605"/>
            </w:tabs>
            <w:jc w:val="center"/>
            <w:rPr>
              <w:caps/>
              <w:color w:val="FFFFFF" w:themeColor="background1"/>
            </w:rPr>
          </w:pPr>
        </w:p>
        <w:p w14:paraId="62D4D20B" w14:textId="77777777" w:rsidR="0042308F" w:rsidRPr="00677AB0" w:rsidRDefault="0042308F" w:rsidP="0042308F">
          <w:pPr>
            <w:tabs>
              <w:tab w:val="left" w:pos="1605"/>
            </w:tabs>
            <w:jc w:val="center"/>
            <w:rPr>
              <w:caps/>
              <w:color w:val="FFFFFF" w:themeColor="background1"/>
            </w:rPr>
          </w:pPr>
        </w:p>
        <w:p w14:paraId="198AE304" w14:textId="77777777" w:rsidR="0042308F" w:rsidRPr="00677AB0" w:rsidRDefault="0042308F" w:rsidP="0042308F">
          <w:pPr>
            <w:tabs>
              <w:tab w:val="left" w:pos="1605"/>
            </w:tabs>
            <w:jc w:val="center"/>
            <w:rPr>
              <w:caps/>
              <w:color w:val="FFFFFF" w:themeColor="background1"/>
            </w:rPr>
          </w:pPr>
        </w:p>
        <w:p w14:paraId="0033BCF7" w14:textId="77777777" w:rsidR="0042308F" w:rsidRPr="00677AB0" w:rsidRDefault="0042308F" w:rsidP="0042308F">
          <w:pPr>
            <w:tabs>
              <w:tab w:val="left" w:pos="1605"/>
            </w:tabs>
            <w:jc w:val="center"/>
            <w:rPr>
              <w:caps/>
              <w:color w:val="FFFFFF" w:themeColor="background1"/>
            </w:rPr>
          </w:pPr>
        </w:p>
        <w:p w14:paraId="5BE4FF29" w14:textId="77777777" w:rsidR="0042308F" w:rsidRPr="00677AB0" w:rsidRDefault="0042308F" w:rsidP="0042308F">
          <w:pPr>
            <w:tabs>
              <w:tab w:val="left" w:pos="1605"/>
            </w:tabs>
            <w:jc w:val="center"/>
            <w:rPr>
              <w:caps/>
              <w:color w:val="FFFFFF" w:themeColor="background1"/>
            </w:rPr>
          </w:pPr>
        </w:p>
        <w:p w14:paraId="7B1DA0E8" w14:textId="77777777" w:rsidR="0042308F" w:rsidRPr="00677AB0" w:rsidRDefault="0042308F" w:rsidP="0042308F">
          <w:pPr>
            <w:tabs>
              <w:tab w:val="left" w:pos="1605"/>
            </w:tabs>
            <w:jc w:val="center"/>
            <w:rPr>
              <w:caps/>
              <w:color w:val="FFFFFF" w:themeColor="background1"/>
            </w:rPr>
          </w:pPr>
        </w:p>
        <w:p w14:paraId="3AB2EAC7" w14:textId="77777777" w:rsidR="0042308F" w:rsidRPr="00677AB0" w:rsidRDefault="0042308F" w:rsidP="0042308F">
          <w:pPr>
            <w:tabs>
              <w:tab w:val="left" w:pos="1605"/>
            </w:tabs>
            <w:jc w:val="center"/>
            <w:rPr>
              <w:caps/>
              <w:color w:val="FFFFFF" w:themeColor="background1"/>
            </w:rPr>
          </w:pPr>
        </w:p>
        <w:p w14:paraId="7CE5AFED" w14:textId="77777777" w:rsidR="0042308F" w:rsidRPr="00677AB0" w:rsidRDefault="0042308F" w:rsidP="0042308F">
          <w:pPr>
            <w:tabs>
              <w:tab w:val="left" w:pos="1605"/>
            </w:tabs>
            <w:jc w:val="center"/>
            <w:rPr>
              <w:caps/>
              <w:color w:val="FFFFFF" w:themeColor="background1"/>
            </w:rPr>
          </w:pPr>
        </w:p>
        <w:p w14:paraId="129B1CEC" w14:textId="77777777" w:rsidR="0042308F" w:rsidRPr="00677AB0" w:rsidRDefault="0042308F" w:rsidP="0042308F">
          <w:pPr>
            <w:tabs>
              <w:tab w:val="left" w:pos="1605"/>
            </w:tabs>
            <w:jc w:val="center"/>
            <w:rPr>
              <w:caps/>
              <w:color w:val="FFFFFF" w:themeColor="background1"/>
            </w:rPr>
          </w:pPr>
        </w:p>
        <w:p w14:paraId="63B14D18" w14:textId="77777777" w:rsidR="0042308F" w:rsidRPr="00677AB0" w:rsidRDefault="0042308F" w:rsidP="0042308F">
          <w:pPr>
            <w:tabs>
              <w:tab w:val="left" w:pos="1605"/>
            </w:tabs>
            <w:jc w:val="center"/>
            <w:rPr>
              <w:caps/>
              <w:color w:val="FFFFFF" w:themeColor="background1"/>
            </w:rPr>
          </w:pPr>
        </w:p>
        <w:p w14:paraId="23E776E0" w14:textId="77777777" w:rsidR="0042308F" w:rsidRPr="00677AB0" w:rsidRDefault="0042308F" w:rsidP="0042308F">
          <w:pPr>
            <w:tabs>
              <w:tab w:val="left" w:pos="1605"/>
              <w:tab w:val="left" w:pos="3045"/>
              <w:tab w:val="left" w:pos="3510"/>
            </w:tabs>
            <w:rPr>
              <w:caps/>
              <w:color w:val="FFFFFF" w:themeColor="background1"/>
            </w:rPr>
          </w:pPr>
          <w:r w:rsidRPr="00677AB0">
            <w:rPr>
              <w:caps/>
              <w:color w:val="FFFFFF" w:themeColor="background1"/>
            </w:rPr>
            <w:tab/>
          </w:r>
          <w:r w:rsidRPr="00677AB0">
            <w:rPr>
              <w:caps/>
              <w:color w:val="FFFFFF" w:themeColor="background1"/>
            </w:rPr>
            <w:tab/>
          </w:r>
          <w:r w:rsidRPr="00677AB0">
            <w:rPr>
              <w:caps/>
              <w:color w:val="FFFFFF" w:themeColor="background1"/>
            </w:rPr>
            <w:tab/>
          </w:r>
        </w:p>
        <w:p w14:paraId="01C82B19" w14:textId="77777777" w:rsidR="0042308F" w:rsidRPr="00677AB0" w:rsidRDefault="0042308F" w:rsidP="0042308F">
          <w:pPr>
            <w:tabs>
              <w:tab w:val="left" w:pos="1605"/>
              <w:tab w:val="left" w:pos="3825"/>
              <w:tab w:val="center" w:pos="4666"/>
            </w:tabs>
            <w:rPr>
              <w:rFonts w:ascii="Arial" w:hAnsi="Arial" w:cs="Arial"/>
              <w:color w:val="538135" w:themeColor="accent6" w:themeShade="BF"/>
              <w:sz w:val="24"/>
              <w:szCs w:val="24"/>
            </w:rPr>
          </w:pPr>
          <w:r w:rsidRPr="00677AB0">
            <w:rPr>
              <w:rFonts w:ascii="Arial" w:hAnsi="Arial" w:cs="Arial"/>
              <w:color w:val="538135" w:themeColor="accent6" w:themeShade="BF"/>
              <w:sz w:val="24"/>
              <w:szCs w:val="24"/>
            </w:rPr>
            <w:tab/>
          </w:r>
          <w:r w:rsidRPr="00677AB0">
            <w:rPr>
              <w:rFonts w:ascii="Arial" w:hAnsi="Arial" w:cs="Arial"/>
              <w:color w:val="538135" w:themeColor="accent6" w:themeShade="BF"/>
              <w:sz w:val="24"/>
              <w:szCs w:val="24"/>
            </w:rPr>
            <w:tab/>
          </w:r>
          <w:r w:rsidRPr="00677AB0">
            <w:rPr>
              <w:rFonts w:ascii="Arial" w:hAnsi="Arial" w:cs="Arial"/>
              <w:color w:val="538135" w:themeColor="accent6" w:themeShade="BF"/>
              <w:sz w:val="24"/>
              <w:szCs w:val="24"/>
            </w:rPr>
            <w:tab/>
          </w:r>
        </w:p>
      </w:sdtContent>
    </w:sdt>
    <w:sdt>
      <w:sdtPr>
        <w:rPr>
          <w:rFonts w:ascii="Arial Narrow" w:eastAsiaTheme="minorHAnsi" w:hAnsi="Arial Narrow" w:cs="Arial"/>
          <w:b w:val="0"/>
          <w:bCs w:val="0"/>
          <w:color w:val="auto"/>
          <w:sz w:val="20"/>
          <w:szCs w:val="20"/>
        </w:rPr>
        <w:id w:val="49129360"/>
        <w:docPartObj>
          <w:docPartGallery w:val="Table of Contents"/>
          <w:docPartUnique/>
        </w:docPartObj>
      </w:sdtPr>
      <w:sdtEndPr>
        <w:rPr>
          <w:rFonts w:asciiTheme="minorHAnsi" w:hAnsiTheme="minorHAnsi" w:cstheme="minorBidi"/>
          <w:sz w:val="22"/>
          <w:szCs w:val="22"/>
        </w:rPr>
      </w:sdtEndPr>
      <w:sdtContent>
        <w:p w14:paraId="772A08A3" w14:textId="77777777" w:rsidR="0042308F" w:rsidRPr="00677AB0" w:rsidRDefault="0042308F" w:rsidP="0042308F">
          <w:pPr>
            <w:pStyle w:val="TOCHeading"/>
            <w:jc w:val="center"/>
            <w:rPr>
              <w:rFonts w:ascii="Arial Narrow" w:eastAsiaTheme="minorHAnsi" w:hAnsi="Arial Narrow" w:cs="Arial"/>
              <w:b w:val="0"/>
              <w:bCs w:val="0"/>
              <w:color w:val="auto"/>
              <w:sz w:val="20"/>
              <w:szCs w:val="20"/>
            </w:rPr>
          </w:pPr>
        </w:p>
        <w:p w14:paraId="229A5C04" w14:textId="77777777" w:rsidR="0042308F" w:rsidRPr="00677AB0" w:rsidRDefault="0042308F" w:rsidP="0042308F">
          <w:pPr>
            <w:rPr>
              <w:rFonts w:ascii="Arial Narrow" w:hAnsi="Arial Narrow" w:cs="Arial"/>
              <w:sz w:val="20"/>
              <w:szCs w:val="20"/>
            </w:rPr>
          </w:pPr>
          <w:r w:rsidRPr="00677AB0">
            <w:rPr>
              <w:rFonts w:ascii="Arial Narrow" w:hAnsi="Arial Narrow" w:cs="Arial"/>
              <w:b/>
              <w:bCs/>
              <w:sz w:val="20"/>
              <w:szCs w:val="20"/>
            </w:rPr>
            <w:br w:type="page"/>
          </w:r>
        </w:p>
        <w:p w14:paraId="16C8C72B" w14:textId="77777777" w:rsidR="0042308F" w:rsidRPr="00677AB0" w:rsidRDefault="0042308F" w:rsidP="0042308F">
          <w:pPr>
            <w:pStyle w:val="TOCHeading"/>
            <w:jc w:val="center"/>
            <w:rPr>
              <w:rFonts w:ascii="Arial" w:hAnsi="Arial" w:cs="Arial"/>
              <w:b w:val="0"/>
              <w:color w:val="auto"/>
              <w:sz w:val="20"/>
              <w:szCs w:val="20"/>
            </w:rPr>
          </w:pPr>
          <w:r w:rsidRPr="00677AB0">
            <w:rPr>
              <w:rFonts w:ascii="Arial" w:hAnsi="Arial" w:cs="Arial"/>
              <w:b w:val="0"/>
              <w:color w:val="auto"/>
              <w:szCs w:val="20"/>
            </w:rPr>
            <w:lastRenderedPageBreak/>
            <w:t>S A D R Ž A J</w:t>
          </w:r>
        </w:p>
        <w:p w14:paraId="7ED55372" w14:textId="348DDEFB" w:rsidR="002728C9" w:rsidRDefault="0042308F">
          <w:pPr>
            <w:pStyle w:val="TOC1"/>
            <w:rPr>
              <w:rFonts w:asciiTheme="minorHAnsi" w:eastAsiaTheme="minorEastAsia" w:hAnsiTheme="minorHAnsi" w:cstheme="minorBidi"/>
              <w:sz w:val="22"/>
              <w:szCs w:val="22"/>
              <w:lang w:val="en-GB" w:eastAsia="en-GB"/>
            </w:rPr>
          </w:pPr>
          <w:r w:rsidRPr="00677AB0">
            <w:rPr>
              <w:noProof w:val="0"/>
              <w:sz w:val="20"/>
              <w:szCs w:val="20"/>
              <w:lang w:val="hr-HR"/>
            </w:rPr>
            <w:fldChar w:fldCharType="begin"/>
          </w:r>
          <w:r w:rsidRPr="00677AB0">
            <w:rPr>
              <w:noProof w:val="0"/>
              <w:sz w:val="20"/>
              <w:szCs w:val="20"/>
              <w:lang w:val="hr-HR"/>
            </w:rPr>
            <w:instrText xml:space="preserve"> TOC \o "1-3" \h \z \u </w:instrText>
          </w:r>
          <w:r w:rsidRPr="00677AB0">
            <w:rPr>
              <w:noProof w:val="0"/>
              <w:sz w:val="20"/>
              <w:szCs w:val="20"/>
              <w:lang w:val="hr-HR"/>
            </w:rPr>
            <w:fldChar w:fldCharType="separate"/>
          </w:r>
          <w:hyperlink w:anchor="_Toc172282233" w:history="1">
            <w:r w:rsidR="002728C9" w:rsidRPr="00514DBE">
              <w:rPr>
                <w:rStyle w:val="Hyperlink"/>
              </w:rPr>
              <w:t>U V O D</w:t>
            </w:r>
            <w:r w:rsidR="002728C9">
              <w:rPr>
                <w:webHidden/>
              </w:rPr>
              <w:tab/>
            </w:r>
            <w:r w:rsidR="002728C9">
              <w:rPr>
                <w:webHidden/>
              </w:rPr>
              <w:fldChar w:fldCharType="begin"/>
            </w:r>
            <w:r w:rsidR="002728C9">
              <w:rPr>
                <w:webHidden/>
              </w:rPr>
              <w:instrText xml:space="preserve"> PAGEREF _Toc172282233 \h </w:instrText>
            </w:r>
            <w:r w:rsidR="002728C9">
              <w:rPr>
                <w:webHidden/>
              </w:rPr>
            </w:r>
            <w:r w:rsidR="002728C9">
              <w:rPr>
                <w:webHidden/>
              </w:rPr>
              <w:fldChar w:fldCharType="separate"/>
            </w:r>
            <w:r w:rsidR="002728C9">
              <w:rPr>
                <w:webHidden/>
              </w:rPr>
              <w:t>1</w:t>
            </w:r>
            <w:r w:rsidR="002728C9">
              <w:rPr>
                <w:webHidden/>
              </w:rPr>
              <w:fldChar w:fldCharType="end"/>
            </w:r>
          </w:hyperlink>
        </w:p>
        <w:p w14:paraId="58EF33A0" w14:textId="64FA439E" w:rsidR="002728C9" w:rsidRDefault="00BD4527">
          <w:pPr>
            <w:pStyle w:val="TOC1"/>
            <w:rPr>
              <w:rFonts w:asciiTheme="minorHAnsi" w:eastAsiaTheme="minorEastAsia" w:hAnsiTheme="minorHAnsi" w:cstheme="minorBidi"/>
              <w:sz w:val="22"/>
              <w:szCs w:val="22"/>
              <w:lang w:val="en-GB" w:eastAsia="en-GB"/>
            </w:rPr>
          </w:pPr>
          <w:hyperlink w:anchor="_Toc172282234" w:history="1">
            <w:r w:rsidR="002728C9" w:rsidRPr="00514DBE">
              <w:rPr>
                <w:rStyle w:val="Hyperlink"/>
              </w:rPr>
              <w:t>1.</w:t>
            </w:r>
            <w:r w:rsidR="002728C9">
              <w:rPr>
                <w:rFonts w:asciiTheme="minorHAnsi" w:eastAsiaTheme="minorEastAsia" w:hAnsiTheme="minorHAnsi" w:cstheme="minorBidi"/>
                <w:sz w:val="22"/>
                <w:szCs w:val="22"/>
                <w:lang w:val="en-GB" w:eastAsia="en-GB"/>
              </w:rPr>
              <w:tab/>
            </w:r>
            <w:r w:rsidR="002728C9" w:rsidRPr="00514DBE">
              <w:rPr>
                <w:rStyle w:val="Hyperlink"/>
              </w:rPr>
              <w:t>CILJEVI I OBUHVAT STRATEGIJE UPRAVLJANJA DUGOM</w:t>
            </w:r>
            <w:r w:rsidR="002728C9">
              <w:rPr>
                <w:webHidden/>
              </w:rPr>
              <w:tab/>
            </w:r>
            <w:r w:rsidR="002728C9">
              <w:rPr>
                <w:webHidden/>
              </w:rPr>
              <w:fldChar w:fldCharType="begin"/>
            </w:r>
            <w:r w:rsidR="002728C9">
              <w:rPr>
                <w:webHidden/>
              </w:rPr>
              <w:instrText xml:space="preserve"> PAGEREF _Toc172282234 \h </w:instrText>
            </w:r>
            <w:r w:rsidR="002728C9">
              <w:rPr>
                <w:webHidden/>
              </w:rPr>
            </w:r>
            <w:r w:rsidR="002728C9">
              <w:rPr>
                <w:webHidden/>
              </w:rPr>
              <w:fldChar w:fldCharType="separate"/>
            </w:r>
            <w:r w:rsidR="002728C9">
              <w:rPr>
                <w:webHidden/>
              </w:rPr>
              <w:t>1</w:t>
            </w:r>
            <w:r w:rsidR="002728C9">
              <w:rPr>
                <w:webHidden/>
              </w:rPr>
              <w:fldChar w:fldCharType="end"/>
            </w:r>
          </w:hyperlink>
        </w:p>
        <w:p w14:paraId="6B9C7197" w14:textId="6DEFE998" w:rsidR="002728C9" w:rsidRDefault="00BD4527">
          <w:pPr>
            <w:pStyle w:val="TOC2"/>
            <w:rPr>
              <w:rFonts w:eastAsiaTheme="minorEastAsia"/>
              <w:noProof/>
              <w:lang w:val="en-GB" w:eastAsia="en-GB"/>
            </w:rPr>
          </w:pPr>
          <w:hyperlink w:anchor="_Toc172282235" w:history="1">
            <w:r w:rsidR="002728C9" w:rsidRPr="00514DBE">
              <w:rPr>
                <w:rStyle w:val="Hyperlink"/>
                <w:rFonts w:ascii="Arial" w:hAnsi="Arial" w:cs="Arial"/>
                <w:noProof/>
              </w:rPr>
              <w:t>1.1.</w:t>
            </w:r>
            <w:r w:rsidR="002728C9">
              <w:rPr>
                <w:rFonts w:eastAsiaTheme="minorEastAsia"/>
                <w:noProof/>
                <w:lang w:val="en-GB" w:eastAsia="en-GB"/>
              </w:rPr>
              <w:tab/>
            </w:r>
            <w:r w:rsidR="002728C9" w:rsidRPr="00514DBE">
              <w:rPr>
                <w:rStyle w:val="Hyperlink"/>
                <w:rFonts w:ascii="Arial" w:hAnsi="Arial" w:cs="Arial"/>
                <w:noProof/>
              </w:rPr>
              <w:t>Ciljevi upravljanja dugom</w:t>
            </w:r>
            <w:r w:rsidR="002728C9">
              <w:rPr>
                <w:noProof/>
                <w:webHidden/>
              </w:rPr>
              <w:tab/>
            </w:r>
            <w:r w:rsidR="002728C9">
              <w:rPr>
                <w:noProof/>
                <w:webHidden/>
              </w:rPr>
              <w:fldChar w:fldCharType="begin"/>
            </w:r>
            <w:r w:rsidR="002728C9">
              <w:rPr>
                <w:noProof/>
                <w:webHidden/>
              </w:rPr>
              <w:instrText xml:space="preserve"> PAGEREF _Toc172282235 \h </w:instrText>
            </w:r>
            <w:r w:rsidR="002728C9">
              <w:rPr>
                <w:noProof/>
                <w:webHidden/>
              </w:rPr>
            </w:r>
            <w:r w:rsidR="002728C9">
              <w:rPr>
                <w:noProof/>
                <w:webHidden/>
              </w:rPr>
              <w:fldChar w:fldCharType="separate"/>
            </w:r>
            <w:r w:rsidR="002728C9">
              <w:rPr>
                <w:noProof/>
                <w:webHidden/>
              </w:rPr>
              <w:t>1</w:t>
            </w:r>
            <w:r w:rsidR="002728C9">
              <w:rPr>
                <w:noProof/>
                <w:webHidden/>
              </w:rPr>
              <w:fldChar w:fldCharType="end"/>
            </w:r>
          </w:hyperlink>
        </w:p>
        <w:p w14:paraId="6BBEA058" w14:textId="0D234755" w:rsidR="002728C9" w:rsidRDefault="00BD4527">
          <w:pPr>
            <w:pStyle w:val="TOC2"/>
            <w:rPr>
              <w:rFonts w:eastAsiaTheme="minorEastAsia"/>
              <w:noProof/>
              <w:lang w:val="en-GB" w:eastAsia="en-GB"/>
            </w:rPr>
          </w:pPr>
          <w:hyperlink w:anchor="_Toc172282236" w:history="1">
            <w:r w:rsidR="002728C9" w:rsidRPr="00514DBE">
              <w:rPr>
                <w:rStyle w:val="Hyperlink"/>
                <w:rFonts w:ascii="Arial" w:hAnsi="Arial" w:cs="Arial"/>
                <w:noProof/>
              </w:rPr>
              <w:t>1.2.</w:t>
            </w:r>
            <w:r w:rsidR="002728C9">
              <w:rPr>
                <w:rFonts w:eastAsiaTheme="minorEastAsia"/>
                <w:noProof/>
                <w:lang w:val="en-GB" w:eastAsia="en-GB"/>
              </w:rPr>
              <w:tab/>
            </w:r>
            <w:r w:rsidR="002728C9" w:rsidRPr="00514DBE">
              <w:rPr>
                <w:rStyle w:val="Hyperlink"/>
                <w:rFonts w:ascii="Arial" w:hAnsi="Arial" w:cs="Arial"/>
                <w:noProof/>
              </w:rPr>
              <w:t>Obuhvat Strategije</w:t>
            </w:r>
            <w:r w:rsidR="002728C9">
              <w:rPr>
                <w:noProof/>
                <w:webHidden/>
              </w:rPr>
              <w:tab/>
            </w:r>
            <w:r w:rsidR="002728C9">
              <w:rPr>
                <w:noProof/>
                <w:webHidden/>
              </w:rPr>
              <w:fldChar w:fldCharType="begin"/>
            </w:r>
            <w:r w:rsidR="002728C9">
              <w:rPr>
                <w:noProof/>
                <w:webHidden/>
              </w:rPr>
              <w:instrText xml:space="preserve"> PAGEREF _Toc172282236 \h </w:instrText>
            </w:r>
            <w:r w:rsidR="002728C9">
              <w:rPr>
                <w:noProof/>
                <w:webHidden/>
              </w:rPr>
            </w:r>
            <w:r w:rsidR="002728C9">
              <w:rPr>
                <w:noProof/>
                <w:webHidden/>
              </w:rPr>
              <w:fldChar w:fldCharType="separate"/>
            </w:r>
            <w:r w:rsidR="002728C9">
              <w:rPr>
                <w:noProof/>
                <w:webHidden/>
              </w:rPr>
              <w:t>1</w:t>
            </w:r>
            <w:r w:rsidR="002728C9">
              <w:rPr>
                <w:noProof/>
                <w:webHidden/>
              </w:rPr>
              <w:fldChar w:fldCharType="end"/>
            </w:r>
          </w:hyperlink>
        </w:p>
        <w:p w14:paraId="0B1A3ECB" w14:textId="0DBA1362" w:rsidR="002728C9" w:rsidRDefault="00BD4527">
          <w:pPr>
            <w:pStyle w:val="TOC1"/>
            <w:rPr>
              <w:rFonts w:asciiTheme="minorHAnsi" w:eastAsiaTheme="minorEastAsia" w:hAnsiTheme="minorHAnsi" w:cstheme="minorBidi"/>
              <w:sz w:val="22"/>
              <w:szCs w:val="22"/>
              <w:lang w:val="en-GB" w:eastAsia="en-GB"/>
            </w:rPr>
          </w:pPr>
          <w:hyperlink w:anchor="_Toc172282237" w:history="1">
            <w:r w:rsidR="002728C9" w:rsidRPr="00514DBE">
              <w:rPr>
                <w:rStyle w:val="Hyperlink"/>
              </w:rPr>
              <w:t>2.</w:t>
            </w:r>
            <w:r w:rsidR="002728C9">
              <w:rPr>
                <w:rFonts w:asciiTheme="minorHAnsi" w:eastAsiaTheme="minorEastAsia" w:hAnsiTheme="minorHAnsi" w:cstheme="minorBidi"/>
                <w:sz w:val="22"/>
                <w:szCs w:val="22"/>
                <w:lang w:val="en-GB" w:eastAsia="en-GB"/>
              </w:rPr>
              <w:tab/>
            </w:r>
            <w:r w:rsidR="002728C9" w:rsidRPr="00514DBE">
              <w:rPr>
                <w:rStyle w:val="Hyperlink"/>
              </w:rPr>
              <w:t>Portfelj duga Vlade Federacije BiH</w:t>
            </w:r>
            <w:r w:rsidR="002728C9">
              <w:rPr>
                <w:webHidden/>
              </w:rPr>
              <w:tab/>
            </w:r>
            <w:r w:rsidR="002728C9">
              <w:rPr>
                <w:webHidden/>
              </w:rPr>
              <w:fldChar w:fldCharType="begin"/>
            </w:r>
            <w:r w:rsidR="002728C9">
              <w:rPr>
                <w:webHidden/>
              </w:rPr>
              <w:instrText xml:space="preserve"> PAGEREF _Toc172282237 \h </w:instrText>
            </w:r>
            <w:r w:rsidR="002728C9">
              <w:rPr>
                <w:webHidden/>
              </w:rPr>
            </w:r>
            <w:r w:rsidR="002728C9">
              <w:rPr>
                <w:webHidden/>
              </w:rPr>
              <w:fldChar w:fldCharType="separate"/>
            </w:r>
            <w:r w:rsidR="002728C9">
              <w:rPr>
                <w:webHidden/>
              </w:rPr>
              <w:t>2</w:t>
            </w:r>
            <w:r w:rsidR="002728C9">
              <w:rPr>
                <w:webHidden/>
              </w:rPr>
              <w:fldChar w:fldCharType="end"/>
            </w:r>
          </w:hyperlink>
        </w:p>
        <w:p w14:paraId="08E797BD" w14:textId="58C093D7" w:rsidR="002728C9" w:rsidRDefault="00BD4527">
          <w:pPr>
            <w:pStyle w:val="TOC2"/>
            <w:rPr>
              <w:rFonts w:eastAsiaTheme="minorEastAsia"/>
              <w:noProof/>
              <w:lang w:val="en-GB" w:eastAsia="en-GB"/>
            </w:rPr>
          </w:pPr>
          <w:hyperlink w:anchor="_Toc172282238" w:history="1">
            <w:r w:rsidR="002728C9" w:rsidRPr="00514DBE">
              <w:rPr>
                <w:rStyle w:val="Hyperlink"/>
                <w:rFonts w:ascii="Arial" w:hAnsi="Arial" w:cs="Arial"/>
                <w:noProof/>
              </w:rPr>
              <w:t>2.1.</w:t>
            </w:r>
            <w:r w:rsidR="002728C9">
              <w:rPr>
                <w:rFonts w:eastAsiaTheme="minorEastAsia"/>
                <w:noProof/>
                <w:lang w:val="en-GB" w:eastAsia="en-GB"/>
              </w:rPr>
              <w:tab/>
            </w:r>
            <w:r w:rsidR="002728C9" w:rsidRPr="00514DBE">
              <w:rPr>
                <w:rStyle w:val="Hyperlink"/>
                <w:rFonts w:ascii="Arial" w:hAnsi="Arial" w:cs="Arial"/>
                <w:noProof/>
              </w:rPr>
              <w:t>Struktura vanjskog duga Federacije BiH na dan 31. 12. 2023.</w:t>
            </w:r>
            <w:r w:rsidR="002728C9">
              <w:rPr>
                <w:noProof/>
                <w:webHidden/>
              </w:rPr>
              <w:tab/>
            </w:r>
            <w:r w:rsidR="002728C9">
              <w:rPr>
                <w:noProof/>
                <w:webHidden/>
              </w:rPr>
              <w:fldChar w:fldCharType="begin"/>
            </w:r>
            <w:r w:rsidR="002728C9">
              <w:rPr>
                <w:noProof/>
                <w:webHidden/>
              </w:rPr>
              <w:instrText xml:space="preserve"> PAGEREF _Toc172282238 \h </w:instrText>
            </w:r>
            <w:r w:rsidR="002728C9">
              <w:rPr>
                <w:noProof/>
                <w:webHidden/>
              </w:rPr>
            </w:r>
            <w:r w:rsidR="002728C9">
              <w:rPr>
                <w:noProof/>
                <w:webHidden/>
              </w:rPr>
              <w:fldChar w:fldCharType="separate"/>
            </w:r>
            <w:r w:rsidR="002728C9">
              <w:rPr>
                <w:noProof/>
                <w:webHidden/>
              </w:rPr>
              <w:t>2</w:t>
            </w:r>
            <w:r w:rsidR="002728C9">
              <w:rPr>
                <w:noProof/>
                <w:webHidden/>
              </w:rPr>
              <w:fldChar w:fldCharType="end"/>
            </w:r>
          </w:hyperlink>
        </w:p>
        <w:p w14:paraId="37B4E4A9" w14:textId="38121C92" w:rsidR="002728C9" w:rsidRDefault="00BD4527">
          <w:pPr>
            <w:pStyle w:val="TOC3"/>
            <w:rPr>
              <w:rFonts w:eastAsiaTheme="minorEastAsia"/>
              <w:noProof/>
              <w:lang w:val="en-GB" w:eastAsia="en-GB"/>
            </w:rPr>
          </w:pPr>
          <w:hyperlink w:anchor="_Toc172282239" w:history="1">
            <w:r w:rsidR="002728C9" w:rsidRPr="00514DBE">
              <w:rPr>
                <w:rStyle w:val="Hyperlink"/>
                <w:rFonts w:ascii="Arial" w:hAnsi="Arial" w:cs="Arial"/>
                <w:noProof/>
              </w:rPr>
              <w:t>2.1.1.</w:t>
            </w:r>
            <w:r w:rsidR="002728C9">
              <w:rPr>
                <w:rFonts w:eastAsiaTheme="minorEastAsia"/>
                <w:noProof/>
                <w:lang w:val="en-GB" w:eastAsia="en-GB"/>
              </w:rPr>
              <w:tab/>
            </w:r>
            <w:r w:rsidR="002728C9" w:rsidRPr="00514DBE">
              <w:rPr>
                <w:rStyle w:val="Hyperlink"/>
                <w:rFonts w:ascii="Arial" w:hAnsi="Arial" w:cs="Arial"/>
                <w:noProof/>
              </w:rPr>
              <w:t>Struktura vanjskog duga Federacije BiH po kreditorima</w:t>
            </w:r>
            <w:r w:rsidR="002728C9">
              <w:rPr>
                <w:noProof/>
                <w:webHidden/>
              </w:rPr>
              <w:tab/>
            </w:r>
            <w:r w:rsidR="002728C9">
              <w:rPr>
                <w:noProof/>
                <w:webHidden/>
              </w:rPr>
              <w:fldChar w:fldCharType="begin"/>
            </w:r>
            <w:r w:rsidR="002728C9">
              <w:rPr>
                <w:noProof/>
                <w:webHidden/>
              </w:rPr>
              <w:instrText xml:space="preserve"> PAGEREF _Toc172282239 \h </w:instrText>
            </w:r>
            <w:r w:rsidR="002728C9">
              <w:rPr>
                <w:noProof/>
                <w:webHidden/>
              </w:rPr>
            </w:r>
            <w:r w:rsidR="002728C9">
              <w:rPr>
                <w:noProof/>
                <w:webHidden/>
              </w:rPr>
              <w:fldChar w:fldCharType="separate"/>
            </w:r>
            <w:r w:rsidR="002728C9">
              <w:rPr>
                <w:noProof/>
                <w:webHidden/>
              </w:rPr>
              <w:t>2</w:t>
            </w:r>
            <w:r w:rsidR="002728C9">
              <w:rPr>
                <w:noProof/>
                <w:webHidden/>
              </w:rPr>
              <w:fldChar w:fldCharType="end"/>
            </w:r>
          </w:hyperlink>
        </w:p>
        <w:p w14:paraId="31B4E74F" w14:textId="68E4450B" w:rsidR="002728C9" w:rsidRDefault="00BD4527">
          <w:pPr>
            <w:pStyle w:val="TOC3"/>
            <w:rPr>
              <w:rFonts w:eastAsiaTheme="minorEastAsia"/>
              <w:noProof/>
              <w:lang w:val="en-GB" w:eastAsia="en-GB"/>
            </w:rPr>
          </w:pPr>
          <w:hyperlink w:anchor="_Toc172282240" w:history="1">
            <w:r w:rsidR="002728C9" w:rsidRPr="00514DBE">
              <w:rPr>
                <w:rStyle w:val="Hyperlink"/>
                <w:rFonts w:ascii="Arial" w:hAnsi="Arial" w:cs="Arial"/>
                <w:noProof/>
              </w:rPr>
              <w:t>2.1.2.</w:t>
            </w:r>
            <w:r w:rsidR="002728C9">
              <w:rPr>
                <w:rFonts w:eastAsiaTheme="minorEastAsia"/>
                <w:noProof/>
                <w:lang w:val="en-GB" w:eastAsia="en-GB"/>
              </w:rPr>
              <w:tab/>
            </w:r>
            <w:r w:rsidR="002728C9" w:rsidRPr="00514DBE">
              <w:rPr>
                <w:rStyle w:val="Hyperlink"/>
                <w:rFonts w:ascii="Arial" w:hAnsi="Arial" w:cs="Arial"/>
                <w:noProof/>
              </w:rPr>
              <w:t>Valutna struktura vanjskog duga Federacije BiH</w:t>
            </w:r>
            <w:r w:rsidR="002728C9">
              <w:rPr>
                <w:noProof/>
                <w:webHidden/>
              </w:rPr>
              <w:tab/>
            </w:r>
            <w:r w:rsidR="002728C9">
              <w:rPr>
                <w:noProof/>
                <w:webHidden/>
              </w:rPr>
              <w:fldChar w:fldCharType="begin"/>
            </w:r>
            <w:r w:rsidR="002728C9">
              <w:rPr>
                <w:noProof/>
                <w:webHidden/>
              </w:rPr>
              <w:instrText xml:space="preserve"> PAGEREF _Toc172282240 \h </w:instrText>
            </w:r>
            <w:r w:rsidR="002728C9">
              <w:rPr>
                <w:noProof/>
                <w:webHidden/>
              </w:rPr>
            </w:r>
            <w:r w:rsidR="002728C9">
              <w:rPr>
                <w:noProof/>
                <w:webHidden/>
              </w:rPr>
              <w:fldChar w:fldCharType="separate"/>
            </w:r>
            <w:r w:rsidR="002728C9">
              <w:rPr>
                <w:noProof/>
                <w:webHidden/>
              </w:rPr>
              <w:t>3</w:t>
            </w:r>
            <w:r w:rsidR="002728C9">
              <w:rPr>
                <w:noProof/>
                <w:webHidden/>
              </w:rPr>
              <w:fldChar w:fldCharType="end"/>
            </w:r>
          </w:hyperlink>
        </w:p>
        <w:p w14:paraId="041A9938" w14:textId="77AF02C9" w:rsidR="002728C9" w:rsidRDefault="00BD4527">
          <w:pPr>
            <w:pStyle w:val="TOC3"/>
            <w:rPr>
              <w:rFonts w:eastAsiaTheme="minorEastAsia"/>
              <w:noProof/>
              <w:lang w:val="en-GB" w:eastAsia="en-GB"/>
            </w:rPr>
          </w:pPr>
          <w:hyperlink w:anchor="_Toc172282241" w:history="1">
            <w:r w:rsidR="002728C9" w:rsidRPr="00514DBE">
              <w:rPr>
                <w:rStyle w:val="Hyperlink"/>
                <w:rFonts w:ascii="Arial" w:hAnsi="Arial" w:cs="Arial"/>
                <w:noProof/>
              </w:rPr>
              <w:t>2.1.3.</w:t>
            </w:r>
            <w:r w:rsidR="002728C9">
              <w:rPr>
                <w:rFonts w:eastAsiaTheme="minorEastAsia"/>
                <w:noProof/>
                <w:lang w:val="en-GB" w:eastAsia="en-GB"/>
              </w:rPr>
              <w:tab/>
            </w:r>
            <w:r w:rsidR="002728C9" w:rsidRPr="00514DBE">
              <w:rPr>
                <w:rStyle w:val="Hyperlink"/>
                <w:rFonts w:ascii="Arial" w:hAnsi="Arial" w:cs="Arial"/>
                <w:noProof/>
              </w:rPr>
              <w:t>Kamatna struktura vanjskog duga Federacije BiH</w:t>
            </w:r>
            <w:r w:rsidR="002728C9">
              <w:rPr>
                <w:noProof/>
                <w:webHidden/>
              </w:rPr>
              <w:tab/>
            </w:r>
            <w:r w:rsidR="002728C9">
              <w:rPr>
                <w:noProof/>
                <w:webHidden/>
              </w:rPr>
              <w:fldChar w:fldCharType="begin"/>
            </w:r>
            <w:r w:rsidR="002728C9">
              <w:rPr>
                <w:noProof/>
                <w:webHidden/>
              </w:rPr>
              <w:instrText xml:space="preserve"> PAGEREF _Toc172282241 \h </w:instrText>
            </w:r>
            <w:r w:rsidR="002728C9">
              <w:rPr>
                <w:noProof/>
                <w:webHidden/>
              </w:rPr>
            </w:r>
            <w:r w:rsidR="002728C9">
              <w:rPr>
                <w:noProof/>
                <w:webHidden/>
              </w:rPr>
              <w:fldChar w:fldCharType="separate"/>
            </w:r>
            <w:r w:rsidR="002728C9">
              <w:rPr>
                <w:noProof/>
                <w:webHidden/>
              </w:rPr>
              <w:t>3</w:t>
            </w:r>
            <w:r w:rsidR="002728C9">
              <w:rPr>
                <w:noProof/>
                <w:webHidden/>
              </w:rPr>
              <w:fldChar w:fldCharType="end"/>
            </w:r>
          </w:hyperlink>
        </w:p>
        <w:p w14:paraId="0B74B2D1" w14:textId="08EC0C19" w:rsidR="002728C9" w:rsidRDefault="00BD4527">
          <w:pPr>
            <w:pStyle w:val="TOC2"/>
            <w:rPr>
              <w:rFonts w:eastAsiaTheme="minorEastAsia"/>
              <w:noProof/>
              <w:lang w:val="en-GB" w:eastAsia="en-GB"/>
            </w:rPr>
          </w:pPr>
          <w:hyperlink w:anchor="_Toc172282242" w:history="1">
            <w:r w:rsidR="002728C9" w:rsidRPr="00514DBE">
              <w:rPr>
                <w:rStyle w:val="Hyperlink"/>
                <w:rFonts w:ascii="Arial" w:hAnsi="Arial" w:cs="Arial"/>
                <w:noProof/>
              </w:rPr>
              <w:t>2.2.</w:t>
            </w:r>
            <w:r w:rsidR="002728C9">
              <w:rPr>
                <w:rFonts w:eastAsiaTheme="minorEastAsia"/>
                <w:noProof/>
                <w:lang w:val="en-GB" w:eastAsia="en-GB"/>
              </w:rPr>
              <w:tab/>
            </w:r>
            <w:r w:rsidR="002728C9" w:rsidRPr="00514DBE">
              <w:rPr>
                <w:rStyle w:val="Hyperlink"/>
                <w:rFonts w:ascii="Arial" w:hAnsi="Arial" w:cs="Arial"/>
                <w:noProof/>
              </w:rPr>
              <w:t>Struktura unutarnjeg duga Federacije BiH na dan 31. 12. 2023.</w:t>
            </w:r>
            <w:r w:rsidR="002728C9">
              <w:rPr>
                <w:noProof/>
                <w:webHidden/>
              </w:rPr>
              <w:tab/>
            </w:r>
            <w:r w:rsidR="002728C9">
              <w:rPr>
                <w:noProof/>
                <w:webHidden/>
              </w:rPr>
              <w:fldChar w:fldCharType="begin"/>
            </w:r>
            <w:r w:rsidR="002728C9">
              <w:rPr>
                <w:noProof/>
                <w:webHidden/>
              </w:rPr>
              <w:instrText xml:space="preserve"> PAGEREF _Toc172282242 \h </w:instrText>
            </w:r>
            <w:r w:rsidR="002728C9">
              <w:rPr>
                <w:noProof/>
                <w:webHidden/>
              </w:rPr>
            </w:r>
            <w:r w:rsidR="002728C9">
              <w:rPr>
                <w:noProof/>
                <w:webHidden/>
              </w:rPr>
              <w:fldChar w:fldCharType="separate"/>
            </w:r>
            <w:r w:rsidR="002728C9">
              <w:rPr>
                <w:noProof/>
                <w:webHidden/>
              </w:rPr>
              <w:t>4</w:t>
            </w:r>
            <w:r w:rsidR="002728C9">
              <w:rPr>
                <w:noProof/>
                <w:webHidden/>
              </w:rPr>
              <w:fldChar w:fldCharType="end"/>
            </w:r>
          </w:hyperlink>
        </w:p>
        <w:p w14:paraId="16FCBB9E" w14:textId="1CF0E1D6" w:rsidR="002728C9" w:rsidRDefault="00BD4527">
          <w:pPr>
            <w:pStyle w:val="TOC3"/>
            <w:rPr>
              <w:rFonts w:eastAsiaTheme="minorEastAsia"/>
              <w:noProof/>
              <w:lang w:val="en-GB" w:eastAsia="en-GB"/>
            </w:rPr>
          </w:pPr>
          <w:hyperlink w:anchor="_Toc172282243" w:history="1">
            <w:r w:rsidR="002728C9" w:rsidRPr="00514DBE">
              <w:rPr>
                <w:rStyle w:val="Hyperlink"/>
                <w:rFonts w:ascii="Arial" w:hAnsi="Arial" w:cs="Arial"/>
                <w:noProof/>
              </w:rPr>
              <w:t>2.2.1.</w:t>
            </w:r>
            <w:r w:rsidR="002728C9">
              <w:rPr>
                <w:rFonts w:eastAsiaTheme="minorEastAsia"/>
                <w:noProof/>
                <w:lang w:val="en-GB" w:eastAsia="en-GB"/>
              </w:rPr>
              <w:tab/>
            </w:r>
            <w:r w:rsidR="002728C9" w:rsidRPr="00514DBE">
              <w:rPr>
                <w:rStyle w:val="Hyperlink"/>
                <w:rFonts w:ascii="Arial" w:hAnsi="Arial" w:cs="Arial"/>
                <w:noProof/>
              </w:rPr>
              <w:t>Kamatna struktura unutarnjeg duga Federacije BiH</w:t>
            </w:r>
            <w:r w:rsidR="002728C9">
              <w:rPr>
                <w:noProof/>
                <w:webHidden/>
              </w:rPr>
              <w:tab/>
            </w:r>
            <w:r w:rsidR="002728C9">
              <w:rPr>
                <w:noProof/>
                <w:webHidden/>
              </w:rPr>
              <w:fldChar w:fldCharType="begin"/>
            </w:r>
            <w:r w:rsidR="002728C9">
              <w:rPr>
                <w:noProof/>
                <w:webHidden/>
              </w:rPr>
              <w:instrText xml:space="preserve"> PAGEREF _Toc172282243 \h </w:instrText>
            </w:r>
            <w:r w:rsidR="002728C9">
              <w:rPr>
                <w:noProof/>
                <w:webHidden/>
              </w:rPr>
            </w:r>
            <w:r w:rsidR="002728C9">
              <w:rPr>
                <w:noProof/>
                <w:webHidden/>
              </w:rPr>
              <w:fldChar w:fldCharType="separate"/>
            </w:r>
            <w:r w:rsidR="002728C9">
              <w:rPr>
                <w:noProof/>
                <w:webHidden/>
              </w:rPr>
              <w:t>4</w:t>
            </w:r>
            <w:r w:rsidR="002728C9">
              <w:rPr>
                <w:noProof/>
                <w:webHidden/>
              </w:rPr>
              <w:fldChar w:fldCharType="end"/>
            </w:r>
          </w:hyperlink>
        </w:p>
        <w:p w14:paraId="78B65F02" w14:textId="1101EB6B" w:rsidR="002728C9" w:rsidRDefault="00BD4527">
          <w:pPr>
            <w:pStyle w:val="TOC1"/>
            <w:rPr>
              <w:rFonts w:asciiTheme="minorHAnsi" w:eastAsiaTheme="minorEastAsia" w:hAnsiTheme="minorHAnsi" w:cstheme="minorBidi"/>
              <w:sz w:val="22"/>
              <w:szCs w:val="22"/>
              <w:lang w:val="en-GB" w:eastAsia="en-GB"/>
            </w:rPr>
          </w:pPr>
          <w:hyperlink w:anchor="_Toc172282244" w:history="1">
            <w:r w:rsidR="002728C9" w:rsidRPr="00514DBE">
              <w:rPr>
                <w:rStyle w:val="Hyperlink"/>
              </w:rPr>
              <w:t>3.</w:t>
            </w:r>
            <w:r w:rsidR="002728C9">
              <w:rPr>
                <w:rFonts w:asciiTheme="minorHAnsi" w:eastAsiaTheme="minorEastAsia" w:hAnsiTheme="minorHAnsi" w:cstheme="minorBidi"/>
                <w:sz w:val="22"/>
                <w:szCs w:val="22"/>
                <w:lang w:val="en-GB" w:eastAsia="en-GB"/>
              </w:rPr>
              <w:tab/>
            </w:r>
            <w:r w:rsidR="002728C9" w:rsidRPr="00514DBE">
              <w:rPr>
                <w:rStyle w:val="Hyperlink"/>
              </w:rPr>
              <w:t>RIZICI PORTFELJA DUGA FEDERACIJE BiH</w:t>
            </w:r>
            <w:r w:rsidR="002728C9">
              <w:rPr>
                <w:webHidden/>
              </w:rPr>
              <w:tab/>
            </w:r>
            <w:r w:rsidR="002728C9">
              <w:rPr>
                <w:webHidden/>
              </w:rPr>
              <w:fldChar w:fldCharType="begin"/>
            </w:r>
            <w:r w:rsidR="002728C9">
              <w:rPr>
                <w:webHidden/>
              </w:rPr>
              <w:instrText xml:space="preserve"> PAGEREF _Toc172282244 \h </w:instrText>
            </w:r>
            <w:r w:rsidR="002728C9">
              <w:rPr>
                <w:webHidden/>
              </w:rPr>
            </w:r>
            <w:r w:rsidR="002728C9">
              <w:rPr>
                <w:webHidden/>
              </w:rPr>
              <w:fldChar w:fldCharType="separate"/>
            </w:r>
            <w:r w:rsidR="002728C9">
              <w:rPr>
                <w:webHidden/>
              </w:rPr>
              <w:t>5</w:t>
            </w:r>
            <w:r w:rsidR="002728C9">
              <w:rPr>
                <w:webHidden/>
              </w:rPr>
              <w:fldChar w:fldCharType="end"/>
            </w:r>
          </w:hyperlink>
        </w:p>
        <w:p w14:paraId="0767BBED" w14:textId="55D43013" w:rsidR="002728C9" w:rsidRDefault="00BD4527">
          <w:pPr>
            <w:pStyle w:val="TOC2"/>
            <w:rPr>
              <w:rFonts w:eastAsiaTheme="minorEastAsia"/>
              <w:noProof/>
              <w:lang w:val="en-GB" w:eastAsia="en-GB"/>
            </w:rPr>
          </w:pPr>
          <w:hyperlink w:anchor="_Toc172282245" w:history="1">
            <w:r w:rsidR="002728C9" w:rsidRPr="00514DBE">
              <w:rPr>
                <w:rStyle w:val="Hyperlink"/>
                <w:rFonts w:ascii="Arial" w:hAnsi="Arial" w:cs="Arial"/>
                <w:noProof/>
              </w:rPr>
              <w:t>3.1.</w:t>
            </w:r>
            <w:r w:rsidR="002728C9">
              <w:rPr>
                <w:rFonts w:eastAsiaTheme="minorEastAsia"/>
                <w:noProof/>
                <w:lang w:val="en-GB" w:eastAsia="en-GB"/>
              </w:rPr>
              <w:tab/>
            </w:r>
            <w:r w:rsidR="002728C9" w:rsidRPr="00514DBE">
              <w:rPr>
                <w:rStyle w:val="Hyperlink"/>
                <w:rFonts w:ascii="Arial" w:hAnsi="Arial" w:cs="Arial"/>
                <w:noProof/>
              </w:rPr>
              <w:t>Karakteristike troškova i rizika portfelja duga Federacije BiH</w:t>
            </w:r>
            <w:r w:rsidR="002728C9">
              <w:rPr>
                <w:noProof/>
                <w:webHidden/>
              </w:rPr>
              <w:tab/>
            </w:r>
            <w:r w:rsidR="002728C9">
              <w:rPr>
                <w:noProof/>
                <w:webHidden/>
              </w:rPr>
              <w:fldChar w:fldCharType="begin"/>
            </w:r>
            <w:r w:rsidR="002728C9">
              <w:rPr>
                <w:noProof/>
                <w:webHidden/>
              </w:rPr>
              <w:instrText xml:space="preserve"> PAGEREF _Toc172282245 \h </w:instrText>
            </w:r>
            <w:r w:rsidR="002728C9">
              <w:rPr>
                <w:noProof/>
                <w:webHidden/>
              </w:rPr>
            </w:r>
            <w:r w:rsidR="002728C9">
              <w:rPr>
                <w:noProof/>
                <w:webHidden/>
              </w:rPr>
              <w:fldChar w:fldCharType="separate"/>
            </w:r>
            <w:r w:rsidR="002728C9">
              <w:rPr>
                <w:noProof/>
                <w:webHidden/>
              </w:rPr>
              <w:t>5</w:t>
            </w:r>
            <w:r w:rsidR="002728C9">
              <w:rPr>
                <w:noProof/>
                <w:webHidden/>
              </w:rPr>
              <w:fldChar w:fldCharType="end"/>
            </w:r>
          </w:hyperlink>
        </w:p>
        <w:p w14:paraId="31A131AA" w14:textId="23159960" w:rsidR="002728C9" w:rsidRDefault="00BD4527">
          <w:pPr>
            <w:pStyle w:val="TOC2"/>
            <w:rPr>
              <w:rFonts w:eastAsiaTheme="minorEastAsia"/>
              <w:noProof/>
              <w:lang w:val="en-GB" w:eastAsia="en-GB"/>
            </w:rPr>
          </w:pPr>
          <w:hyperlink w:anchor="_Toc172282246" w:history="1">
            <w:r w:rsidR="002728C9" w:rsidRPr="00514DBE">
              <w:rPr>
                <w:rStyle w:val="Hyperlink"/>
                <w:rFonts w:ascii="Arial" w:hAnsi="Arial" w:cs="Arial"/>
                <w:noProof/>
              </w:rPr>
              <w:t>3.2.</w:t>
            </w:r>
            <w:r w:rsidR="002728C9">
              <w:rPr>
                <w:rFonts w:eastAsiaTheme="minorEastAsia"/>
                <w:noProof/>
                <w:lang w:val="en-GB" w:eastAsia="en-GB"/>
              </w:rPr>
              <w:tab/>
            </w:r>
            <w:r w:rsidR="002728C9" w:rsidRPr="00514DBE">
              <w:rPr>
                <w:rStyle w:val="Hyperlink"/>
                <w:rFonts w:ascii="Arial" w:hAnsi="Arial" w:cs="Arial"/>
                <w:noProof/>
              </w:rPr>
              <w:t>Rizik refinanciranja</w:t>
            </w:r>
            <w:r w:rsidR="002728C9">
              <w:rPr>
                <w:noProof/>
                <w:webHidden/>
              </w:rPr>
              <w:tab/>
            </w:r>
            <w:r w:rsidR="002728C9">
              <w:rPr>
                <w:noProof/>
                <w:webHidden/>
              </w:rPr>
              <w:fldChar w:fldCharType="begin"/>
            </w:r>
            <w:r w:rsidR="002728C9">
              <w:rPr>
                <w:noProof/>
                <w:webHidden/>
              </w:rPr>
              <w:instrText xml:space="preserve"> PAGEREF _Toc172282246 \h </w:instrText>
            </w:r>
            <w:r w:rsidR="002728C9">
              <w:rPr>
                <w:noProof/>
                <w:webHidden/>
              </w:rPr>
            </w:r>
            <w:r w:rsidR="002728C9">
              <w:rPr>
                <w:noProof/>
                <w:webHidden/>
              </w:rPr>
              <w:fldChar w:fldCharType="separate"/>
            </w:r>
            <w:r w:rsidR="002728C9">
              <w:rPr>
                <w:noProof/>
                <w:webHidden/>
              </w:rPr>
              <w:t>5</w:t>
            </w:r>
            <w:r w:rsidR="002728C9">
              <w:rPr>
                <w:noProof/>
                <w:webHidden/>
              </w:rPr>
              <w:fldChar w:fldCharType="end"/>
            </w:r>
          </w:hyperlink>
        </w:p>
        <w:p w14:paraId="0FFB13F0" w14:textId="1E224D3D" w:rsidR="002728C9" w:rsidRDefault="00BD4527">
          <w:pPr>
            <w:pStyle w:val="TOC2"/>
            <w:rPr>
              <w:rFonts w:eastAsiaTheme="minorEastAsia"/>
              <w:noProof/>
              <w:lang w:val="en-GB" w:eastAsia="en-GB"/>
            </w:rPr>
          </w:pPr>
          <w:hyperlink w:anchor="_Toc172282247" w:history="1">
            <w:r w:rsidR="002728C9" w:rsidRPr="00514DBE">
              <w:rPr>
                <w:rStyle w:val="Hyperlink"/>
                <w:rFonts w:ascii="Arial" w:hAnsi="Arial" w:cs="Arial"/>
                <w:noProof/>
              </w:rPr>
              <w:t>3.3.</w:t>
            </w:r>
            <w:r w:rsidR="002728C9">
              <w:rPr>
                <w:rFonts w:eastAsiaTheme="minorEastAsia"/>
                <w:noProof/>
                <w:lang w:val="en-GB" w:eastAsia="en-GB"/>
              </w:rPr>
              <w:tab/>
            </w:r>
            <w:r w:rsidR="002728C9" w:rsidRPr="00514DBE">
              <w:rPr>
                <w:rStyle w:val="Hyperlink"/>
                <w:rFonts w:ascii="Arial" w:hAnsi="Arial" w:cs="Arial"/>
                <w:noProof/>
              </w:rPr>
              <w:t>Kamatni rizik</w:t>
            </w:r>
            <w:r w:rsidR="002728C9">
              <w:rPr>
                <w:noProof/>
                <w:webHidden/>
              </w:rPr>
              <w:tab/>
            </w:r>
            <w:r w:rsidR="002728C9">
              <w:rPr>
                <w:noProof/>
                <w:webHidden/>
              </w:rPr>
              <w:fldChar w:fldCharType="begin"/>
            </w:r>
            <w:r w:rsidR="002728C9">
              <w:rPr>
                <w:noProof/>
                <w:webHidden/>
              </w:rPr>
              <w:instrText xml:space="preserve"> PAGEREF _Toc172282247 \h </w:instrText>
            </w:r>
            <w:r w:rsidR="002728C9">
              <w:rPr>
                <w:noProof/>
                <w:webHidden/>
              </w:rPr>
            </w:r>
            <w:r w:rsidR="002728C9">
              <w:rPr>
                <w:noProof/>
                <w:webHidden/>
              </w:rPr>
              <w:fldChar w:fldCharType="separate"/>
            </w:r>
            <w:r w:rsidR="002728C9">
              <w:rPr>
                <w:noProof/>
                <w:webHidden/>
              </w:rPr>
              <w:t>6</w:t>
            </w:r>
            <w:r w:rsidR="002728C9">
              <w:rPr>
                <w:noProof/>
                <w:webHidden/>
              </w:rPr>
              <w:fldChar w:fldCharType="end"/>
            </w:r>
          </w:hyperlink>
        </w:p>
        <w:p w14:paraId="2E38951D" w14:textId="23D63490" w:rsidR="002728C9" w:rsidRDefault="00BD4527">
          <w:pPr>
            <w:pStyle w:val="TOC2"/>
            <w:rPr>
              <w:rFonts w:eastAsiaTheme="minorEastAsia"/>
              <w:noProof/>
              <w:lang w:val="en-GB" w:eastAsia="en-GB"/>
            </w:rPr>
          </w:pPr>
          <w:hyperlink w:anchor="_Toc172282248" w:history="1">
            <w:r w:rsidR="002728C9" w:rsidRPr="00514DBE">
              <w:rPr>
                <w:rStyle w:val="Hyperlink"/>
                <w:rFonts w:ascii="Arial" w:hAnsi="Arial" w:cs="Arial"/>
                <w:noProof/>
              </w:rPr>
              <w:t>3.4.</w:t>
            </w:r>
            <w:r w:rsidR="002728C9">
              <w:rPr>
                <w:rFonts w:eastAsiaTheme="minorEastAsia"/>
                <w:noProof/>
                <w:lang w:val="en-GB" w:eastAsia="en-GB"/>
              </w:rPr>
              <w:tab/>
            </w:r>
            <w:r w:rsidR="002728C9" w:rsidRPr="00514DBE">
              <w:rPr>
                <w:rStyle w:val="Hyperlink"/>
                <w:rFonts w:ascii="Arial" w:hAnsi="Arial" w:cs="Arial"/>
                <w:noProof/>
              </w:rPr>
              <w:t>Valutni rizik portfelja duga Federacije BiH</w:t>
            </w:r>
            <w:r w:rsidR="002728C9">
              <w:rPr>
                <w:noProof/>
                <w:webHidden/>
              </w:rPr>
              <w:tab/>
            </w:r>
            <w:r w:rsidR="002728C9">
              <w:rPr>
                <w:noProof/>
                <w:webHidden/>
              </w:rPr>
              <w:fldChar w:fldCharType="begin"/>
            </w:r>
            <w:r w:rsidR="002728C9">
              <w:rPr>
                <w:noProof/>
                <w:webHidden/>
              </w:rPr>
              <w:instrText xml:space="preserve"> PAGEREF _Toc172282248 \h </w:instrText>
            </w:r>
            <w:r w:rsidR="002728C9">
              <w:rPr>
                <w:noProof/>
                <w:webHidden/>
              </w:rPr>
            </w:r>
            <w:r w:rsidR="002728C9">
              <w:rPr>
                <w:noProof/>
                <w:webHidden/>
              </w:rPr>
              <w:fldChar w:fldCharType="separate"/>
            </w:r>
            <w:r w:rsidR="002728C9">
              <w:rPr>
                <w:noProof/>
                <w:webHidden/>
              </w:rPr>
              <w:t>6</w:t>
            </w:r>
            <w:r w:rsidR="002728C9">
              <w:rPr>
                <w:noProof/>
                <w:webHidden/>
              </w:rPr>
              <w:fldChar w:fldCharType="end"/>
            </w:r>
          </w:hyperlink>
        </w:p>
        <w:p w14:paraId="4BBD327B" w14:textId="23D7F23C" w:rsidR="002728C9" w:rsidRDefault="00BD4527">
          <w:pPr>
            <w:pStyle w:val="TOC1"/>
            <w:rPr>
              <w:rFonts w:asciiTheme="minorHAnsi" w:eastAsiaTheme="minorEastAsia" w:hAnsiTheme="minorHAnsi" w:cstheme="minorBidi"/>
              <w:sz w:val="22"/>
              <w:szCs w:val="22"/>
              <w:lang w:val="en-GB" w:eastAsia="en-GB"/>
            </w:rPr>
          </w:pPr>
          <w:hyperlink w:anchor="_Toc172282249" w:history="1">
            <w:r w:rsidR="002728C9" w:rsidRPr="00514DBE">
              <w:rPr>
                <w:rStyle w:val="Hyperlink"/>
              </w:rPr>
              <w:t>4.</w:t>
            </w:r>
            <w:r w:rsidR="002728C9">
              <w:rPr>
                <w:rFonts w:asciiTheme="minorHAnsi" w:eastAsiaTheme="minorEastAsia" w:hAnsiTheme="minorHAnsi" w:cstheme="minorBidi"/>
                <w:sz w:val="22"/>
                <w:szCs w:val="22"/>
                <w:lang w:val="en-GB" w:eastAsia="en-GB"/>
              </w:rPr>
              <w:tab/>
            </w:r>
            <w:r w:rsidR="002728C9" w:rsidRPr="00514DBE">
              <w:rPr>
                <w:rStyle w:val="Hyperlink"/>
              </w:rPr>
              <w:t>MAKROEKONOMSKI OKVIR</w:t>
            </w:r>
            <w:r w:rsidR="002728C9">
              <w:rPr>
                <w:webHidden/>
              </w:rPr>
              <w:tab/>
            </w:r>
            <w:r w:rsidR="002728C9">
              <w:rPr>
                <w:webHidden/>
              </w:rPr>
              <w:fldChar w:fldCharType="begin"/>
            </w:r>
            <w:r w:rsidR="002728C9">
              <w:rPr>
                <w:webHidden/>
              </w:rPr>
              <w:instrText xml:space="preserve"> PAGEREF _Toc172282249 \h </w:instrText>
            </w:r>
            <w:r w:rsidR="002728C9">
              <w:rPr>
                <w:webHidden/>
              </w:rPr>
            </w:r>
            <w:r w:rsidR="002728C9">
              <w:rPr>
                <w:webHidden/>
              </w:rPr>
              <w:fldChar w:fldCharType="separate"/>
            </w:r>
            <w:r w:rsidR="002728C9">
              <w:rPr>
                <w:webHidden/>
              </w:rPr>
              <w:t>7</w:t>
            </w:r>
            <w:r w:rsidR="002728C9">
              <w:rPr>
                <w:webHidden/>
              </w:rPr>
              <w:fldChar w:fldCharType="end"/>
            </w:r>
          </w:hyperlink>
        </w:p>
        <w:p w14:paraId="34467452" w14:textId="4BCE8E95" w:rsidR="002728C9" w:rsidRDefault="00BD4527">
          <w:pPr>
            <w:pStyle w:val="TOC1"/>
            <w:rPr>
              <w:rFonts w:asciiTheme="minorHAnsi" w:eastAsiaTheme="minorEastAsia" w:hAnsiTheme="minorHAnsi" w:cstheme="minorBidi"/>
              <w:sz w:val="22"/>
              <w:szCs w:val="22"/>
              <w:lang w:val="en-GB" w:eastAsia="en-GB"/>
            </w:rPr>
          </w:pPr>
          <w:hyperlink w:anchor="_Toc172282250" w:history="1">
            <w:r w:rsidR="002728C9" w:rsidRPr="00514DBE">
              <w:rPr>
                <w:rStyle w:val="Hyperlink"/>
              </w:rPr>
              <w:t>5.</w:t>
            </w:r>
            <w:r w:rsidR="002728C9">
              <w:rPr>
                <w:rFonts w:asciiTheme="minorHAnsi" w:eastAsiaTheme="minorEastAsia" w:hAnsiTheme="minorHAnsi" w:cstheme="minorBidi"/>
                <w:sz w:val="22"/>
                <w:szCs w:val="22"/>
                <w:lang w:val="en-GB" w:eastAsia="en-GB"/>
              </w:rPr>
              <w:tab/>
            </w:r>
            <w:r w:rsidR="002728C9" w:rsidRPr="00514DBE">
              <w:rPr>
                <w:rStyle w:val="Hyperlink"/>
              </w:rPr>
              <w:t>IZVORI  FINANCIRANJA</w:t>
            </w:r>
            <w:r w:rsidR="002728C9">
              <w:rPr>
                <w:webHidden/>
              </w:rPr>
              <w:tab/>
            </w:r>
            <w:r w:rsidR="002728C9">
              <w:rPr>
                <w:webHidden/>
              </w:rPr>
              <w:fldChar w:fldCharType="begin"/>
            </w:r>
            <w:r w:rsidR="002728C9">
              <w:rPr>
                <w:webHidden/>
              </w:rPr>
              <w:instrText xml:space="preserve"> PAGEREF _Toc172282250 \h </w:instrText>
            </w:r>
            <w:r w:rsidR="002728C9">
              <w:rPr>
                <w:webHidden/>
              </w:rPr>
            </w:r>
            <w:r w:rsidR="002728C9">
              <w:rPr>
                <w:webHidden/>
              </w:rPr>
              <w:fldChar w:fldCharType="separate"/>
            </w:r>
            <w:r w:rsidR="002728C9">
              <w:rPr>
                <w:webHidden/>
              </w:rPr>
              <w:t>10</w:t>
            </w:r>
            <w:r w:rsidR="002728C9">
              <w:rPr>
                <w:webHidden/>
              </w:rPr>
              <w:fldChar w:fldCharType="end"/>
            </w:r>
          </w:hyperlink>
        </w:p>
        <w:p w14:paraId="0DE94D40" w14:textId="263A8C4D" w:rsidR="002728C9" w:rsidRDefault="00BD4527">
          <w:pPr>
            <w:pStyle w:val="TOC2"/>
            <w:rPr>
              <w:rFonts w:eastAsiaTheme="minorEastAsia"/>
              <w:noProof/>
              <w:lang w:val="en-GB" w:eastAsia="en-GB"/>
            </w:rPr>
          </w:pPr>
          <w:hyperlink w:anchor="_Toc172282251" w:history="1">
            <w:r w:rsidR="002728C9" w:rsidRPr="00514DBE">
              <w:rPr>
                <w:rStyle w:val="Hyperlink"/>
                <w:rFonts w:ascii="Arial" w:hAnsi="Arial" w:cs="Arial"/>
                <w:noProof/>
              </w:rPr>
              <w:t>5.1.</w:t>
            </w:r>
            <w:r w:rsidR="002728C9">
              <w:rPr>
                <w:rFonts w:eastAsiaTheme="minorEastAsia"/>
                <w:noProof/>
                <w:lang w:val="en-GB" w:eastAsia="en-GB"/>
              </w:rPr>
              <w:tab/>
            </w:r>
            <w:r w:rsidR="002728C9" w:rsidRPr="00514DBE">
              <w:rPr>
                <w:rStyle w:val="Hyperlink"/>
                <w:rFonts w:ascii="Arial" w:hAnsi="Arial" w:cs="Arial"/>
                <w:noProof/>
              </w:rPr>
              <w:t>Vanjski izvori financiranja</w:t>
            </w:r>
            <w:r w:rsidR="002728C9">
              <w:rPr>
                <w:noProof/>
                <w:webHidden/>
              </w:rPr>
              <w:tab/>
            </w:r>
            <w:r w:rsidR="002728C9">
              <w:rPr>
                <w:noProof/>
                <w:webHidden/>
              </w:rPr>
              <w:fldChar w:fldCharType="begin"/>
            </w:r>
            <w:r w:rsidR="002728C9">
              <w:rPr>
                <w:noProof/>
                <w:webHidden/>
              </w:rPr>
              <w:instrText xml:space="preserve"> PAGEREF _Toc172282251 \h </w:instrText>
            </w:r>
            <w:r w:rsidR="002728C9">
              <w:rPr>
                <w:noProof/>
                <w:webHidden/>
              </w:rPr>
            </w:r>
            <w:r w:rsidR="002728C9">
              <w:rPr>
                <w:noProof/>
                <w:webHidden/>
              </w:rPr>
              <w:fldChar w:fldCharType="separate"/>
            </w:r>
            <w:r w:rsidR="002728C9">
              <w:rPr>
                <w:noProof/>
                <w:webHidden/>
              </w:rPr>
              <w:t>10</w:t>
            </w:r>
            <w:r w:rsidR="002728C9">
              <w:rPr>
                <w:noProof/>
                <w:webHidden/>
              </w:rPr>
              <w:fldChar w:fldCharType="end"/>
            </w:r>
          </w:hyperlink>
        </w:p>
        <w:p w14:paraId="4A455376" w14:textId="40DA7995" w:rsidR="002728C9" w:rsidRDefault="00BD4527">
          <w:pPr>
            <w:pStyle w:val="TOC2"/>
            <w:rPr>
              <w:rFonts w:eastAsiaTheme="minorEastAsia"/>
              <w:noProof/>
              <w:lang w:val="en-GB" w:eastAsia="en-GB"/>
            </w:rPr>
          </w:pPr>
          <w:hyperlink w:anchor="_Toc172282252" w:history="1">
            <w:r w:rsidR="002728C9" w:rsidRPr="00514DBE">
              <w:rPr>
                <w:rStyle w:val="Hyperlink"/>
                <w:rFonts w:ascii="Arial" w:hAnsi="Arial" w:cs="Arial"/>
                <w:noProof/>
              </w:rPr>
              <w:t>5.2.</w:t>
            </w:r>
            <w:r w:rsidR="002728C9">
              <w:rPr>
                <w:rFonts w:eastAsiaTheme="minorEastAsia"/>
                <w:noProof/>
                <w:lang w:val="en-GB" w:eastAsia="en-GB"/>
              </w:rPr>
              <w:tab/>
            </w:r>
            <w:r w:rsidR="002728C9" w:rsidRPr="00514DBE">
              <w:rPr>
                <w:rStyle w:val="Hyperlink"/>
                <w:rFonts w:ascii="Arial" w:hAnsi="Arial" w:cs="Arial"/>
                <w:noProof/>
              </w:rPr>
              <w:t>Domaći izvori financiranja</w:t>
            </w:r>
            <w:r w:rsidR="002728C9">
              <w:rPr>
                <w:noProof/>
                <w:webHidden/>
              </w:rPr>
              <w:tab/>
            </w:r>
            <w:r w:rsidR="002728C9">
              <w:rPr>
                <w:noProof/>
                <w:webHidden/>
              </w:rPr>
              <w:fldChar w:fldCharType="begin"/>
            </w:r>
            <w:r w:rsidR="002728C9">
              <w:rPr>
                <w:noProof/>
                <w:webHidden/>
              </w:rPr>
              <w:instrText xml:space="preserve"> PAGEREF _Toc172282252 \h </w:instrText>
            </w:r>
            <w:r w:rsidR="002728C9">
              <w:rPr>
                <w:noProof/>
                <w:webHidden/>
              </w:rPr>
            </w:r>
            <w:r w:rsidR="002728C9">
              <w:rPr>
                <w:noProof/>
                <w:webHidden/>
              </w:rPr>
              <w:fldChar w:fldCharType="separate"/>
            </w:r>
            <w:r w:rsidR="002728C9">
              <w:rPr>
                <w:noProof/>
                <w:webHidden/>
              </w:rPr>
              <w:t>10</w:t>
            </w:r>
            <w:r w:rsidR="002728C9">
              <w:rPr>
                <w:noProof/>
                <w:webHidden/>
              </w:rPr>
              <w:fldChar w:fldCharType="end"/>
            </w:r>
          </w:hyperlink>
        </w:p>
        <w:p w14:paraId="609FAD15" w14:textId="2DC492EC" w:rsidR="002728C9" w:rsidRDefault="00BD4527">
          <w:pPr>
            <w:pStyle w:val="TOC1"/>
            <w:rPr>
              <w:rFonts w:asciiTheme="minorHAnsi" w:eastAsiaTheme="minorEastAsia" w:hAnsiTheme="minorHAnsi" w:cstheme="minorBidi"/>
              <w:sz w:val="22"/>
              <w:szCs w:val="22"/>
              <w:lang w:val="en-GB" w:eastAsia="en-GB"/>
            </w:rPr>
          </w:pPr>
          <w:hyperlink w:anchor="_Toc172282253" w:history="1">
            <w:r w:rsidR="002728C9" w:rsidRPr="00514DBE">
              <w:rPr>
                <w:rStyle w:val="Hyperlink"/>
              </w:rPr>
              <w:t>6.</w:t>
            </w:r>
            <w:r w:rsidR="002728C9">
              <w:rPr>
                <w:rFonts w:asciiTheme="minorHAnsi" w:eastAsiaTheme="minorEastAsia" w:hAnsiTheme="minorHAnsi" w:cstheme="minorBidi"/>
                <w:sz w:val="22"/>
                <w:szCs w:val="22"/>
                <w:lang w:val="en-GB" w:eastAsia="en-GB"/>
              </w:rPr>
              <w:tab/>
            </w:r>
            <w:r w:rsidR="002728C9" w:rsidRPr="00514DBE">
              <w:rPr>
                <w:rStyle w:val="Hyperlink"/>
              </w:rPr>
              <w:t>PRETPOSTAVKE CIJENA I OPISI SCENARIJA ŠOKA</w:t>
            </w:r>
            <w:r w:rsidR="002728C9">
              <w:rPr>
                <w:webHidden/>
              </w:rPr>
              <w:tab/>
            </w:r>
            <w:r w:rsidR="002728C9">
              <w:rPr>
                <w:webHidden/>
              </w:rPr>
              <w:fldChar w:fldCharType="begin"/>
            </w:r>
            <w:r w:rsidR="002728C9">
              <w:rPr>
                <w:webHidden/>
              </w:rPr>
              <w:instrText xml:space="preserve"> PAGEREF _Toc172282253 \h </w:instrText>
            </w:r>
            <w:r w:rsidR="002728C9">
              <w:rPr>
                <w:webHidden/>
              </w:rPr>
            </w:r>
            <w:r w:rsidR="002728C9">
              <w:rPr>
                <w:webHidden/>
              </w:rPr>
              <w:fldChar w:fldCharType="separate"/>
            </w:r>
            <w:r w:rsidR="002728C9">
              <w:rPr>
                <w:webHidden/>
              </w:rPr>
              <w:t>12</w:t>
            </w:r>
            <w:r w:rsidR="002728C9">
              <w:rPr>
                <w:webHidden/>
              </w:rPr>
              <w:fldChar w:fldCharType="end"/>
            </w:r>
          </w:hyperlink>
        </w:p>
        <w:p w14:paraId="68BFE8F3" w14:textId="1EC98EE8" w:rsidR="002728C9" w:rsidRDefault="00BD4527">
          <w:pPr>
            <w:pStyle w:val="TOC2"/>
            <w:rPr>
              <w:rFonts w:eastAsiaTheme="minorEastAsia"/>
              <w:noProof/>
              <w:lang w:val="en-GB" w:eastAsia="en-GB"/>
            </w:rPr>
          </w:pPr>
          <w:hyperlink w:anchor="_Toc172282254" w:history="1">
            <w:r w:rsidR="002728C9" w:rsidRPr="00514DBE">
              <w:rPr>
                <w:rStyle w:val="Hyperlink"/>
                <w:rFonts w:ascii="Arial" w:hAnsi="Arial" w:cs="Arial"/>
                <w:noProof/>
              </w:rPr>
              <w:t>6.1.</w:t>
            </w:r>
            <w:r w:rsidR="002728C9">
              <w:rPr>
                <w:rFonts w:eastAsiaTheme="minorEastAsia"/>
                <w:noProof/>
                <w:lang w:val="en-GB" w:eastAsia="en-GB"/>
              </w:rPr>
              <w:tab/>
            </w:r>
            <w:r w:rsidR="002728C9" w:rsidRPr="00514DBE">
              <w:rPr>
                <w:rStyle w:val="Hyperlink"/>
                <w:rFonts w:ascii="Arial" w:hAnsi="Arial" w:cs="Arial"/>
                <w:noProof/>
              </w:rPr>
              <w:t>Scenarij nepredviđenih događaja (Šok scenarij)</w:t>
            </w:r>
            <w:r w:rsidR="002728C9">
              <w:rPr>
                <w:noProof/>
                <w:webHidden/>
              </w:rPr>
              <w:tab/>
            </w:r>
            <w:r w:rsidR="002728C9">
              <w:rPr>
                <w:noProof/>
                <w:webHidden/>
              </w:rPr>
              <w:fldChar w:fldCharType="begin"/>
            </w:r>
            <w:r w:rsidR="002728C9">
              <w:rPr>
                <w:noProof/>
                <w:webHidden/>
              </w:rPr>
              <w:instrText xml:space="preserve"> PAGEREF _Toc172282254 \h </w:instrText>
            </w:r>
            <w:r w:rsidR="002728C9">
              <w:rPr>
                <w:noProof/>
                <w:webHidden/>
              </w:rPr>
            </w:r>
            <w:r w:rsidR="002728C9">
              <w:rPr>
                <w:noProof/>
                <w:webHidden/>
              </w:rPr>
              <w:fldChar w:fldCharType="separate"/>
            </w:r>
            <w:r w:rsidR="002728C9">
              <w:rPr>
                <w:noProof/>
                <w:webHidden/>
              </w:rPr>
              <w:t>12</w:t>
            </w:r>
            <w:r w:rsidR="002728C9">
              <w:rPr>
                <w:noProof/>
                <w:webHidden/>
              </w:rPr>
              <w:fldChar w:fldCharType="end"/>
            </w:r>
          </w:hyperlink>
        </w:p>
        <w:p w14:paraId="2558A8D1" w14:textId="76AF3489" w:rsidR="002728C9" w:rsidRDefault="00BD4527">
          <w:pPr>
            <w:pStyle w:val="TOC2"/>
            <w:rPr>
              <w:rFonts w:eastAsiaTheme="minorEastAsia"/>
              <w:noProof/>
              <w:lang w:val="en-GB" w:eastAsia="en-GB"/>
            </w:rPr>
          </w:pPr>
          <w:hyperlink w:anchor="_Toc172282255" w:history="1">
            <w:r w:rsidR="002728C9" w:rsidRPr="00514DBE">
              <w:rPr>
                <w:rStyle w:val="Hyperlink"/>
                <w:rFonts w:ascii="Arial" w:hAnsi="Arial" w:cs="Arial"/>
                <w:noProof/>
              </w:rPr>
              <w:t>6.2.</w:t>
            </w:r>
            <w:r w:rsidR="002728C9">
              <w:rPr>
                <w:rFonts w:eastAsiaTheme="minorEastAsia"/>
                <w:noProof/>
                <w:lang w:val="en-GB" w:eastAsia="en-GB"/>
              </w:rPr>
              <w:tab/>
            </w:r>
            <w:r w:rsidR="002728C9" w:rsidRPr="00514DBE">
              <w:rPr>
                <w:rStyle w:val="Hyperlink"/>
                <w:rFonts w:ascii="Arial" w:hAnsi="Arial" w:cs="Arial"/>
                <w:noProof/>
              </w:rPr>
              <w:t>Opis alternativnih strategija upravljanja dugom</w:t>
            </w:r>
            <w:r w:rsidR="002728C9">
              <w:rPr>
                <w:noProof/>
                <w:webHidden/>
              </w:rPr>
              <w:tab/>
            </w:r>
            <w:r w:rsidR="002728C9">
              <w:rPr>
                <w:noProof/>
                <w:webHidden/>
              </w:rPr>
              <w:fldChar w:fldCharType="begin"/>
            </w:r>
            <w:r w:rsidR="002728C9">
              <w:rPr>
                <w:noProof/>
                <w:webHidden/>
              </w:rPr>
              <w:instrText xml:space="preserve"> PAGEREF _Toc172282255 \h </w:instrText>
            </w:r>
            <w:r w:rsidR="002728C9">
              <w:rPr>
                <w:noProof/>
                <w:webHidden/>
              </w:rPr>
            </w:r>
            <w:r w:rsidR="002728C9">
              <w:rPr>
                <w:noProof/>
                <w:webHidden/>
              </w:rPr>
              <w:fldChar w:fldCharType="separate"/>
            </w:r>
            <w:r w:rsidR="002728C9">
              <w:rPr>
                <w:noProof/>
                <w:webHidden/>
              </w:rPr>
              <w:t>15</w:t>
            </w:r>
            <w:r w:rsidR="002728C9">
              <w:rPr>
                <w:noProof/>
                <w:webHidden/>
              </w:rPr>
              <w:fldChar w:fldCharType="end"/>
            </w:r>
          </w:hyperlink>
        </w:p>
        <w:p w14:paraId="55511B0A" w14:textId="46D97022" w:rsidR="002728C9" w:rsidRDefault="00BD4527">
          <w:pPr>
            <w:pStyle w:val="TOC2"/>
            <w:rPr>
              <w:rFonts w:eastAsiaTheme="minorEastAsia"/>
              <w:noProof/>
              <w:lang w:val="en-GB" w:eastAsia="en-GB"/>
            </w:rPr>
          </w:pPr>
          <w:hyperlink w:anchor="_Toc172282256" w:history="1">
            <w:r w:rsidR="002728C9" w:rsidRPr="00514DBE">
              <w:rPr>
                <w:rStyle w:val="Hyperlink"/>
                <w:rFonts w:ascii="Arial" w:hAnsi="Arial" w:cs="Arial"/>
                <w:noProof/>
              </w:rPr>
              <w:t>6.3.</w:t>
            </w:r>
            <w:r w:rsidR="002728C9">
              <w:rPr>
                <w:rFonts w:eastAsiaTheme="minorEastAsia"/>
                <w:noProof/>
                <w:lang w:val="en-GB" w:eastAsia="en-GB"/>
              </w:rPr>
              <w:tab/>
            </w:r>
            <w:r w:rsidR="002728C9" w:rsidRPr="00514DBE">
              <w:rPr>
                <w:rStyle w:val="Hyperlink"/>
                <w:rFonts w:ascii="Arial" w:hAnsi="Arial" w:cs="Arial"/>
                <w:noProof/>
              </w:rPr>
              <w:t>Analiza troškova i rizika bazne i alternativnih strategija zaduživanja</w:t>
            </w:r>
            <w:r w:rsidR="002728C9">
              <w:rPr>
                <w:noProof/>
                <w:webHidden/>
              </w:rPr>
              <w:tab/>
            </w:r>
            <w:r w:rsidR="002728C9">
              <w:rPr>
                <w:noProof/>
                <w:webHidden/>
              </w:rPr>
              <w:fldChar w:fldCharType="begin"/>
            </w:r>
            <w:r w:rsidR="002728C9">
              <w:rPr>
                <w:noProof/>
                <w:webHidden/>
              </w:rPr>
              <w:instrText xml:space="preserve"> PAGEREF _Toc172282256 \h </w:instrText>
            </w:r>
            <w:r w:rsidR="002728C9">
              <w:rPr>
                <w:noProof/>
                <w:webHidden/>
              </w:rPr>
            </w:r>
            <w:r w:rsidR="002728C9">
              <w:rPr>
                <w:noProof/>
                <w:webHidden/>
              </w:rPr>
              <w:fldChar w:fldCharType="separate"/>
            </w:r>
            <w:r w:rsidR="002728C9">
              <w:rPr>
                <w:noProof/>
                <w:webHidden/>
              </w:rPr>
              <w:t>15</w:t>
            </w:r>
            <w:r w:rsidR="002728C9">
              <w:rPr>
                <w:noProof/>
                <w:webHidden/>
              </w:rPr>
              <w:fldChar w:fldCharType="end"/>
            </w:r>
          </w:hyperlink>
        </w:p>
        <w:p w14:paraId="2387228E" w14:textId="52DFA41E" w:rsidR="002728C9" w:rsidRDefault="00BD4527">
          <w:pPr>
            <w:pStyle w:val="TOC2"/>
            <w:rPr>
              <w:rFonts w:eastAsiaTheme="minorEastAsia"/>
              <w:noProof/>
              <w:lang w:val="en-GB" w:eastAsia="en-GB"/>
            </w:rPr>
          </w:pPr>
          <w:hyperlink w:anchor="_Toc172282257" w:history="1">
            <w:r w:rsidR="002728C9" w:rsidRPr="00514DBE">
              <w:rPr>
                <w:rStyle w:val="Hyperlink"/>
                <w:rFonts w:ascii="Arial" w:hAnsi="Arial" w:cs="Arial"/>
                <w:noProof/>
              </w:rPr>
              <w:t>6.4.</w:t>
            </w:r>
            <w:r w:rsidR="002728C9">
              <w:rPr>
                <w:rFonts w:eastAsiaTheme="minorEastAsia"/>
                <w:noProof/>
                <w:lang w:val="en-GB" w:eastAsia="en-GB"/>
              </w:rPr>
              <w:tab/>
            </w:r>
            <w:r w:rsidR="002728C9" w:rsidRPr="00514DBE">
              <w:rPr>
                <w:rStyle w:val="Hyperlink"/>
                <w:rFonts w:ascii="Arial" w:hAnsi="Arial" w:cs="Arial"/>
                <w:noProof/>
              </w:rPr>
              <w:t>Indikatori rizika alternativnih strategija</w:t>
            </w:r>
            <w:r w:rsidR="002728C9">
              <w:rPr>
                <w:noProof/>
                <w:webHidden/>
              </w:rPr>
              <w:tab/>
            </w:r>
            <w:r w:rsidR="002728C9">
              <w:rPr>
                <w:noProof/>
                <w:webHidden/>
              </w:rPr>
              <w:fldChar w:fldCharType="begin"/>
            </w:r>
            <w:r w:rsidR="002728C9">
              <w:rPr>
                <w:noProof/>
                <w:webHidden/>
              </w:rPr>
              <w:instrText xml:space="preserve"> PAGEREF _Toc172282257 \h </w:instrText>
            </w:r>
            <w:r w:rsidR="002728C9">
              <w:rPr>
                <w:noProof/>
                <w:webHidden/>
              </w:rPr>
            </w:r>
            <w:r w:rsidR="002728C9">
              <w:rPr>
                <w:noProof/>
                <w:webHidden/>
              </w:rPr>
              <w:fldChar w:fldCharType="separate"/>
            </w:r>
            <w:r w:rsidR="002728C9">
              <w:rPr>
                <w:noProof/>
                <w:webHidden/>
              </w:rPr>
              <w:t>17</w:t>
            </w:r>
            <w:r w:rsidR="002728C9">
              <w:rPr>
                <w:noProof/>
                <w:webHidden/>
              </w:rPr>
              <w:fldChar w:fldCharType="end"/>
            </w:r>
          </w:hyperlink>
        </w:p>
        <w:p w14:paraId="124565D9" w14:textId="10371D8C" w:rsidR="002728C9" w:rsidRDefault="00BD4527">
          <w:pPr>
            <w:pStyle w:val="TOC1"/>
            <w:rPr>
              <w:rFonts w:asciiTheme="minorHAnsi" w:eastAsiaTheme="minorEastAsia" w:hAnsiTheme="minorHAnsi" w:cstheme="minorBidi"/>
              <w:sz w:val="22"/>
              <w:szCs w:val="22"/>
              <w:lang w:val="en-GB" w:eastAsia="en-GB"/>
            </w:rPr>
          </w:pPr>
          <w:hyperlink w:anchor="_Toc172282258" w:history="1">
            <w:r w:rsidR="002728C9" w:rsidRPr="00514DBE">
              <w:rPr>
                <w:rStyle w:val="Hyperlink"/>
              </w:rPr>
              <w:t>7.</w:t>
            </w:r>
            <w:r w:rsidR="002728C9">
              <w:rPr>
                <w:rFonts w:asciiTheme="minorHAnsi" w:eastAsiaTheme="minorEastAsia" w:hAnsiTheme="minorHAnsi" w:cstheme="minorBidi"/>
                <w:sz w:val="22"/>
                <w:szCs w:val="22"/>
                <w:lang w:val="en-GB" w:eastAsia="en-GB"/>
              </w:rPr>
              <w:tab/>
            </w:r>
            <w:r w:rsidR="002728C9" w:rsidRPr="00514DBE">
              <w:rPr>
                <w:rStyle w:val="Hyperlink"/>
              </w:rPr>
              <w:t>SMJERNICE ZA UPRAVLJANJE DUGOM</w:t>
            </w:r>
            <w:r w:rsidR="002728C9">
              <w:rPr>
                <w:webHidden/>
              </w:rPr>
              <w:tab/>
            </w:r>
            <w:r w:rsidR="002728C9">
              <w:rPr>
                <w:webHidden/>
              </w:rPr>
              <w:fldChar w:fldCharType="begin"/>
            </w:r>
            <w:r w:rsidR="002728C9">
              <w:rPr>
                <w:webHidden/>
              </w:rPr>
              <w:instrText xml:space="preserve"> PAGEREF _Toc172282258 \h </w:instrText>
            </w:r>
            <w:r w:rsidR="002728C9">
              <w:rPr>
                <w:webHidden/>
              </w:rPr>
            </w:r>
            <w:r w:rsidR="002728C9">
              <w:rPr>
                <w:webHidden/>
              </w:rPr>
              <w:fldChar w:fldCharType="separate"/>
            </w:r>
            <w:r w:rsidR="002728C9">
              <w:rPr>
                <w:webHidden/>
              </w:rPr>
              <w:t>18</w:t>
            </w:r>
            <w:r w:rsidR="002728C9">
              <w:rPr>
                <w:webHidden/>
              </w:rPr>
              <w:fldChar w:fldCharType="end"/>
            </w:r>
          </w:hyperlink>
        </w:p>
        <w:p w14:paraId="0B60FB85" w14:textId="055FC9D7" w:rsidR="002728C9" w:rsidRDefault="00BD4527">
          <w:pPr>
            <w:pStyle w:val="TOC2"/>
            <w:rPr>
              <w:rFonts w:eastAsiaTheme="minorEastAsia"/>
              <w:noProof/>
              <w:lang w:val="en-GB" w:eastAsia="en-GB"/>
            </w:rPr>
          </w:pPr>
          <w:hyperlink w:anchor="_Toc172282259" w:history="1">
            <w:r w:rsidR="002728C9" w:rsidRPr="00514DBE">
              <w:rPr>
                <w:rStyle w:val="Hyperlink"/>
                <w:rFonts w:ascii="Arial" w:hAnsi="Arial" w:cs="Arial"/>
                <w:noProof/>
              </w:rPr>
              <w:t>7.1.</w:t>
            </w:r>
            <w:r w:rsidR="002728C9">
              <w:rPr>
                <w:rFonts w:eastAsiaTheme="minorEastAsia"/>
                <w:noProof/>
                <w:lang w:val="en-GB" w:eastAsia="en-GB"/>
              </w:rPr>
              <w:tab/>
            </w:r>
            <w:r w:rsidR="002728C9" w:rsidRPr="00514DBE">
              <w:rPr>
                <w:rStyle w:val="Hyperlink"/>
                <w:rFonts w:ascii="Arial" w:hAnsi="Arial" w:cs="Arial"/>
                <w:noProof/>
              </w:rPr>
              <w:t>Sveukupna struktura portfelja duga</w:t>
            </w:r>
            <w:r w:rsidR="002728C9">
              <w:rPr>
                <w:noProof/>
                <w:webHidden/>
              </w:rPr>
              <w:tab/>
            </w:r>
            <w:r w:rsidR="002728C9">
              <w:rPr>
                <w:noProof/>
                <w:webHidden/>
              </w:rPr>
              <w:fldChar w:fldCharType="begin"/>
            </w:r>
            <w:r w:rsidR="002728C9">
              <w:rPr>
                <w:noProof/>
                <w:webHidden/>
              </w:rPr>
              <w:instrText xml:space="preserve"> PAGEREF _Toc172282259 \h </w:instrText>
            </w:r>
            <w:r w:rsidR="002728C9">
              <w:rPr>
                <w:noProof/>
                <w:webHidden/>
              </w:rPr>
            </w:r>
            <w:r w:rsidR="002728C9">
              <w:rPr>
                <w:noProof/>
                <w:webHidden/>
              </w:rPr>
              <w:fldChar w:fldCharType="separate"/>
            </w:r>
            <w:r w:rsidR="002728C9">
              <w:rPr>
                <w:noProof/>
                <w:webHidden/>
              </w:rPr>
              <w:t>18</w:t>
            </w:r>
            <w:r w:rsidR="002728C9">
              <w:rPr>
                <w:noProof/>
                <w:webHidden/>
              </w:rPr>
              <w:fldChar w:fldCharType="end"/>
            </w:r>
          </w:hyperlink>
        </w:p>
        <w:p w14:paraId="229DCDF2" w14:textId="0B9739D0" w:rsidR="002728C9" w:rsidRDefault="00BD4527">
          <w:pPr>
            <w:pStyle w:val="TOC2"/>
            <w:rPr>
              <w:rFonts w:eastAsiaTheme="minorEastAsia"/>
              <w:noProof/>
              <w:lang w:val="en-GB" w:eastAsia="en-GB"/>
            </w:rPr>
          </w:pPr>
          <w:hyperlink w:anchor="_Toc172282260" w:history="1">
            <w:r w:rsidR="002728C9" w:rsidRPr="00514DBE">
              <w:rPr>
                <w:rStyle w:val="Hyperlink"/>
                <w:rFonts w:ascii="Arial" w:hAnsi="Arial" w:cs="Arial"/>
                <w:noProof/>
              </w:rPr>
              <w:t>7.2.</w:t>
            </w:r>
            <w:r w:rsidR="002728C9">
              <w:rPr>
                <w:rFonts w:eastAsiaTheme="minorEastAsia"/>
                <w:noProof/>
                <w:lang w:val="en-GB" w:eastAsia="en-GB"/>
              </w:rPr>
              <w:tab/>
            </w:r>
            <w:r w:rsidR="002728C9" w:rsidRPr="00514DBE">
              <w:rPr>
                <w:rStyle w:val="Hyperlink"/>
                <w:rFonts w:ascii="Arial" w:hAnsi="Arial" w:cs="Arial"/>
                <w:noProof/>
              </w:rPr>
              <w:t>Smjernice za zaduživanje</w:t>
            </w:r>
            <w:r w:rsidR="002728C9">
              <w:rPr>
                <w:noProof/>
                <w:webHidden/>
              </w:rPr>
              <w:tab/>
            </w:r>
            <w:r w:rsidR="002728C9">
              <w:rPr>
                <w:noProof/>
                <w:webHidden/>
              </w:rPr>
              <w:fldChar w:fldCharType="begin"/>
            </w:r>
            <w:r w:rsidR="002728C9">
              <w:rPr>
                <w:noProof/>
                <w:webHidden/>
              </w:rPr>
              <w:instrText xml:space="preserve"> PAGEREF _Toc172282260 \h </w:instrText>
            </w:r>
            <w:r w:rsidR="002728C9">
              <w:rPr>
                <w:noProof/>
                <w:webHidden/>
              </w:rPr>
            </w:r>
            <w:r w:rsidR="002728C9">
              <w:rPr>
                <w:noProof/>
                <w:webHidden/>
              </w:rPr>
              <w:fldChar w:fldCharType="separate"/>
            </w:r>
            <w:r w:rsidR="002728C9">
              <w:rPr>
                <w:noProof/>
                <w:webHidden/>
              </w:rPr>
              <w:t>18</w:t>
            </w:r>
            <w:r w:rsidR="002728C9">
              <w:rPr>
                <w:noProof/>
                <w:webHidden/>
              </w:rPr>
              <w:fldChar w:fldCharType="end"/>
            </w:r>
          </w:hyperlink>
        </w:p>
        <w:p w14:paraId="1AF29256" w14:textId="44BDA039" w:rsidR="002728C9" w:rsidRDefault="00BD4527">
          <w:pPr>
            <w:pStyle w:val="TOC2"/>
            <w:rPr>
              <w:rFonts w:eastAsiaTheme="minorEastAsia"/>
              <w:noProof/>
              <w:lang w:val="en-GB" w:eastAsia="en-GB"/>
            </w:rPr>
          </w:pPr>
          <w:hyperlink w:anchor="_Toc172282261" w:history="1">
            <w:r w:rsidR="002728C9" w:rsidRPr="00514DBE">
              <w:rPr>
                <w:rStyle w:val="Hyperlink"/>
                <w:rFonts w:ascii="Arial" w:hAnsi="Arial" w:cs="Arial"/>
                <w:noProof/>
              </w:rPr>
              <w:t>7.3.</w:t>
            </w:r>
            <w:r w:rsidR="002728C9">
              <w:rPr>
                <w:rFonts w:eastAsiaTheme="minorEastAsia"/>
                <w:noProof/>
                <w:lang w:val="en-GB" w:eastAsia="en-GB"/>
              </w:rPr>
              <w:tab/>
            </w:r>
            <w:r w:rsidR="002728C9" w:rsidRPr="00514DBE">
              <w:rPr>
                <w:rStyle w:val="Hyperlink"/>
                <w:rFonts w:ascii="Arial" w:hAnsi="Arial" w:cs="Arial"/>
                <w:noProof/>
              </w:rPr>
              <w:t>Kvantitativni ciljevi</w:t>
            </w:r>
            <w:r w:rsidR="002728C9">
              <w:rPr>
                <w:noProof/>
                <w:webHidden/>
              </w:rPr>
              <w:tab/>
            </w:r>
            <w:r w:rsidR="002728C9">
              <w:rPr>
                <w:noProof/>
                <w:webHidden/>
              </w:rPr>
              <w:fldChar w:fldCharType="begin"/>
            </w:r>
            <w:r w:rsidR="002728C9">
              <w:rPr>
                <w:noProof/>
                <w:webHidden/>
              </w:rPr>
              <w:instrText xml:space="preserve"> PAGEREF _Toc172282261 \h </w:instrText>
            </w:r>
            <w:r w:rsidR="002728C9">
              <w:rPr>
                <w:noProof/>
                <w:webHidden/>
              </w:rPr>
            </w:r>
            <w:r w:rsidR="002728C9">
              <w:rPr>
                <w:noProof/>
                <w:webHidden/>
              </w:rPr>
              <w:fldChar w:fldCharType="separate"/>
            </w:r>
            <w:r w:rsidR="002728C9">
              <w:rPr>
                <w:noProof/>
                <w:webHidden/>
              </w:rPr>
              <w:t>18</w:t>
            </w:r>
            <w:r w:rsidR="002728C9">
              <w:rPr>
                <w:noProof/>
                <w:webHidden/>
              </w:rPr>
              <w:fldChar w:fldCharType="end"/>
            </w:r>
          </w:hyperlink>
        </w:p>
        <w:p w14:paraId="21E528BE" w14:textId="66E4A36A" w:rsidR="0042308F" w:rsidRPr="00677AB0" w:rsidRDefault="0042308F" w:rsidP="0042308F">
          <w:r w:rsidRPr="00677AB0">
            <w:rPr>
              <w:rFonts w:ascii="Arial" w:hAnsi="Arial" w:cs="Arial"/>
              <w:sz w:val="20"/>
              <w:szCs w:val="20"/>
            </w:rPr>
            <w:fldChar w:fldCharType="end"/>
          </w:r>
        </w:p>
      </w:sdtContent>
    </w:sdt>
    <w:p w14:paraId="6F58D05F" w14:textId="77777777" w:rsidR="0042308F" w:rsidRPr="00677AB0" w:rsidRDefault="0042308F" w:rsidP="0042308F">
      <w:pPr>
        <w:spacing w:line="240" w:lineRule="auto"/>
        <w:ind w:left="-426"/>
        <w:jc w:val="center"/>
        <w:rPr>
          <w:rFonts w:ascii="Arial" w:hAnsi="Arial" w:cs="Arial"/>
          <w:sz w:val="24"/>
          <w:szCs w:val="24"/>
        </w:rPr>
      </w:pPr>
      <w:r w:rsidRPr="00677AB0">
        <w:rPr>
          <w:rFonts w:ascii="Arial" w:hAnsi="Arial" w:cs="Arial"/>
          <w:sz w:val="24"/>
          <w:szCs w:val="24"/>
        </w:rPr>
        <w:br w:type="page"/>
      </w:r>
    </w:p>
    <w:p w14:paraId="3D3EB410" w14:textId="77777777" w:rsidR="0042308F" w:rsidRPr="00677AB0" w:rsidRDefault="0042308F" w:rsidP="0042308F">
      <w:pPr>
        <w:spacing w:line="240" w:lineRule="auto"/>
        <w:ind w:left="-426"/>
        <w:jc w:val="center"/>
        <w:rPr>
          <w:rFonts w:ascii="Arial" w:hAnsi="Arial" w:cs="Arial"/>
          <w:sz w:val="24"/>
          <w:szCs w:val="24"/>
        </w:rPr>
      </w:pPr>
      <w:r w:rsidRPr="00677AB0">
        <w:rPr>
          <w:rFonts w:ascii="Arial" w:hAnsi="Arial" w:cs="Arial"/>
          <w:sz w:val="24"/>
          <w:szCs w:val="24"/>
        </w:rPr>
        <w:lastRenderedPageBreak/>
        <w:t>SKRAĆENICE</w:t>
      </w:r>
    </w:p>
    <w:p w14:paraId="298EA4DA" w14:textId="77777777" w:rsidR="0042308F" w:rsidRPr="00677AB0" w:rsidRDefault="0042308F" w:rsidP="0042308F">
      <w:pPr>
        <w:spacing w:line="240" w:lineRule="auto"/>
        <w:ind w:left="-426"/>
        <w:jc w:val="center"/>
        <w:rPr>
          <w:rFonts w:ascii="Arial" w:hAnsi="Arial" w:cs="Arial"/>
          <w:sz w:val="24"/>
          <w:szCs w:val="24"/>
        </w:rPr>
      </w:pPr>
    </w:p>
    <w:tbl>
      <w:tblPr>
        <w:tblW w:w="10207" w:type="dxa"/>
        <w:tblInd w:w="-426" w:type="dxa"/>
        <w:tblLook w:val="04A0" w:firstRow="1" w:lastRow="0" w:firstColumn="1" w:lastColumn="0" w:noHBand="0" w:noVBand="1"/>
      </w:tblPr>
      <w:tblGrid>
        <w:gridCol w:w="883"/>
        <w:gridCol w:w="290"/>
        <w:gridCol w:w="9034"/>
      </w:tblGrid>
      <w:tr w:rsidR="0042308F" w:rsidRPr="00677AB0" w14:paraId="4C0D90F1" w14:textId="77777777" w:rsidTr="0042308F">
        <w:trPr>
          <w:trHeight w:val="567"/>
        </w:trPr>
        <w:tc>
          <w:tcPr>
            <w:tcW w:w="883" w:type="dxa"/>
            <w:shd w:val="clear" w:color="auto" w:fill="auto"/>
            <w:noWrap/>
            <w:hideMark/>
          </w:tcPr>
          <w:p w14:paraId="60570D45"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ATM</w:t>
            </w:r>
          </w:p>
        </w:tc>
        <w:tc>
          <w:tcPr>
            <w:tcW w:w="290" w:type="dxa"/>
            <w:shd w:val="clear" w:color="auto" w:fill="auto"/>
            <w:noWrap/>
            <w:hideMark/>
          </w:tcPr>
          <w:p w14:paraId="06A4F440"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013AE91C"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Prosječno vrijeme dospijeća (Average Time to Maturity)</w:t>
            </w:r>
          </w:p>
        </w:tc>
      </w:tr>
      <w:tr w:rsidR="0042308F" w:rsidRPr="00677AB0" w14:paraId="76C73E8F" w14:textId="77777777" w:rsidTr="0042308F">
        <w:trPr>
          <w:trHeight w:val="567"/>
        </w:trPr>
        <w:tc>
          <w:tcPr>
            <w:tcW w:w="883" w:type="dxa"/>
            <w:shd w:val="clear" w:color="auto" w:fill="auto"/>
            <w:noWrap/>
            <w:hideMark/>
          </w:tcPr>
          <w:p w14:paraId="3F7E491D"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ATR</w:t>
            </w:r>
          </w:p>
        </w:tc>
        <w:tc>
          <w:tcPr>
            <w:tcW w:w="290" w:type="dxa"/>
            <w:shd w:val="clear" w:color="auto" w:fill="auto"/>
            <w:noWrap/>
            <w:hideMark/>
          </w:tcPr>
          <w:p w14:paraId="6AC7C17D"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0C56BE17"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Prosječno vrijeme refiksiranja (Average Time to Refixing)</w:t>
            </w:r>
          </w:p>
        </w:tc>
      </w:tr>
      <w:tr w:rsidR="0042308F" w:rsidRPr="00677AB0" w14:paraId="11C41CD8" w14:textId="77777777" w:rsidTr="0042308F">
        <w:trPr>
          <w:trHeight w:val="567"/>
        </w:trPr>
        <w:tc>
          <w:tcPr>
            <w:tcW w:w="883" w:type="dxa"/>
            <w:shd w:val="clear" w:color="auto" w:fill="auto"/>
            <w:noWrap/>
            <w:hideMark/>
          </w:tcPr>
          <w:p w14:paraId="54B7FBB8"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BDP</w:t>
            </w:r>
          </w:p>
        </w:tc>
        <w:tc>
          <w:tcPr>
            <w:tcW w:w="290" w:type="dxa"/>
            <w:shd w:val="clear" w:color="auto" w:fill="auto"/>
            <w:noWrap/>
            <w:hideMark/>
          </w:tcPr>
          <w:p w14:paraId="3140A0C7"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1764D174"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Bruto domaći proizvod  (Gross Domestic Product)</w:t>
            </w:r>
          </w:p>
        </w:tc>
      </w:tr>
      <w:tr w:rsidR="0042308F" w:rsidRPr="00677AB0" w14:paraId="010E76D8" w14:textId="77777777" w:rsidTr="0042308F">
        <w:trPr>
          <w:trHeight w:val="567"/>
        </w:trPr>
        <w:tc>
          <w:tcPr>
            <w:tcW w:w="883" w:type="dxa"/>
            <w:shd w:val="clear" w:color="auto" w:fill="auto"/>
            <w:noWrap/>
            <w:hideMark/>
          </w:tcPr>
          <w:p w14:paraId="2B934BCF" w14:textId="77777777" w:rsidR="0042308F" w:rsidRPr="00677AB0" w:rsidRDefault="0042308F" w:rsidP="007D084A">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DO</w:t>
            </w:r>
            <w:r w:rsidR="007D084A">
              <w:rPr>
                <w:rFonts w:ascii="Arial" w:eastAsia="Times New Roman" w:hAnsi="Arial" w:cs="Arial"/>
                <w:szCs w:val="24"/>
                <w:lang w:eastAsia="bs-Latn-BA"/>
              </w:rPr>
              <w:t>P</w:t>
            </w:r>
          </w:p>
        </w:tc>
        <w:tc>
          <w:tcPr>
            <w:tcW w:w="290" w:type="dxa"/>
            <w:shd w:val="clear" w:color="auto" w:fill="auto"/>
            <w:noWrap/>
            <w:hideMark/>
          </w:tcPr>
          <w:p w14:paraId="4CD006A9"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639C5FA7"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 xml:space="preserve">Dokument okvirnog </w:t>
            </w:r>
            <w:r w:rsidR="007D084A">
              <w:rPr>
                <w:rFonts w:ascii="Arial" w:eastAsia="Times New Roman" w:hAnsi="Arial" w:cs="Arial"/>
                <w:szCs w:val="24"/>
                <w:lang w:eastAsia="bs-Latn-BA"/>
              </w:rPr>
              <w:t>proračun</w:t>
            </w:r>
            <w:r w:rsidRPr="00677AB0">
              <w:rPr>
                <w:rFonts w:ascii="Arial" w:eastAsia="Times New Roman" w:hAnsi="Arial" w:cs="Arial"/>
                <w:szCs w:val="24"/>
                <w:lang w:eastAsia="bs-Latn-BA"/>
              </w:rPr>
              <w:t>a</w:t>
            </w:r>
          </w:p>
        </w:tc>
      </w:tr>
      <w:tr w:rsidR="0042308F" w:rsidRPr="00677AB0" w14:paraId="582F232E" w14:textId="77777777" w:rsidTr="0042308F">
        <w:trPr>
          <w:trHeight w:val="567"/>
        </w:trPr>
        <w:tc>
          <w:tcPr>
            <w:tcW w:w="883" w:type="dxa"/>
            <w:shd w:val="clear" w:color="auto" w:fill="auto"/>
            <w:noWrap/>
            <w:hideMark/>
          </w:tcPr>
          <w:p w14:paraId="22F1E289"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EBRD</w:t>
            </w:r>
          </w:p>
        </w:tc>
        <w:tc>
          <w:tcPr>
            <w:tcW w:w="290" w:type="dxa"/>
            <w:shd w:val="clear" w:color="auto" w:fill="auto"/>
            <w:noWrap/>
            <w:hideMark/>
          </w:tcPr>
          <w:p w14:paraId="348C5FBD"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hideMark/>
          </w:tcPr>
          <w:p w14:paraId="08419CF5" w14:textId="77777777" w:rsidR="0042308F" w:rsidRPr="00677AB0" w:rsidRDefault="0042308F" w:rsidP="007D084A">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w:t>
            </w:r>
            <w:r w:rsidR="007D084A">
              <w:rPr>
                <w:rFonts w:ascii="Arial" w:eastAsia="Times New Roman" w:hAnsi="Arial" w:cs="Arial"/>
                <w:szCs w:val="24"/>
                <w:lang w:eastAsia="bs-Latn-BA"/>
              </w:rPr>
              <w:t>u</w:t>
            </w:r>
            <w:r w:rsidRPr="00677AB0">
              <w:rPr>
                <w:rFonts w:ascii="Arial" w:eastAsia="Times New Roman" w:hAnsi="Arial" w:cs="Arial"/>
                <w:szCs w:val="24"/>
                <w:lang w:eastAsia="bs-Latn-BA"/>
              </w:rPr>
              <w:t>ropska banka za obnovu i razvoj (European Bank for Reconstruction and Development)</w:t>
            </w:r>
          </w:p>
        </w:tc>
      </w:tr>
      <w:tr w:rsidR="0042308F" w:rsidRPr="00677AB0" w14:paraId="520C8A37" w14:textId="77777777" w:rsidTr="0042308F">
        <w:trPr>
          <w:trHeight w:val="567"/>
        </w:trPr>
        <w:tc>
          <w:tcPr>
            <w:tcW w:w="883" w:type="dxa"/>
            <w:shd w:val="clear" w:color="auto" w:fill="auto"/>
            <w:noWrap/>
            <w:hideMark/>
          </w:tcPr>
          <w:p w14:paraId="23657870"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EIB</w:t>
            </w:r>
          </w:p>
        </w:tc>
        <w:tc>
          <w:tcPr>
            <w:tcW w:w="290" w:type="dxa"/>
            <w:shd w:val="clear" w:color="auto" w:fill="auto"/>
            <w:noWrap/>
            <w:hideMark/>
          </w:tcPr>
          <w:p w14:paraId="06CA1EE2"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130F6E70" w14:textId="77777777" w:rsidR="0042308F" w:rsidRPr="00677AB0" w:rsidRDefault="0042308F" w:rsidP="007D084A">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w:t>
            </w:r>
            <w:r w:rsidR="007D084A">
              <w:rPr>
                <w:rFonts w:ascii="Arial" w:eastAsia="Times New Roman" w:hAnsi="Arial" w:cs="Arial"/>
                <w:szCs w:val="24"/>
                <w:lang w:eastAsia="bs-Latn-BA"/>
              </w:rPr>
              <w:t>u</w:t>
            </w:r>
            <w:r w:rsidRPr="00677AB0">
              <w:rPr>
                <w:rFonts w:ascii="Arial" w:eastAsia="Times New Roman" w:hAnsi="Arial" w:cs="Arial"/>
                <w:szCs w:val="24"/>
                <w:lang w:eastAsia="bs-Latn-BA"/>
              </w:rPr>
              <w:t>ropska investicijska banka (European Investment Bank)</w:t>
            </w:r>
          </w:p>
        </w:tc>
      </w:tr>
      <w:tr w:rsidR="0042308F" w:rsidRPr="00677AB0" w14:paraId="385A766F" w14:textId="77777777" w:rsidTr="0042308F">
        <w:trPr>
          <w:trHeight w:val="567"/>
        </w:trPr>
        <w:tc>
          <w:tcPr>
            <w:tcW w:w="883" w:type="dxa"/>
            <w:shd w:val="clear" w:color="auto" w:fill="auto"/>
            <w:noWrap/>
            <w:hideMark/>
          </w:tcPr>
          <w:p w14:paraId="461F3D6A"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IBRD</w:t>
            </w:r>
          </w:p>
        </w:tc>
        <w:tc>
          <w:tcPr>
            <w:tcW w:w="290" w:type="dxa"/>
            <w:shd w:val="clear" w:color="auto" w:fill="auto"/>
            <w:noWrap/>
            <w:hideMark/>
          </w:tcPr>
          <w:p w14:paraId="3783F8C1"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hideMark/>
          </w:tcPr>
          <w:p w14:paraId="5CEAD782"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Međunarodna  banka za obnovu i razvoj (International Bank For Recontruction and Development)</w:t>
            </w:r>
          </w:p>
        </w:tc>
      </w:tr>
      <w:tr w:rsidR="0042308F" w:rsidRPr="00677AB0" w14:paraId="5B483167" w14:textId="77777777" w:rsidTr="0042308F">
        <w:trPr>
          <w:trHeight w:val="567"/>
        </w:trPr>
        <w:tc>
          <w:tcPr>
            <w:tcW w:w="883" w:type="dxa"/>
            <w:shd w:val="clear" w:color="auto" w:fill="auto"/>
            <w:noWrap/>
            <w:hideMark/>
          </w:tcPr>
          <w:p w14:paraId="017E62DC"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IDA</w:t>
            </w:r>
          </w:p>
        </w:tc>
        <w:tc>
          <w:tcPr>
            <w:tcW w:w="290" w:type="dxa"/>
            <w:shd w:val="clear" w:color="auto" w:fill="auto"/>
            <w:noWrap/>
            <w:hideMark/>
          </w:tcPr>
          <w:p w14:paraId="68A33FED"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59D8552B"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Međunarodna asocijacija za razvoj (International Development Association)</w:t>
            </w:r>
          </w:p>
        </w:tc>
      </w:tr>
      <w:tr w:rsidR="0042308F" w:rsidRPr="00677AB0" w14:paraId="3F5E7B42" w14:textId="77777777" w:rsidTr="0042308F">
        <w:trPr>
          <w:trHeight w:val="567"/>
        </w:trPr>
        <w:tc>
          <w:tcPr>
            <w:tcW w:w="883" w:type="dxa"/>
            <w:shd w:val="clear" w:color="auto" w:fill="auto"/>
            <w:noWrap/>
            <w:hideMark/>
          </w:tcPr>
          <w:p w14:paraId="7B9C3400"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KfW</w:t>
            </w:r>
          </w:p>
        </w:tc>
        <w:tc>
          <w:tcPr>
            <w:tcW w:w="290" w:type="dxa"/>
            <w:shd w:val="clear" w:color="auto" w:fill="auto"/>
            <w:noWrap/>
            <w:hideMark/>
          </w:tcPr>
          <w:p w14:paraId="3283E04F"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0840F75E"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Njemačka banka za obnovu i razvoj (KfW Development Bank)</w:t>
            </w:r>
          </w:p>
        </w:tc>
      </w:tr>
      <w:tr w:rsidR="0042308F" w:rsidRPr="00677AB0" w14:paraId="0B51CC34" w14:textId="77777777" w:rsidTr="0042308F">
        <w:trPr>
          <w:trHeight w:val="567"/>
        </w:trPr>
        <w:tc>
          <w:tcPr>
            <w:tcW w:w="883" w:type="dxa"/>
            <w:shd w:val="clear" w:color="auto" w:fill="auto"/>
            <w:noWrap/>
            <w:hideMark/>
          </w:tcPr>
          <w:p w14:paraId="26AB6FF7"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IMF</w:t>
            </w:r>
          </w:p>
        </w:tc>
        <w:tc>
          <w:tcPr>
            <w:tcW w:w="290" w:type="dxa"/>
            <w:shd w:val="clear" w:color="auto" w:fill="auto"/>
            <w:noWrap/>
            <w:hideMark/>
          </w:tcPr>
          <w:p w14:paraId="19F31A2B"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1E3FA962"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Međunarodni monetarni fond (International Monetary Fund)</w:t>
            </w:r>
          </w:p>
        </w:tc>
      </w:tr>
      <w:tr w:rsidR="0042308F" w:rsidRPr="00677AB0" w14:paraId="1EA6F866" w14:textId="77777777" w:rsidTr="0042308F">
        <w:trPr>
          <w:trHeight w:val="567"/>
        </w:trPr>
        <w:tc>
          <w:tcPr>
            <w:tcW w:w="883" w:type="dxa"/>
            <w:shd w:val="clear" w:color="auto" w:fill="auto"/>
            <w:noWrap/>
            <w:hideMark/>
          </w:tcPr>
          <w:p w14:paraId="5C1391D3"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WB</w:t>
            </w:r>
          </w:p>
        </w:tc>
        <w:tc>
          <w:tcPr>
            <w:tcW w:w="290" w:type="dxa"/>
            <w:shd w:val="clear" w:color="auto" w:fill="auto"/>
            <w:noWrap/>
            <w:hideMark/>
          </w:tcPr>
          <w:p w14:paraId="75CE288F"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hideMark/>
          </w:tcPr>
          <w:p w14:paraId="00F6FF26"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Svjetska banka (World Bank)</w:t>
            </w:r>
          </w:p>
        </w:tc>
      </w:tr>
      <w:tr w:rsidR="0042308F" w:rsidRPr="00677AB0" w14:paraId="6A0D2D81" w14:textId="77777777" w:rsidTr="0042308F">
        <w:trPr>
          <w:trHeight w:val="567"/>
        </w:trPr>
        <w:tc>
          <w:tcPr>
            <w:tcW w:w="883" w:type="dxa"/>
            <w:shd w:val="clear" w:color="auto" w:fill="auto"/>
            <w:noWrap/>
          </w:tcPr>
          <w:p w14:paraId="06941F40"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EFF</w:t>
            </w:r>
          </w:p>
        </w:tc>
        <w:tc>
          <w:tcPr>
            <w:tcW w:w="290" w:type="dxa"/>
            <w:shd w:val="clear" w:color="auto" w:fill="auto"/>
            <w:noWrap/>
          </w:tcPr>
          <w:p w14:paraId="7B7F9015"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w:t>
            </w:r>
          </w:p>
        </w:tc>
        <w:tc>
          <w:tcPr>
            <w:tcW w:w="9034" w:type="dxa"/>
            <w:shd w:val="clear" w:color="auto" w:fill="auto"/>
            <w:noWrap/>
          </w:tcPr>
          <w:p w14:paraId="67C7762B"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 xml:space="preserve">Prošireni aranžman IMF-a (Extended Fund Facility) </w:t>
            </w:r>
          </w:p>
        </w:tc>
      </w:tr>
      <w:tr w:rsidR="0042308F" w:rsidRPr="00677AB0" w14:paraId="606F0FF5" w14:textId="77777777" w:rsidTr="0042308F">
        <w:trPr>
          <w:trHeight w:val="567"/>
        </w:trPr>
        <w:tc>
          <w:tcPr>
            <w:tcW w:w="883" w:type="dxa"/>
            <w:shd w:val="clear" w:color="auto" w:fill="auto"/>
            <w:noWrap/>
          </w:tcPr>
          <w:p w14:paraId="16979E8F"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RFI</w:t>
            </w:r>
          </w:p>
        </w:tc>
        <w:tc>
          <w:tcPr>
            <w:tcW w:w="290" w:type="dxa"/>
            <w:shd w:val="clear" w:color="auto" w:fill="auto"/>
            <w:noWrap/>
          </w:tcPr>
          <w:p w14:paraId="51AA8E9E" w14:textId="77777777" w:rsidR="0042308F" w:rsidRPr="00677AB0" w:rsidRDefault="0042308F" w:rsidP="0042308F">
            <w:pPr>
              <w:spacing w:after="0" w:line="240" w:lineRule="auto"/>
              <w:rPr>
                <w:rFonts w:ascii="Calibri" w:eastAsia="Times New Roman" w:hAnsi="Calibri" w:cs="Times New Roman"/>
                <w:szCs w:val="24"/>
                <w:lang w:eastAsia="bs-Latn-BA"/>
              </w:rPr>
            </w:pPr>
            <w:r w:rsidRPr="00677AB0">
              <w:rPr>
                <w:rFonts w:ascii="Calibri" w:eastAsia="Times New Roman" w:hAnsi="Calibri" w:cs="Times New Roman"/>
                <w:szCs w:val="24"/>
                <w:lang w:eastAsia="bs-Latn-BA"/>
              </w:rPr>
              <w:t xml:space="preserve">- </w:t>
            </w:r>
          </w:p>
        </w:tc>
        <w:tc>
          <w:tcPr>
            <w:tcW w:w="9034" w:type="dxa"/>
            <w:shd w:val="clear" w:color="auto" w:fill="auto"/>
            <w:noWrap/>
          </w:tcPr>
          <w:p w14:paraId="172E25DB" w14:textId="77777777" w:rsidR="0042308F" w:rsidRPr="00677AB0" w:rsidRDefault="0042308F" w:rsidP="0042308F">
            <w:pPr>
              <w:spacing w:after="0" w:line="240" w:lineRule="auto"/>
              <w:rPr>
                <w:rFonts w:ascii="Arial" w:eastAsia="Times New Roman" w:hAnsi="Arial" w:cs="Arial"/>
                <w:szCs w:val="24"/>
                <w:lang w:eastAsia="bs-Latn-BA"/>
              </w:rPr>
            </w:pPr>
            <w:r w:rsidRPr="00677AB0">
              <w:rPr>
                <w:rFonts w:ascii="Arial" w:eastAsia="Times New Roman" w:hAnsi="Arial" w:cs="Arial"/>
                <w:szCs w:val="24"/>
                <w:lang w:eastAsia="bs-Latn-BA"/>
              </w:rPr>
              <w:t xml:space="preserve">Instrument brzog </w:t>
            </w:r>
            <w:r>
              <w:rPr>
                <w:rFonts w:ascii="Arial" w:eastAsia="Times New Roman" w:hAnsi="Arial" w:cs="Arial"/>
                <w:szCs w:val="24"/>
                <w:lang w:eastAsia="bs-Latn-BA"/>
              </w:rPr>
              <w:t>financ</w:t>
            </w:r>
            <w:r w:rsidRPr="00677AB0">
              <w:rPr>
                <w:rFonts w:ascii="Arial" w:eastAsia="Times New Roman" w:hAnsi="Arial" w:cs="Arial"/>
                <w:szCs w:val="24"/>
                <w:lang w:eastAsia="bs-Latn-BA"/>
              </w:rPr>
              <w:t>iranja (Rapid Financing Instrument)</w:t>
            </w:r>
          </w:p>
        </w:tc>
      </w:tr>
    </w:tbl>
    <w:p w14:paraId="1FC41C32" w14:textId="77777777" w:rsidR="0042308F" w:rsidRPr="00677AB0" w:rsidRDefault="0042308F" w:rsidP="0042308F"/>
    <w:p w14:paraId="417A7D1C" w14:textId="77777777" w:rsidR="0042308F" w:rsidRPr="00677AB0" w:rsidRDefault="0042308F" w:rsidP="0042308F">
      <w:pPr>
        <w:rPr>
          <w:color w:val="538135" w:themeColor="accent6" w:themeShade="BF"/>
        </w:rPr>
      </w:pPr>
    </w:p>
    <w:p w14:paraId="131E77F0" w14:textId="77777777" w:rsidR="0042308F" w:rsidRPr="00677AB0" w:rsidRDefault="0042308F" w:rsidP="0042308F">
      <w:pPr>
        <w:rPr>
          <w:color w:val="538135" w:themeColor="accent6" w:themeShade="BF"/>
          <w:sz w:val="20"/>
        </w:rPr>
      </w:pPr>
    </w:p>
    <w:p w14:paraId="12EBE0B9" w14:textId="77777777" w:rsidR="0042308F" w:rsidRPr="00677AB0" w:rsidRDefault="0042308F" w:rsidP="0042308F">
      <w:pPr>
        <w:rPr>
          <w:rFonts w:ascii="Arial" w:eastAsiaTheme="majorEastAsia" w:hAnsi="Arial" w:cs="Arial"/>
          <w:bCs/>
          <w:sz w:val="28"/>
          <w:szCs w:val="28"/>
        </w:rPr>
      </w:pPr>
      <w:r w:rsidRPr="00677AB0">
        <w:rPr>
          <w:rFonts w:ascii="Arial" w:hAnsi="Arial" w:cs="Arial"/>
          <w:b/>
        </w:rPr>
        <w:br w:type="page"/>
      </w:r>
    </w:p>
    <w:p w14:paraId="7E18C4F6" w14:textId="77777777" w:rsidR="0042308F" w:rsidRPr="00677AB0" w:rsidRDefault="0042308F" w:rsidP="0042308F">
      <w:pPr>
        <w:pStyle w:val="Heading1"/>
        <w:jc w:val="center"/>
        <w:rPr>
          <w:rFonts w:ascii="Arial" w:hAnsi="Arial" w:cs="Arial"/>
          <w:b w:val="0"/>
          <w:color w:val="auto"/>
        </w:rPr>
        <w:sectPr w:rsidR="0042308F" w:rsidRPr="00677AB0" w:rsidSect="0042308F">
          <w:footerReference w:type="default" r:id="rId9"/>
          <w:footerReference w:type="first" r:id="rId10"/>
          <w:pgSz w:w="11906" w:h="16838"/>
          <w:pgMar w:top="1135" w:right="1133" w:bottom="709" w:left="1440" w:header="708" w:footer="708" w:gutter="0"/>
          <w:pgNumType w:start="1" w:chapStyle="1"/>
          <w:cols w:space="708"/>
          <w:titlePg/>
          <w:docGrid w:linePitch="360"/>
        </w:sectPr>
      </w:pPr>
    </w:p>
    <w:p w14:paraId="17491492" w14:textId="77777777" w:rsidR="0042308F" w:rsidRPr="00677AB0" w:rsidRDefault="0042308F" w:rsidP="007D084A">
      <w:pPr>
        <w:pStyle w:val="Heading1"/>
        <w:jc w:val="center"/>
        <w:rPr>
          <w:rFonts w:ascii="Arial" w:hAnsi="Arial" w:cs="Arial"/>
          <w:b w:val="0"/>
          <w:color w:val="auto"/>
        </w:rPr>
      </w:pPr>
      <w:bookmarkStart w:id="1" w:name="_Toc172282233"/>
      <w:r w:rsidRPr="00677AB0">
        <w:rPr>
          <w:rFonts w:ascii="Arial" w:hAnsi="Arial" w:cs="Arial"/>
          <w:b w:val="0"/>
          <w:color w:val="auto"/>
        </w:rPr>
        <w:lastRenderedPageBreak/>
        <w:t>U V O D</w:t>
      </w:r>
      <w:bookmarkEnd w:id="1"/>
    </w:p>
    <w:p w14:paraId="69A6DA9C" w14:textId="77777777" w:rsidR="0042308F" w:rsidRPr="00677AB0" w:rsidRDefault="0042308F" w:rsidP="0042308F">
      <w:pPr>
        <w:spacing w:after="0"/>
        <w:jc w:val="both"/>
        <w:rPr>
          <w:rFonts w:ascii="Arial" w:hAnsi="Arial" w:cs="Arial"/>
          <w:sz w:val="24"/>
          <w:szCs w:val="24"/>
        </w:rPr>
      </w:pPr>
    </w:p>
    <w:p w14:paraId="411D8E01" w14:textId="77777777" w:rsidR="0042308F" w:rsidRPr="00677AB0" w:rsidRDefault="0042308F" w:rsidP="0042308F">
      <w:pPr>
        <w:spacing w:after="0"/>
        <w:ind w:firstLine="360"/>
        <w:jc w:val="both"/>
        <w:rPr>
          <w:rFonts w:ascii="Arial" w:hAnsi="Arial" w:cs="Arial"/>
          <w:szCs w:val="24"/>
        </w:rPr>
      </w:pPr>
      <w:r w:rsidRPr="00677AB0">
        <w:rPr>
          <w:rFonts w:ascii="Arial" w:hAnsi="Arial" w:cs="Arial"/>
          <w:szCs w:val="24"/>
        </w:rPr>
        <w:t>Strategija upravljanja dugom 2024 – 2026. (u dalj</w:t>
      </w:r>
      <w:r w:rsidR="007D084A">
        <w:rPr>
          <w:rFonts w:ascii="Arial" w:hAnsi="Arial" w:cs="Arial"/>
          <w:szCs w:val="24"/>
        </w:rPr>
        <w:t>nj</w:t>
      </w:r>
      <w:r w:rsidRPr="00677AB0">
        <w:rPr>
          <w:rFonts w:ascii="Arial" w:hAnsi="Arial" w:cs="Arial"/>
          <w:szCs w:val="24"/>
        </w:rPr>
        <w:t xml:space="preserve">em tekstu: Strategija) predstavlja sažetak glavnih načela i smjernica za politiku upravljanja dugom Federacije BiH u navedenom periodu i od 2015. godine predstavlja jedan od strateških dokumenata Vlade Federacije u domeni upravljanja dugom. Strategija  se temelji na postojećem </w:t>
      </w:r>
      <w:r>
        <w:rPr>
          <w:rFonts w:ascii="Arial" w:hAnsi="Arial" w:cs="Arial"/>
          <w:szCs w:val="24"/>
        </w:rPr>
        <w:t>portfelju</w:t>
      </w:r>
      <w:r w:rsidRPr="00677AB0">
        <w:rPr>
          <w:rFonts w:ascii="Arial" w:hAnsi="Arial" w:cs="Arial"/>
          <w:szCs w:val="24"/>
        </w:rPr>
        <w:t xml:space="preserve"> duga Federacije BiH, Programu javnih investicija Federacije BiH 2024 – 2026. godina (PJI FBiH 2024 – 2026.) i Dokumentu okvirnog </w:t>
      </w:r>
      <w:r w:rsidR="007D084A">
        <w:rPr>
          <w:rFonts w:ascii="Arial" w:hAnsi="Arial" w:cs="Arial"/>
          <w:szCs w:val="24"/>
        </w:rPr>
        <w:t>proračun</w:t>
      </w:r>
      <w:r w:rsidRPr="00677AB0">
        <w:rPr>
          <w:rFonts w:ascii="Arial" w:hAnsi="Arial" w:cs="Arial"/>
          <w:szCs w:val="24"/>
        </w:rPr>
        <w:t xml:space="preserve">a Federacije BiH 2024 – 2026. godine. Strategija sadrži planove </w:t>
      </w:r>
      <w:r>
        <w:rPr>
          <w:rFonts w:ascii="Arial" w:hAnsi="Arial" w:cs="Arial"/>
          <w:szCs w:val="24"/>
        </w:rPr>
        <w:t>financ</w:t>
      </w:r>
      <w:r w:rsidRPr="00677AB0">
        <w:rPr>
          <w:rFonts w:ascii="Arial" w:hAnsi="Arial" w:cs="Arial"/>
          <w:szCs w:val="24"/>
        </w:rPr>
        <w:t xml:space="preserve">iranja potreba Vlade Federacije BiH u naredne tri godine kako na vanjskom tako i na </w:t>
      </w:r>
      <w:r w:rsidR="00153015">
        <w:rPr>
          <w:rFonts w:ascii="Arial" w:hAnsi="Arial" w:cs="Arial"/>
          <w:szCs w:val="24"/>
        </w:rPr>
        <w:t>unutarnjem</w:t>
      </w:r>
      <w:r w:rsidRPr="00677AB0">
        <w:rPr>
          <w:rFonts w:ascii="Arial" w:hAnsi="Arial" w:cs="Arial"/>
          <w:szCs w:val="24"/>
        </w:rPr>
        <w:t xml:space="preserve"> tržištu, te indikativne mjere i alate potrebne za dostizanje usvojenih strateških ciljeva.</w:t>
      </w:r>
    </w:p>
    <w:p w14:paraId="25DD9574" w14:textId="77777777" w:rsidR="0042308F" w:rsidRPr="00677AB0" w:rsidRDefault="0042308F" w:rsidP="0042308F">
      <w:pPr>
        <w:spacing w:after="0" w:line="240" w:lineRule="auto"/>
      </w:pPr>
    </w:p>
    <w:p w14:paraId="40BB5BDB" w14:textId="77777777" w:rsidR="0042308F" w:rsidRPr="00677AB0" w:rsidRDefault="0042308F" w:rsidP="0042308F">
      <w:pPr>
        <w:pStyle w:val="NoSpacing"/>
        <w:ind w:left="426"/>
        <w:jc w:val="both"/>
        <w:rPr>
          <w:rFonts w:ascii="Arial" w:hAnsi="Arial" w:cs="Arial"/>
          <w:sz w:val="24"/>
          <w:szCs w:val="24"/>
          <w:highlight w:val="yellow"/>
          <w:lang w:val="hr-HR"/>
        </w:rPr>
      </w:pPr>
    </w:p>
    <w:p w14:paraId="6EBFBCCB" w14:textId="77777777" w:rsidR="0042308F" w:rsidRPr="00677AB0" w:rsidRDefault="0042308F" w:rsidP="0042308F">
      <w:pPr>
        <w:pStyle w:val="NoSpacing"/>
        <w:spacing w:line="276" w:lineRule="auto"/>
        <w:ind w:firstLine="142"/>
        <w:jc w:val="both"/>
        <w:rPr>
          <w:rFonts w:ascii="Arial" w:hAnsi="Arial" w:cs="Arial"/>
          <w:szCs w:val="24"/>
          <w:lang w:val="hr-HR"/>
        </w:rPr>
      </w:pPr>
      <w:r w:rsidRPr="00677AB0">
        <w:rPr>
          <w:rFonts w:ascii="Arial" w:hAnsi="Arial" w:cs="Arial"/>
          <w:szCs w:val="24"/>
          <w:lang w:val="hr-HR"/>
        </w:rPr>
        <w:t xml:space="preserve"> </w:t>
      </w:r>
    </w:p>
    <w:p w14:paraId="4CBAA896" w14:textId="77777777" w:rsidR="0042308F" w:rsidRPr="00677AB0" w:rsidRDefault="0042308F" w:rsidP="0042308F">
      <w:pPr>
        <w:pStyle w:val="Heading1"/>
        <w:numPr>
          <w:ilvl w:val="0"/>
          <w:numId w:val="1"/>
        </w:numPr>
        <w:spacing w:before="0"/>
        <w:ind w:left="567" w:hanging="425"/>
        <w:jc w:val="both"/>
        <w:rPr>
          <w:rFonts w:ascii="Arial" w:hAnsi="Arial" w:cs="Arial"/>
          <w:b w:val="0"/>
          <w:color w:val="auto"/>
        </w:rPr>
      </w:pPr>
      <w:bookmarkStart w:id="2" w:name="_Toc172282234"/>
      <w:r w:rsidRPr="00677AB0">
        <w:rPr>
          <w:rFonts w:ascii="Arial" w:hAnsi="Arial" w:cs="Arial"/>
          <w:b w:val="0"/>
          <w:color w:val="auto"/>
        </w:rPr>
        <w:t>CILJEVI I OBUHVAT STRATEGIJE UPRAVLJANJA DUGOM</w:t>
      </w:r>
      <w:bookmarkEnd w:id="2"/>
    </w:p>
    <w:p w14:paraId="2FE2719D" w14:textId="77777777" w:rsidR="0042308F" w:rsidRPr="00677AB0" w:rsidRDefault="0042308F" w:rsidP="0042308F">
      <w:pPr>
        <w:pStyle w:val="NoSpacing"/>
        <w:rPr>
          <w:rFonts w:ascii="Arial" w:hAnsi="Arial" w:cs="Arial"/>
          <w:lang w:val="hr-HR"/>
        </w:rPr>
      </w:pPr>
    </w:p>
    <w:p w14:paraId="1D2D55D3" w14:textId="77777777" w:rsidR="0042308F" w:rsidRPr="00677AB0" w:rsidRDefault="0042308F" w:rsidP="0042308F">
      <w:pPr>
        <w:pStyle w:val="NoSpacing"/>
        <w:rPr>
          <w:rFonts w:ascii="Arial" w:hAnsi="Arial" w:cs="Arial"/>
          <w:lang w:val="hr-HR"/>
        </w:rPr>
      </w:pPr>
    </w:p>
    <w:p w14:paraId="6F42458F" w14:textId="77777777" w:rsidR="0042308F" w:rsidRPr="00677AB0" w:rsidRDefault="0042308F" w:rsidP="0042308F">
      <w:pPr>
        <w:pStyle w:val="Heading2"/>
        <w:numPr>
          <w:ilvl w:val="1"/>
          <w:numId w:val="1"/>
        </w:numPr>
        <w:spacing w:before="0"/>
        <w:ind w:left="993" w:hanging="709"/>
        <w:rPr>
          <w:rFonts w:ascii="Arial" w:hAnsi="Arial" w:cs="Arial"/>
          <w:b w:val="0"/>
          <w:color w:val="auto"/>
          <w:sz w:val="24"/>
          <w:szCs w:val="24"/>
        </w:rPr>
      </w:pPr>
      <w:bookmarkStart w:id="3" w:name="_Toc172282235"/>
      <w:r w:rsidRPr="00677AB0">
        <w:rPr>
          <w:rFonts w:ascii="Arial" w:hAnsi="Arial" w:cs="Arial"/>
          <w:b w:val="0"/>
          <w:color w:val="auto"/>
          <w:sz w:val="24"/>
          <w:szCs w:val="24"/>
        </w:rPr>
        <w:t>Ciljevi upravljanja dugom</w:t>
      </w:r>
      <w:bookmarkEnd w:id="3"/>
    </w:p>
    <w:p w14:paraId="5C736AD8" w14:textId="77777777" w:rsidR="0042308F" w:rsidRPr="00677AB0" w:rsidRDefault="0042308F" w:rsidP="0042308F">
      <w:pPr>
        <w:spacing w:after="0"/>
        <w:jc w:val="both"/>
      </w:pPr>
    </w:p>
    <w:p w14:paraId="52D6CFE3" w14:textId="77777777" w:rsidR="0042308F" w:rsidRPr="00677AB0" w:rsidRDefault="0042308F" w:rsidP="0042308F">
      <w:pPr>
        <w:pStyle w:val="NoSpacing"/>
        <w:spacing w:line="276" w:lineRule="auto"/>
        <w:jc w:val="both"/>
        <w:rPr>
          <w:rFonts w:ascii="Arial" w:hAnsi="Arial" w:cs="Arial"/>
          <w:lang w:val="hr-HR"/>
        </w:rPr>
      </w:pPr>
      <w:r w:rsidRPr="00677AB0">
        <w:rPr>
          <w:rFonts w:ascii="Arial" w:hAnsi="Arial" w:cs="Arial"/>
          <w:lang w:val="hr-HR"/>
        </w:rPr>
        <w:t>Ciljevi upravljanja dugom Vlade Federacije BiH su:</w:t>
      </w:r>
    </w:p>
    <w:p w14:paraId="15F21521" w14:textId="77777777" w:rsidR="0042308F" w:rsidRPr="00677AB0" w:rsidRDefault="0042308F" w:rsidP="0042308F">
      <w:pPr>
        <w:pStyle w:val="NoSpacing"/>
        <w:spacing w:line="276" w:lineRule="auto"/>
        <w:jc w:val="both"/>
        <w:rPr>
          <w:rFonts w:ascii="Arial" w:hAnsi="Arial" w:cs="Arial"/>
          <w:lang w:val="hr-HR"/>
        </w:rPr>
      </w:pPr>
    </w:p>
    <w:p w14:paraId="0321486B" w14:textId="77777777" w:rsidR="0042308F" w:rsidRPr="00677AB0" w:rsidRDefault="0042308F" w:rsidP="0042308F">
      <w:pPr>
        <w:pStyle w:val="NoSpacing"/>
        <w:numPr>
          <w:ilvl w:val="0"/>
          <w:numId w:val="2"/>
        </w:numPr>
        <w:spacing w:line="276" w:lineRule="auto"/>
        <w:jc w:val="both"/>
        <w:rPr>
          <w:rFonts w:ascii="Arial" w:hAnsi="Arial" w:cs="Arial"/>
          <w:lang w:val="hr-HR"/>
        </w:rPr>
      </w:pPr>
      <w:r w:rsidRPr="00677AB0">
        <w:rPr>
          <w:rFonts w:ascii="Arial" w:hAnsi="Arial" w:cs="Arial"/>
          <w:lang w:val="hr-HR"/>
        </w:rPr>
        <w:t xml:space="preserve">osiguranje </w:t>
      </w:r>
      <w:r>
        <w:rPr>
          <w:rFonts w:ascii="Arial" w:hAnsi="Arial" w:cs="Arial"/>
          <w:lang w:val="hr-HR"/>
        </w:rPr>
        <w:t>financ</w:t>
      </w:r>
      <w:r w:rsidRPr="00677AB0">
        <w:rPr>
          <w:rFonts w:ascii="Arial" w:hAnsi="Arial" w:cs="Arial"/>
          <w:lang w:val="hr-HR"/>
        </w:rPr>
        <w:t xml:space="preserve">ijskih sredstava za </w:t>
      </w:r>
      <w:r>
        <w:rPr>
          <w:rFonts w:ascii="Arial" w:hAnsi="Arial" w:cs="Arial"/>
          <w:lang w:val="hr-HR"/>
        </w:rPr>
        <w:t>financ</w:t>
      </w:r>
      <w:r w:rsidRPr="00677AB0">
        <w:rPr>
          <w:rFonts w:ascii="Arial" w:hAnsi="Arial" w:cs="Arial"/>
          <w:lang w:val="hr-HR"/>
        </w:rPr>
        <w:t xml:space="preserve">iranje vladinih potreba uz prihvatljive troškove i rizike u srednjem i dugom roku; </w:t>
      </w:r>
    </w:p>
    <w:p w14:paraId="2EE3D18B" w14:textId="77777777" w:rsidR="0042308F" w:rsidRPr="00677AB0" w:rsidRDefault="0042308F" w:rsidP="0042308F">
      <w:pPr>
        <w:pStyle w:val="NoSpacing"/>
        <w:numPr>
          <w:ilvl w:val="0"/>
          <w:numId w:val="2"/>
        </w:numPr>
        <w:spacing w:line="276" w:lineRule="auto"/>
        <w:jc w:val="both"/>
        <w:rPr>
          <w:rFonts w:ascii="Arial" w:hAnsi="Arial" w:cs="Arial"/>
          <w:lang w:val="hr-HR"/>
        </w:rPr>
      </w:pPr>
      <w:r w:rsidRPr="00677AB0">
        <w:rPr>
          <w:rFonts w:ascii="Arial" w:hAnsi="Arial" w:cs="Arial"/>
          <w:lang w:val="hr-HR"/>
        </w:rPr>
        <w:t>razvoj domaćeg tržišta vrijednosnih papira.</w:t>
      </w:r>
    </w:p>
    <w:p w14:paraId="74EA7C77" w14:textId="77777777" w:rsidR="0042308F" w:rsidRPr="00677AB0" w:rsidRDefault="0042308F" w:rsidP="0042308F">
      <w:pPr>
        <w:pStyle w:val="NoSpacing"/>
        <w:spacing w:line="276" w:lineRule="auto"/>
        <w:ind w:left="720"/>
        <w:jc w:val="both"/>
        <w:rPr>
          <w:rFonts w:ascii="Arial" w:hAnsi="Arial" w:cs="Arial"/>
          <w:lang w:val="hr-HR"/>
        </w:rPr>
      </w:pPr>
    </w:p>
    <w:p w14:paraId="62B5D033" w14:textId="77777777" w:rsidR="0042308F" w:rsidRPr="00677AB0" w:rsidRDefault="0042308F" w:rsidP="0042308F">
      <w:pPr>
        <w:pStyle w:val="Heading2"/>
        <w:numPr>
          <w:ilvl w:val="1"/>
          <w:numId w:val="1"/>
        </w:numPr>
        <w:spacing w:before="0"/>
        <w:ind w:left="993" w:hanging="709"/>
        <w:rPr>
          <w:rFonts w:ascii="Arial" w:hAnsi="Arial" w:cs="Arial"/>
          <w:b w:val="0"/>
          <w:color w:val="auto"/>
          <w:sz w:val="24"/>
          <w:szCs w:val="24"/>
        </w:rPr>
      </w:pPr>
      <w:bookmarkStart w:id="4" w:name="_Toc172282236"/>
      <w:r w:rsidRPr="00677AB0">
        <w:rPr>
          <w:rFonts w:ascii="Arial" w:hAnsi="Arial" w:cs="Arial"/>
          <w:b w:val="0"/>
          <w:color w:val="auto"/>
          <w:sz w:val="24"/>
          <w:szCs w:val="24"/>
        </w:rPr>
        <w:t>Obuhvat Strategije</w:t>
      </w:r>
      <w:bookmarkEnd w:id="4"/>
    </w:p>
    <w:p w14:paraId="74010ED0" w14:textId="77777777" w:rsidR="0042308F" w:rsidRPr="00677AB0" w:rsidRDefault="0042308F" w:rsidP="0042308F">
      <w:pPr>
        <w:pStyle w:val="NoSpacing"/>
        <w:spacing w:line="276" w:lineRule="auto"/>
        <w:ind w:firstLine="360"/>
        <w:jc w:val="both"/>
        <w:rPr>
          <w:rFonts w:ascii="Arial" w:hAnsi="Arial" w:cs="Arial"/>
          <w:lang w:val="hr-HR"/>
        </w:rPr>
      </w:pPr>
    </w:p>
    <w:p w14:paraId="67A23D0B" w14:textId="77777777" w:rsidR="0042308F" w:rsidRPr="00677AB0" w:rsidRDefault="0042308F" w:rsidP="0042308F">
      <w:pPr>
        <w:pStyle w:val="NoSpacing"/>
        <w:spacing w:line="276" w:lineRule="auto"/>
        <w:ind w:firstLine="360"/>
        <w:jc w:val="both"/>
        <w:rPr>
          <w:rFonts w:ascii="Arial" w:hAnsi="Arial" w:cs="Arial"/>
          <w:lang w:val="hr-HR"/>
        </w:rPr>
      </w:pPr>
      <w:r w:rsidRPr="00677AB0">
        <w:rPr>
          <w:rFonts w:ascii="Arial" w:hAnsi="Arial" w:cs="Arial"/>
          <w:lang w:val="hr-HR"/>
        </w:rPr>
        <w:t>Strategija obuhva</w:t>
      </w:r>
      <w:r w:rsidR="00153015">
        <w:rPr>
          <w:rFonts w:ascii="Arial" w:hAnsi="Arial" w:cs="Arial"/>
          <w:lang w:val="hr-HR"/>
        </w:rPr>
        <w:t>ć</w:t>
      </w:r>
      <w:r w:rsidRPr="00677AB0">
        <w:rPr>
          <w:rFonts w:ascii="Arial" w:hAnsi="Arial" w:cs="Arial"/>
          <w:lang w:val="hr-HR"/>
        </w:rPr>
        <w:t xml:space="preserve">a </w:t>
      </w:r>
      <w:r>
        <w:rPr>
          <w:rFonts w:ascii="Arial" w:hAnsi="Arial" w:cs="Arial"/>
          <w:lang w:val="hr-HR"/>
        </w:rPr>
        <w:t>portfelj</w:t>
      </w:r>
      <w:r w:rsidRPr="00677AB0">
        <w:rPr>
          <w:rFonts w:ascii="Arial" w:hAnsi="Arial" w:cs="Arial"/>
          <w:lang w:val="hr-HR"/>
        </w:rPr>
        <w:t xml:space="preserve"> duga na dan </w:t>
      </w:r>
      <w:r>
        <w:rPr>
          <w:rFonts w:ascii="Arial" w:hAnsi="Arial" w:cs="Arial"/>
          <w:lang w:val="hr-HR"/>
        </w:rPr>
        <w:t>31. 12. 2023.</w:t>
      </w:r>
      <w:r w:rsidRPr="00677AB0">
        <w:rPr>
          <w:rFonts w:ascii="Arial" w:hAnsi="Arial" w:cs="Arial"/>
          <w:lang w:val="hr-HR"/>
        </w:rPr>
        <w:t xml:space="preserve"> kojim upravlja Vlada Federacije BiH i koji je prikazan u narednoj ta</w:t>
      </w:r>
      <w:r w:rsidR="00153015">
        <w:rPr>
          <w:rFonts w:ascii="Arial" w:hAnsi="Arial" w:cs="Arial"/>
          <w:lang w:val="hr-HR"/>
        </w:rPr>
        <w:t>blici</w:t>
      </w:r>
      <w:r w:rsidRPr="00677AB0">
        <w:rPr>
          <w:rFonts w:ascii="Arial" w:hAnsi="Arial" w:cs="Arial"/>
          <w:lang w:val="hr-HR"/>
        </w:rPr>
        <w:t>.</w:t>
      </w:r>
    </w:p>
    <w:p w14:paraId="560CB605" w14:textId="77777777" w:rsidR="0042308F" w:rsidRPr="00677AB0" w:rsidRDefault="0042308F" w:rsidP="0042308F">
      <w:pPr>
        <w:pStyle w:val="NoSpacing"/>
        <w:ind w:firstLine="360"/>
        <w:jc w:val="both"/>
        <w:rPr>
          <w:rFonts w:ascii="Arial" w:hAnsi="Arial" w:cs="Arial"/>
          <w:sz w:val="24"/>
          <w:szCs w:val="24"/>
          <w:lang w:val="hr-HR"/>
        </w:rPr>
      </w:pPr>
    </w:p>
    <w:p w14:paraId="40AFD4A7" w14:textId="77777777" w:rsidR="0042308F" w:rsidRPr="00677AB0" w:rsidRDefault="00153015" w:rsidP="0042308F">
      <w:pPr>
        <w:pStyle w:val="NoSpacing"/>
        <w:spacing w:line="276" w:lineRule="auto"/>
        <w:jc w:val="both"/>
        <w:rPr>
          <w:rFonts w:ascii="Arial" w:hAnsi="Arial" w:cs="Arial"/>
          <w:sz w:val="20"/>
          <w:lang w:val="hr-HR"/>
        </w:rPr>
      </w:pPr>
      <w:r>
        <w:rPr>
          <w:rFonts w:ascii="Arial" w:hAnsi="Arial" w:cs="Arial"/>
          <w:sz w:val="20"/>
          <w:lang w:val="hr-HR"/>
        </w:rPr>
        <w:t>Tablica</w:t>
      </w:r>
      <w:r w:rsidR="0042308F" w:rsidRPr="00677AB0">
        <w:rPr>
          <w:rFonts w:ascii="Arial" w:hAnsi="Arial" w:cs="Arial"/>
          <w:sz w:val="20"/>
          <w:lang w:val="hr-HR"/>
        </w:rPr>
        <w:t xml:space="preserve"> 1. </w:t>
      </w:r>
      <w:r w:rsidR="0042308F">
        <w:rPr>
          <w:rFonts w:ascii="Arial" w:hAnsi="Arial" w:cs="Arial"/>
          <w:sz w:val="20"/>
          <w:lang w:val="hr-HR"/>
        </w:rPr>
        <w:t>Portfelj</w:t>
      </w:r>
      <w:r w:rsidR="0042308F" w:rsidRPr="00677AB0">
        <w:rPr>
          <w:rFonts w:ascii="Arial" w:hAnsi="Arial" w:cs="Arial"/>
          <w:sz w:val="20"/>
          <w:lang w:val="hr-HR"/>
        </w:rPr>
        <w:t xml:space="preserve"> duga na dan </w:t>
      </w:r>
      <w:r w:rsidR="0042308F">
        <w:rPr>
          <w:rFonts w:ascii="Arial" w:hAnsi="Arial" w:cs="Arial"/>
          <w:sz w:val="20"/>
          <w:lang w:val="hr-HR"/>
        </w:rPr>
        <w:t>31. 12. 2023.</w:t>
      </w:r>
      <w:r w:rsidR="0042308F" w:rsidRPr="00677AB0">
        <w:rPr>
          <w:rFonts w:ascii="Arial" w:hAnsi="Arial" w:cs="Arial"/>
          <w:sz w:val="20"/>
          <w:lang w:val="hr-HR"/>
        </w:rPr>
        <w:t xml:space="preserve">, obuhvaćen Strategijom </w:t>
      </w:r>
    </w:p>
    <w:tbl>
      <w:tblPr>
        <w:tblW w:w="5000" w:type="pct"/>
        <w:tblBorders>
          <w:top w:val="single" w:sz="8" w:space="0" w:color="5B9BD5" w:themeColor="accent1"/>
          <w:left w:val="single" w:sz="8" w:space="0" w:color="5B9BD5" w:themeColor="accent1"/>
          <w:bottom w:val="single" w:sz="8" w:space="0" w:color="5B9BD5" w:themeColor="accent1"/>
          <w:right w:val="single" w:sz="8" w:space="0" w:color="5B9BD5" w:themeColor="accent1"/>
        </w:tblBorders>
        <w:tblLook w:val="04A0" w:firstRow="1" w:lastRow="0" w:firstColumn="1" w:lastColumn="0" w:noHBand="0" w:noVBand="1"/>
      </w:tblPr>
      <w:tblGrid>
        <w:gridCol w:w="5491"/>
        <w:gridCol w:w="1680"/>
        <w:gridCol w:w="1879"/>
      </w:tblGrid>
      <w:tr w:rsidR="0042308F" w:rsidRPr="00677AB0" w14:paraId="39AF8054" w14:textId="77777777" w:rsidTr="0042308F">
        <w:trPr>
          <w:trHeight w:val="300"/>
        </w:trPr>
        <w:tc>
          <w:tcPr>
            <w:tcW w:w="3034" w:type="pct"/>
            <w:shd w:val="clear" w:color="auto" w:fill="auto"/>
            <w:noWrap/>
            <w:vAlign w:val="center"/>
            <w:hideMark/>
          </w:tcPr>
          <w:p w14:paraId="347DE7A8" w14:textId="77777777" w:rsidR="0042308F" w:rsidRPr="00677AB0" w:rsidRDefault="0042308F" w:rsidP="0042308F">
            <w:pPr>
              <w:spacing w:after="0" w:line="240" w:lineRule="auto"/>
              <w:jc w:val="center"/>
              <w:rPr>
                <w:rFonts w:ascii="Arial" w:eastAsia="Times New Roman" w:hAnsi="Arial" w:cs="Arial"/>
                <w:i/>
                <w:iCs/>
                <w:color w:val="000000"/>
              </w:rPr>
            </w:pPr>
            <w:r w:rsidRPr="00677AB0">
              <w:rPr>
                <w:rFonts w:ascii="Arial" w:eastAsia="Times New Roman" w:hAnsi="Arial" w:cs="Arial"/>
                <w:i/>
                <w:iCs/>
                <w:color w:val="000000"/>
              </w:rPr>
              <w:t>Vrsta duga</w:t>
            </w:r>
          </w:p>
        </w:tc>
        <w:tc>
          <w:tcPr>
            <w:tcW w:w="928" w:type="pct"/>
            <w:shd w:val="clear" w:color="auto" w:fill="auto"/>
            <w:noWrap/>
            <w:vAlign w:val="center"/>
            <w:hideMark/>
          </w:tcPr>
          <w:p w14:paraId="5D2CDB77" w14:textId="77777777" w:rsidR="0042308F" w:rsidRPr="00677AB0" w:rsidRDefault="0042308F" w:rsidP="0042308F">
            <w:pPr>
              <w:spacing w:after="0" w:line="240" w:lineRule="auto"/>
              <w:jc w:val="center"/>
              <w:rPr>
                <w:rFonts w:ascii="Arial" w:eastAsia="Times New Roman" w:hAnsi="Arial" w:cs="Arial"/>
                <w:i/>
                <w:iCs/>
                <w:color w:val="000000"/>
              </w:rPr>
            </w:pPr>
            <w:r w:rsidRPr="00677AB0">
              <w:rPr>
                <w:rFonts w:ascii="Arial" w:eastAsia="Times New Roman" w:hAnsi="Arial" w:cs="Arial"/>
                <w:i/>
                <w:iCs/>
                <w:color w:val="000000"/>
              </w:rPr>
              <w:t xml:space="preserve">Uključen (√)/ </w:t>
            </w:r>
          </w:p>
          <w:p w14:paraId="1CEC505B" w14:textId="77777777" w:rsidR="0042308F" w:rsidRPr="00677AB0" w:rsidRDefault="0042308F" w:rsidP="0042308F">
            <w:pPr>
              <w:spacing w:after="0" w:line="240" w:lineRule="auto"/>
              <w:jc w:val="center"/>
              <w:rPr>
                <w:rFonts w:ascii="Arial" w:eastAsia="Times New Roman" w:hAnsi="Arial" w:cs="Arial"/>
                <w:i/>
                <w:iCs/>
                <w:color w:val="000000"/>
              </w:rPr>
            </w:pPr>
            <w:r w:rsidRPr="00677AB0">
              <w:rPr>
                <w:rFonts w:ascii="Arial" w:eastAsia="Times New Roman" w:hAnsi="Arial" w:cs="Arial"/>
                <w:i/>
                <w:iCs/>
                <w:color w:val="000000"/>
              </w:rPr>
              <w:t>Isključen (x)</w:t>
            </w:r>
          </w:p>
        </w:tc>
        <w:tc>
          <w:tcPr>
            <w:tcW w:w="1038" w:type="pct"/>
            <w:shd w:val="clear" w:color="auto" w:fill="auto"/>
            <w:noWrap/>
            <w:vAlign w:val="center"/>
            <w:hideMark/>
          </w:tcPr>
          <w:p w14:paraId="30D36AA8"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eastAsia="Times New Roman" w:hAnsi="Arial" w:cs="Arial"/>
                <w:i/>
                <w:iCs/>
                <w:color w:val="000000"/>
              </w:rPr>
              <w:t>Iznos (mil.KM)</w:t>
            </w:r>
          </w:p>
        </w:tc>
      </w:tr>
      <w:tr w:rsidR="0042308F" w:rsidRPr="00677AB0" w14:paraId="5874DDB1" w14:textId="77777777" w:rsidTr="0042308F">
        <w:trPr>
          <w:trHeight w:val="300"/>
        </w:trPr>
        <w:tc>
          <w:tcPr>
            <w:tcW w:w="3034" w:type="pct"/>
            <w:shd w:val="clear" w:color="auto" w:fill="auto"/>
            <w:noWrap/>
            <w:vAlign w:val="center"/>
            <w:hideMark/>
          </w:tcPr>
          <w:p w14:paraId="1CDAF36E" w14:textId="77777777" w:rsidR="0042308F" w:rsidRPr="00677AB0" w:rsidRDefault="0042308F" w:rsidP="0042308F">
            <w:pPr>
              <w:spacing w:after="0" w:line="240" w:lineRule="auto"/>
              <w:jc w:val="both"/>
              <w:rPr>
                <w:rFonts w:ascii="Arial" w:eastAsia="Times New Roman" w:hAnsi="Arial" w:cs="Arial"/>
                <w:b/>
                <w:bCs/>
                <w:i/>
                <w:iCs/>
                <w:color w:val="000000"/>
              </w:rPr>
            </w:pPr>
            <w:r w:rsidRPr="00677AB0">
              <w:rPr>
                <w:rFonts w:ascii="Arial" w:eastAsia="Times New Roman" w:hAnsi="Arial" w:cs="Arial"/>
                <w:b/>
                <w:bCs/>
                <w:i/>
                <w:iCs/>
                <w:color w:val="000000"/>
              </w:rPr>
              <w:t>Vanjski dug FBiH, od čega:</w:t>
            </w:r>
          </w:p>
        </w:tc>
        <w:tc>
          <w:tcPr>
            <w:tcW w:w="928" w:type="pct"/>
            <w:shd w:val="clear" w:color="auto" w:fill="auto"/>
            <w:noWrap/>
            <w:vAlign w:val="center"/>
            <w:hideMark/>
          </w:tcPr>
          <w:p w14:paraId="16B97F6E" w14:textId="77777777" w:rsidR="0042308F" w:rsidRPr="00677AB0" w:rsidRDefault="0042308F" w:rsidP="0042308F">
            <w:pPr>
              <w:spacing w:after="0" w:line="240" w:lineRule="auto"/>
              <w:jc w:val="both"/>
              <w:rPr>
                <w:rFonts w:ascii="Arial" w:eastAsia="Times New Roman" w:hAnsi="Arial" w:cs="Arial"/>
                <w:b/>
                <w:bCs/>
                <w:i/>
                <w:iCs/>
                <w:color w:val="000000"/>
              </w:rPr>
            </w:pPr>
          </w:p>
        </w:tc>
        <w:tc>
          <w:tcPr>
            <w:tcW w:w="1038" w:type="pct"/>
            <w:shd w:val="clear" w:color="auto" w:fill="auto"/>
            <w:noWrap/>
            <w:vAlign w:val="center"/>
            <w:hideMark/>
          </w:tcPr>
          <w:p w14:paraId="655A68D7" w14:textId="77777777" w:rsidR="0042308F" w:rsidRPr="00677AB0" w:rsidRDefault="0042308F" w:rsidP="0042308F">
            <w:pPr>
              <w:spacing w:after="0" w:line="240" w:lineRule="auto"/>
              <w:jc w:val="right"/>
              <w:rPr>
                <w:rFonts w:ascii="Arial" w:eastAsia="Times New Roman" w:hAnsi="Arial" w:cs="Arial"/>
                <w:b/>
                <w:bCs/>
                <w:i/>
                <w:iCs/>
                <w:color w:val="000000"/>
              </w:rPr>
            </w:pPr>
            <w:r w:rsidRPr="00677AB0">
              <w:rPr>
                <w:rFonts w:ascii="Arial" w:hAnsi="Arial" w:cs="Arial"/>
                <w:b/>
                <w:bCs/>
                <w:i/>
                <w:iCs/>
                <w:color w:val="000000"/>
              </w:rPr>
              <w:t>5.166,66</w:t>
            </w:r>
          </w:p>
        </w:tc>
      </w:tr>
      <w:tr w:rsidR="0042308F" w:rsidRPr="00677AB0" w14:paraId="0E14ABDF" w14:textId="77777777" w:rsidTr="0042308F">
        <w:trPr>
          <w:trHeight w:val="300"/>
        </w:trPr>
        <w:tc>
          <w:tcPr>
            <w:tcW w:w="3034" w:type="pct"/>
            <w:shd w:val="clear" w:color="auto" w:fill="auto"/>
            <w:noWrap/>
            <w:vAlign w:val="center"/>
            <w:hideMark/>
          </w:tcPr>
          <w:p w14:paraId="1669A41F" w14:textId="77777777" w:rsidR="0042308F" w:rsidRPr="00677AB0" w:rsidRDefault="0042308F" w:rsidP="0042308F">
            <w:pPr>
              <w:pStyle w:val="ListParagraph"/>
              <w:numPr>
                <w:ilvl w:val="0"/>
                <w:numId w:val="23"/>
              </w:numPr>
              <w:spacing w:after="0" w:line="240" w:lineRule="auto"/>
              <w:rPr>
                <w:rFonts w:ascii="Times New Roman" w:eastAsia="Times New Roman" w:hAnsi="Times New Roman" w:cs="Times New Roman"/>
                <w:color w:val="000000"/>
                <w:sz w:val="14"/>
                <w:szCs w:val="14"/>
              </w:rPr>
            </w:pPr>
            <w:r w:rsidRPr="00677AB0">
              <w:rPr>
                <w:rFonts w:ascii="Arial" w:eastAsia="Times New Roman" w:hAnsi="Arial" w:cs="Arial"/>
                <w:i/>
                <w:iCs/>
                <w:color w:val="000000"/>
              </w:rPr>
              <w:t>Relevantni vanjski dug FBiH</w:t>
            </w:r>
          </w:p>
        </w:tc>
        <w:tc>
          <w:tcPr>
            <w:tcW w:w="928" w:type="pct"/>
            <w:shd w:val="clear" w:color="auto" w:fill="auto"/>
            <w:noWrap/>
            <w:vAlign w:val="center"/>
            <w:hideMark/>
          </w:tcPr>
          <w:p w14:paraId="6DCA046A" w14:textId="77777777" w:rsidR="0042308F" w:rsidRPr="00677AB0" w:rsidRDefault="0042308F" w:rsidP="0042308F">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7A183776"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5.117,37</w:t>
            </w:r>
          </w:p>
        </w:tc>
      </w:tr>
      <w:tr w:rsidR="0042308F" w:rsidRPr="00677AB0" w14:paraId="0D40E675" w14:textId="77777777" w:rsidTr="0042308F">
        <w:trPr>
          <w:trHeight w:val="300"/>
        </w:trPr>
        <w:tc>
          <w:tcPr>
            <w:tcW w:w="3034" w:type="pct"/>
            <w:shd w:val="clear" w:color="auto" w:fill="auto"/>
            <w:noWrap/>
            <w:vAlign w:val="center"/>
            <w:hideMark/>
          </w:tcPr>
          <w:p w14:paraId="4A12432F" w14:textId="77777777" w:rsidR="0042308F" w:rsidRPr="00677AB0" w:rsidRDefault="0042308F" w:rsidP="0042308F">
            <w:pPr>
              <w:pStyle w:val="ListParagraph"/>
              <w:numPr>
                <w:ilvl w:val="0"/>
                <w:numId w:val="23"/>
              </w:numPr>
              <w:spacing w:after="0" w:line="240" w:lineRule="auto"/>
              <w:rPr>
                <w:rFonts w:ascii="Arial" w:eastAsia="Times New Roman" w:hAnsi="Arial" w:cs="Arial"/>
                <w:color w:val="000000"/>
              </w:rPr>
            </w:pPr>
            <w:r w:rsidRPr="00677AB0">
              <w:rPr>
                <w:rFonts w:ascii="Arial" w:eastAsia="Times New Roman" w:hAnsi="Arial" w:cs="Arial"/>
                <w:i/>
                <w:iCs/>
                <w:color w:val="000000"/>
              </w:rPr>
              <w:t>Direktni vanjski dug FBiH</w:t>
            </w:r>
          </w:p>
        </w:tc>
        <w:tc>
          <w:tcPr>
            <w:tcW w:w="928" w:type="pct"/>
            <w:shd w:val="clear" w:color="auto" w:fill="auto"/>
            <w:noWrap/>
            <w:vAlign w:val="center"/>
            <w:hideMark/>
          </w:tcPr>
          <w:p w14:paraId="39A82C41" w14:textId="77777777" w:rsidR="0042308F" w:rsidRPr="00677AB0" w:rsidRDefault="0042308F" w:rsidP="0042308F">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03B68CB6"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49,29</w:t>
            </w:r>
          </w:p>
        </w:tc>
      </w:tr>
      <w:tr w:rsidR="0042308F" w:rsidRPr="00677AB0" w14:paraId="1A9021D1" w14:textId="77777777" w:rsidTr="0042308F">
        <w:trPr>
          <w:trHeight w:val="300"/>
        </w:trPr>
        <w:tc>
          <w:tcPr>
            <w:tcW w:w="3034" w:type="pct"/>
            <w:shd w:val="clear" w:color="auto" w:fill="auto"/>
            <w:noWrap/>
            <w:vAlign w:val="center"/>
            <w:hideMark/>
          </w:tcPr>
          <w:p w14:paraId="0DD5BCCC" w14:textId="77777777" w:rsidR="0042308F" w:rsidRPr="00677AB0" w:rsidRDefault="007D084A" w:rsidP="0042308F">
            <w:pPr>
              <w:spacing w:after="0" w:line="240" w:lineRule="auto"/>
              <w:rPr>
                <w:rFonts w:ascii="Arial" w:eastAsia="Times New Roman" w:hAnsi="Arial" w:cs="Arial"/>
                <w:b/>
                <w:bCs/>
                <w:i/>
                <w:iCs/>
                <w:color w:val="000000"/>
              </w:rPr>
            </w:pPr>
            <w:r>
              <w:rPr>
                <w:rFonts w:ascii="Arial" w:eastAsia="Times New Roman" w:hAnsi="Arial" w:cs="Arial"/>
                <w:b/>
                <w:bCs/>
                <w:i/>
                <w:iCs/>
                <w:color w:val="000000"/>
              </w:rPr>
              <w:t>Unutarnji</w:t>
            </w:r>
            <w:r w:rsidR="0042308F" w:rsidRPr="00677AB0">
              <w:rPr>
                <w:rFonts w:ascii="Arial" w:eastAsia="Times New Roman" w:hAnsi="Arial" w:cs="Arial"/>
                <w:b/>
                <w:bCs/>
                <w:i/>
                <w:iCs/>
                <w:color w:val="000000"/>
              </w:rPr>
              <w:t xml:space="preserve"> dug FBiH, od čega:</w:t>
            </w:r>
          </w:p>
        </w:tc>
        <w:tc>
          <w:tcPr>
            <w:tcW w:w="928" w:type="pct"/>
            <w:shd w:val="clear" w:color="auto" w:fill="auto"/>
            <w:noWrap/>
            <w:vAlign w:val="center"/>
            <w:hideMark/>
          </w:tcPr>
          <w:p w14:paraId="5BB88A9E" w14:textId="77777777" w:rsidR="0042308F" w:rsidRPr="00677AB0" w:rsidRDefault="0042308F" w:rsidP="0042308F">
            <w:pPr>
              <w:spacing w:after="0" w:line="240" w:lineRule="auto"/>
              <w:rPr>
                <w:rFonts w:ascii="Arial" w:eastAsia="Times New Roman" w:hAnsi="Arial" w:cs="Arial"/>
                <w:b/>
                <w:bCs/>
                <w:i/>
                <w:iCs/>
                <w:color w:val="000000"/>
              </w:rPr>
            </w:pPr>
          </w:p>
        </w:tc>
        <w:tc>
          <w:tcPr>
            <w:tcW w:w="1038" w:type="pct"/>
            <w:shd w:val="clear" w:color="auto" w:fill="auto"/>
            <w:noWrap/>
            <w:vAlign w:val="center"/>
            <w:hideMark/>
          </w:tcPr>
          <w:p w14:paraId="51AAA531" w14:textId="77777777" w:rsidR="0042308F" w:rsidRPr="00677AB0" w:rsidRDefault="0042308F" w:rsidP="0042308F">
            <w:pPr>
              <w:spacing w:after="0" w:line="240" w:lineRule="auto"/>
              <w:jc w:val="right"/>
              <w:rPr>
                <w:rFonts w:ascii="Arial" w:eastAsia="Times New Roman" w:hAnsi="Arial" w:cs="Arial"/>
                <w:b/>
                <w:bCs/>
                <w:i/>
                <w:iCs/>
                <w:color w:val="000000"/>
              </w:rPr>
            </w:pPr>
            <w:r w:rsidRPr="00677AB0">
              <w:rPr>
                <w:rFonts w:ascii="Arial" w:hAnsi="Arial" w:cs="Arial"/>
                <w:b/>
                <w:bCs/>
                <w:i/>
                <w:iCs/>
                <w:color w:val="000000"/>
              </w:rPr>
              <w:t>924,41</w:t>
            </w:r>
          </w:p>
        </w:tc>
      </w:tr>
      <w:tr w:rsidR="0042308F" w:rsidRPr="00677AB0" w14:paraId="0B875188" w14:textId="77777777" w:rsidTr="0042308F">
        <w:trPr>
          <w:trHeight w:val="300"/>
        </w:trPr>
        <w:tc>
          <w:tcPr>
            <w:tcW w:w="3034" w:type="pct"/>
            <w:shd w:val="clear" w:color="auto" w:fill="auto"/>
            <w:noWrap/>
            <w:vAlign w:val="center"/>
            <w:hideMark/>
          </w:tcPr>
          <w:p w14:paraId="266E20AD" w14:textId="77777777" w:rsidR="0042308F" w:rsidRPr="00677AB0" w:rsidRDefault="0042308F" w:rsidP="0042308F">
            <w:pPr>
              <w:pStyle w:val="ListParagraph"/>
              <w:numPr>
                <w:ilvl w:val="0"/>
                <w:numId w:val="23"/>
              </w:numPr>
              <w:spacing w:after="0" w:line="240" w:lineRule="auto"/>
              <w:rPr>
                <w:rFonts w:ascii="Arial" w:eastAsia="Times New Roman" w:hAnsi="Arial" w:cs="Arial"/>
                <w:i/>
                <w:iCs/>
                <w:color w:val="000000"/>
              </w:rPr>
            </w:pPr>
            <w:r w:rsidRPr="00677AB0">
              <w:rPr>
                <w:rFonts w:ascii="Arial" w:eastAsia="Times New Roman" w:hAnsi="Arial" w:cs="Arial"/>
                <w:i/>
                <w:iCs/>
                <w:color w:val="000000"/>
              </w:rPr>
              <w:t>Trezorski zapisi  FBiH</w:t>
            </w:r>
          </w:p>
        </w:tc>
        <w:tc>
          <w:tcPr>
            <w:tcW w:w="928" w:type="pct"/>
            <w:shd w:val="clear" w:color="auto" w:fill="auto"/>
            <w:noWrap/>
            <w:vAlign w:val="center"/>
            <w:hideMark/>
          </w:tcPr>
          <w:p w14:paraId="69E846D7" w14:textId="77777777" w:rsidR="0042308F" w:rsidRPr="00677AB0" w:rsidRDefault="0042308F" w:rsidP="0042308F">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0EF29693"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100</w:t>
            </w:r>
          </w:p>
        </w:tc>
      </w:tr>
      <w:tr w:rsidR="0042308F" w:rsidRPr="00677AB0" w14:paraId="1AF10DCB" w14:textId="77777777" w:rsidTr="0042308F">
        <w:trPr>
          <w:trHeight w:val="300"/>
        </w:trPr>
        <w:tc>
          <w:tcPr>
            <w:tcW w:w="3034" w:type="pct"/>
            <w:shd w:val="clear" w:color="auto" w:fill="auto"/>
            <w:noWrap/>
            <w:vAlign w:val="center"/>
            <w:hideMark/>
          </w:tcPr>
          <w:p w14:paraId="614F96DC" w14:textId="77777777" w:rsidR="0042308F" w:rsidRPr="00677AB0" w:rsidRDefault="0042308F" w:rsidP="0042308F">
            <w:pPr>
              <w:pStyle w:val="ListParagraph"/>
              <w:numPr>
                <w:ilvl w:val="0"/>
                <w:numId w:val="23"/>
              </w:numPr>
              <w:spacing w:after="0" w:line="240" w:lineRule="auto"/>
              <w:rPr>
                <w:rFonts w:ascii="Arial" w:eastAsia="Times New Roman" w:hAnsi="Arial" w:cs="Arial"/>
                <w:i/>
                <w:iCs/>
                <w:color w:val="000000"/>
              </w:rPr>
            </w:pPr>
            <w:r w:rsidRPr="00677AB0">
              <w:rPr>
                <w:rFonts w:ascii="Arial" w:eastAsia="Times New Roman" w:hAnsi="Arial" w:cs="Arial"/>
                <w:i/>
                <w:iCs/>
                <w:color w:val="000000"/>
              </w:rPr>
              <w:t>Trezorske obveznice  FBiH</w:t>
            </w:r>
          </w:p>
        </w:tc>
        <w:tc>
          <w:tcPr>
            <w:tcW w:w="928" w:type="pct"/>
            <w:shd w:val="clear" w:color="auto" w:fill="auto"/>
            <w:noWrap/>
            <w:vAlign w:val="center"/>
            <w:hideMark/>
          </w:tcPr>
          <w:p w14:paraId="455B6890" w14:textId="77777777" w:rsidR="0042308F" w:rsidRPr="00677AB0" w:rsidRDefault="0042308F" w:rsidP="0042308F">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5EC732B4"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820</w:t>
            </w:r>
          </w:p>
        </w:tc>
      </w:tr>
      <w:tr w:rsidR="0042308F" w:rsidRPr="00677AB0" w14:paraId="1AAFB56B" w14:textId="77777777" w:rsidTr="0042308F">
        <w:trPr>
          <w:trHeight w:val="300"/>
        </w:trPr>
        <w:tc>
          <w:tcPr>
            <w:tcW w:w="3034" w:type="pct"/>
            <w:shd w:val="clear" w:color="auto" w:fill="auto"/>
            <w:noWrap/>
            <w:vAlign w:val="center"/>
            <w:hideMark/>
          </w:tcPr>
          <w:p w14:paraId="2CAAD587" w14:textId="77777777" w:rsidR="0042308F" w:rsidRPr="00677AB0" w:rsidRDefault="0042308F" w:rsidP="0042308F">
            <w:pPr>
              <w:pStyle w:val="ListParagraph"/>
              <w:numPr>
                <w:ilvl w:val="0"/>
                <w:numId w:val="23"/>
              </w:numPr>
              <w:spacing w:after="0" w:line="240" w:lineRule="auto"/>
              <w:rPr>
                <w:rFonts w:ascii="Arial" w:eastAsia="Times New Roman" w:hAnsi="Arial" w:cs="Arial"/>
                <w:i/>
                <w:iCs/>
                <w:color w:val="000000"/>
              </w:rPr>
            </w:pPr>
            <w:r w:rsidRPr="00677AB0">
              <w:rPr>
                <w:rFonts w:ascii="Arial" w:eastAsia="Times New Roman" w:hAnsi="Arial" w:cs="Arial"/>
                <w:i/>
                <w:iCs/>
                <w:color w:val="000000"/>
              </w:rPr>
              <w:t>Obveznice stare devizne štednje (SDŠ)</w:t>
            </w:r>
          </w:p>
        </w:tc>
        <w:tc>
          <w:tcPr>
            <w:tcW w:w="928" w:type="pct"/>
            <w:shd w:val="clear" w:color="auto" w:fill="auto"/>
            <w:noWrap/>
            <w:vAlign w:val="center"/>
            <w:hideMark/>
          </w:tcPr>
          <w:p w14:paraId="30CE5909" w14:textId="77777777" w:rsidR="0042308F" w:rsidRPr="00677AB0" w:rsidRDefault="0042308F" w:rsidP="0042308F">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773A8290"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0</w:t>
            </w:r>
          </w:p>
        </w:tc>
      </w:tr>
      <w:tr w:rsidR="0042308F" w:rsidRPr="00677AB0" w14:paraId="6BF92FEC" w14:textId="77777777" w:rsidTr="0042308F">
        <w:trPr>
          <w:trHeight w:val="300"/>
        </w:trPr>
        <w:tc>
          <w:tcPr>
            <w:tcW w:w="3034" w:type="pct"/>
            <w:shd w:val="clear" w:color="auto" w:fill="auto"/>
            <w:noWrap/>
            <w:vAlign w:val="center"/>
            <w:hideMark/>
          </w:tcPr>
          <w:p w14:paraId="61CF7AF3" w14:textId="77777777" w:rsidR="0042308F" w:rsidRPr="00677AB0" w:rsidRDefault="0042308F" w:rsidP="0042308F">
            <w:pPr>
              <w:pStyle w:val="ListParagraph"/>
              <w:numPr>
                <w:ilvl w:val="0"/>
                <w:numId w:val="23"/>
              </w:numPr>
              <w:spacing w:after="0" w:line="240" w:lineRule="auto"/>
              <w:rPr>
                <w:rFonts w:ascii="Arial" w:eastAsia="Times New Roman" w:hAnsi="Arial" w:cs="Arial"/>
                <w:i/>
                <w:iCs/>
                <w:color w:val="000000"/>
              </w:rPr>
            </w:pPr>
            <w:r w:rsidRPr="00677AB0">
              <w:rPr>
                <w:rFonts w:ascii="Arial" w:eastAsia="Times New Roman" w:hAnsi="Arial" w:cs="Arial"/>
                <w:i/>
                <w:iCs/>
                <w:color w:val="000000"/>
              </w:rPr>
              <w:t>Obveznice za ratna potraživanja (RT)</w:t>
            </w:r>
          </w:p>
        </w:tc>
        <w:tc>
          <w:tcPr>
            <w:tcW w:w="928" w:type="pct"/>
            <w:shd w:val="clear" w:color="auto" w:fill="auto"/>
            <w:noWrap/>
            <w:vAlign w:val="center"/>
            <w:hideMark/>
          </w:tcPr>
          <w:p w14:paraId="6FAC9524" w14:textId="77777777" w:rsidR="0042308F" w:rsidRPr="00677AB0" w:rsidRDefault="0042308F" w:rsidP="0042308F">
            <w:pPr>
              <w:spacing w:after="0" w:line="240" w:lineRule="auto"/>
              <w:jc w:val="center"/>
              <w:rPr>
                <w:rFonts w:ascii="Arial" w:eastAsia="Times New Roman" w:hAnsi="Arial" w:cs="Arial"/>
                <w:b/>
                <w:bCs/>
                <w:color w:val="448AD7"/>
              </w:rPr>
            </w:pPr>
            <w:r w:rsidRPr="00677AB0">
              <w:rPr>
                <w:rFonts w:ascii="Arial" w:eastAsia="Times New Roman" w:hAnsi="Arial" w:cs="Arial"/>
                <w:b/>
                <w:bCs/>
                <w:color w:val="448AD7"/>
              </w:rPr>
              <w:t>√</w:t>
            </w:r>
          </w:p>
        </w:tc>
        <w:tc>
          <w:tcPr>
            <w:tcW w:w="1038" w:type="pct"/>
            <w:shd w:val="clear" w:color="auto" w:fill="auto"/>
            <w:noWrap/>
            <w:vAlign w:val="center"/>
            <w:hideMark/>
          </w:tcPr>
          <w:p w14:paraId="4AE27040"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2,89</w:t>
            </w:r>
          </w:p>
        </w:tc>
      </w:tr>
      <w:tr w:rsidR="0042308F" w:rsidRPr="00677AB0" w14:paraId="79CF26AF" w14:textId="77777777" w:rsidTr="0042308F">
        <w:trPr>
          <w:trHeight w:val="300"/>
        </w:trPr>
        <w:tc>
          <w:tcPr>
            <w:tcW w:w="3034" w:type="pct"/>
            <w:shd w:val="clear" w:color="auto" w:fill="auto"/>
            <w:noWrap/>
            <w:vAlign w:val="center"/>
            <w:hideMark/>
          </w:tcPr>
          <w:p w14:paraId="51B0676C" w14:textId="77777777" w:rsidR="0042308F" w:rsidRPr="00677AB0" w:rsidRDefault="0042308F" w:rsidP="0042308F">
            <w:pPr>
              <w:pStyle w:val="ListParagraph"/>
              <w:numPr>
                <w:ilvl w:val="0"/>
                <w:numId w:val="8"/>
              </w:numPr>
              <w:spacing w:after="0" w:line="240" w:lineRule="auto"/>
              <w:rPr>
                <w:rFonts w:ascii="Arial" w:eastAsia="Times New Roman" w:hAnsi="Arial" w:cs="Arial"/>
                <w:i/>
                <w:color w:val="0563C1"/>
              </w:rPr>
            </w:pPr>
            <w:r w:rsidRPr="00677AB0">
              <w:rPr>
                <w:rFonts w:ascii="Arial" w:eastAsia="Times New Roman" w:hAnsi="Arial" w:cs="Arial"/>
                <w:i/>
              </w:rPr>
              <w:t>Verificirani dug</w:t>
            </w:r>
          </w:p>
        </w:tc>
        <w:tc>
          <w:tcPr>
            <w:tcW w:w="928" w:type="pct"/>
            <w:shd w:val="clear" w:color="auto" w:fill="auto"/>
            <w:noWrap/>
            <w:vAlign w:val="center"/>
            <w:hideMark/>
          </w:tcPr>
          <w:p w14:paraId="777C6948" w14:textId="77777777" w:rsidR="0042308F" w:rsidRPr="00677AB0" w:rsidRDefault="0042308F" w:rsidP="0042308F">
            <w:pPr>
              <w:spacing w:after="0" w:line="240" w:lineRule="auto"/>
              <w:jc w:val="center"/>
              <w:rPr>
                <w:rFonts w:ascii="Arial" w:eastAsia="Times New Roman" w:hAnsi="Arial" w:cs="Arial"/>
                <w:color w:val="0563C1"/>
              </w:rPr>
            </w:pPr>
            <w:r w:rsidRPr="00677AB0">
              <w:rPr>
                <w:rFonts w:ascii="Arial" w:eastAsia="Times New Roman" w:hAnsi="Arial" w:cs="Arial"/>
                <w:color w:val="0563C1"/>
              </w:rPr>
              <w:t>x</w:t>
            </w:r>
          </w:p>
        </w:tc>
        <w:tc>
          <w:tcPr>
            <w:tcW w:w="1038" w:type="pct"/>
            <w:shd w:val="clear" w:color="auto" w:fill="auto"/>
            <w:noWrap/>
            <w:vAlign w:val="center"/>
            <w:hideMark/>
          </w:tcPr>
          <w:p w14:paraId="7ADFE132"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1,52</w:t>
            </w:r>
          </w:p>
        </w:tc>
      </w:tr>
      <w:tr w:rsidR="0042308F" w:rsidRPr="00677AB0" w14:paraId="2A5120B1" w14:textId="77777777" w:rsidTr="0042308F">
        <w:trPr>
          <w:trHeight w:val="80"/>
        </w:trPr>
        <w:tc>
          <w:tcPr>
            <w:tcW w:w="3034" w:type="pct"/>
            <w:shd w:val="clear" w:color="auto" w:fill="auto"/>
            <w:noWrap/>
            <w:vAlign w:val="center"/>
          </w:tcPr>
          <w:p w14:paraId="1B0BFA97" w14:textId="77777777" w:rsidR="0042308F" w:rsidRPr="00677AB0" w:rsidRDefault="0042308F" w:rsidP="0042308F">
            <w:pPr>
              <w:spacing w:after="0" w:line="240" w:lineRule="auto"/>
              <w:rPr>
                <w:rFonts w:ascii="Arial" w:eastAsia="Times New Roman" w:hAnsi="Arial" w:cs="Arial"/>
                <w:i/>
                <w:iCs/>
                <w:color w:val="000000"/>
              </w:rPr>
            </w:pPr>
          </w:p>
        </w:tc>
        <w:tc>
          <w:tcPr>
            <w:tcW w:w="928" w:type="pct"/>
            <w:shd w:val="clear" w:color="auto" w:fill="auto"/>
            <w:noWrap/>
            <w:vAlign w:val="center"/>
          </w:tcPr>
          <w:p w14:paraId="359945CD" w14:textId="77777777" w:rsidR="0042308F" w:rsidRPr="00677AB0" w:rsidRDefault="0042308F" w:rsidP="0042308F">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5417A63C"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 </w:t>
            </w:r>
          </w:p>
        </w:tc>
      </w:tr>
      <w:tr w:rsidR="0042308F" w:rsidRPr="00677AB0" w14:paraId="6B21176A" w14:textId="77777777" w:rsidTr="0042308F">
        <w:trPr>
          <w:trHeight w:val="357"/>
        </w:trPr>
        <w:tc>
          <w:tcPr>
            <w:tcW w:w="3034" w:type="pct"/>
            <w:shd w:val="clear" w:color="auto" w:fill="auto"/>
            <w:noWrap/>
            <w:vAlign w:val="center"/>
          </w:tcPr>
          <w:p w14:paraId="055FF86D" w14:textId="77777777" w:rsidR="0042308F" w:rsidRPr="00677AB0" w:rsidRDefault="0042308F" w:rsidP="0042308F">
            <w:pPr>
              <w:spacing w:after="0" w:line="240" w:lineRule="auto"/>
              <w:rPr>
                <w:rFonts w:ascii="Arial" w:eastAsia="Times New Roman" w:hAnsi="Arial" w:cs="Arial"/>
                <w:i/>
                <w:iCs/>
                <w:color w:val="000000"/>
              </w:rPr>
            </w:pPr>
            <w:r w:rsidRPr="00677AB0">
              <w:rPr>
                <w:rFonts w:ascii="Arial" w:eastAsia="Times New Roman" w:hAnsi="Arial" w:cs="Arial"/>
                <w:i/>
                <w:iCs/>
                <w:color w:val="000000"/>
              </w:rPr>
              <w:t>UKUPAN dug obuhvaćen strategijom</w:t>
            </w:r>
          </w:p>
        </w:tc>
        <w:tc>
          <w:tcPr>
            <w:tcW w:w="928" w:type="pct"/>
            <w:shd w:val="clear" w:color="auto" w:fill="auto"/>
            <w:noWrap/>
            <w:vAlign w:val="center"/>
          </w:tcPr>
          <w:p w14:paraId="4DCA2412" w14:textId="77777777" w:rsidR="0042308F" w:rsidRPr="00677AB0" w:rsidRDefault="0042308F" w:rsidP="0042308F">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5ED6A266" w14:textId="77777777" w:rsidR="0042308F" w:rsidRPr="00677AB0" w:rsidRDefault="0042308F" w:rsidP="0042308F">
            <w:pPr>
              <w:spacing w:after="0" w:line="240" w:lineRule="auto"/>
              <w:jc w:val="right"/>
              <w:rPr>
                <w:rFonts w:ascii="Arial" w:eastAsia="Times New Roman" w:hAnsi="Arial" w:cs="Arial"/>
                <w:i/>
                <w:iCs/>
                <w:color w:val="000000"/>
              </w:rPr>
            </w:pPr>
            <w:r w:rsidRPr="00677AB0">
              <w:rPr>
                <w:rFonts w:ascii="Arial" w:hAnsi="Arial" w:cs="Arial"/>
                <w:i/>
                <w:iCs/>
                <w:color w:val="000000"/>
              </w:rPr>
              <w:t>6.089,55</w:t>
            </w:r>
          </w:p>
        </w:tc>
      </w:tr>
    </w:tbl>
    <w:p w14:paraId="6F8C4114" w14:textId="77777777" w:rsidR="0042308F" w:rsidRPr="00677AB0" w:rsidRDefault="0042308F" w:rsidP="0042308F">
      <w:pPr>
        <w:pStyle w:val="NoSpacing"/>
        <w:spacing w:line="276" w:lineRule="auto"/>
        <w:jc w:val="both"/>
        <w:rPr>
          <w:rFonts w:ascii="Arial" w:hAnsi="Arial" w:cs="Arial"/>
          <w:szCs w:val="24"/>
          <w:lang w:val="hr-HR"/>
        </w:rPr>
      </w:pPr>
    </w:p>
    <w:p w14:paraId="72A99AF7" w14:textId="77777777" w:rsidR="0042308F" w:rsidRPr="00677AB0" w:rsidRDefault="0042308F" w:rsidP="0042308F">
      <w:pPr>
        <w:pStyle w:val="NoSpacing"/>
        <w:spacing w:line="276" w:lineRule="auto"/>
        <w:jc w:val="both"/>
        <w:rPr>
          <w:rFonts w:ascii="Arial" w:hAnsi="Arial" w:cs="Arial"/>
          <w:sz w:val="16"/>
          <w:szCs w:val="24"/>
          <w:lang w:val="hr-HR"/>
        </w:rPr>
      </w:pPr>
    </w:p>
    <w:p w14:paraId="6FAAFBED" w14:textId="77777777" w:rsidR="0042308F" w:rsidRPr="00677AB0" w:rsidRDefault="0042308F" w:rsidP="0042308F">
      <w:pPr>
        <w:pStyle w:val="Heading1"/>
        <w:numPr>
          <w:ilvl w:val="0"/>
          <w:numId w:val="1"/>
        </w:numPr>
        <w:spacing w:before="0"/>
        <w:ind w:left="567" w:hanging="425"/>
        <w:rPr>
          <w:rFonts w:ascii="Arial" w:hAnsi="Arial" w:cs="Arial"/>
          <w:b w:val="0"/>
          <w:color w:val="auto"/>
        </w:rPr>
      </w:pPr>
      <w:bookmarkStart w:id="5" w:name="_Toc172282237"/>
      <w:r>
        <w:rPr>
          <w:rFonts w:ascii="Arial" w:hAnsi="Arial" w:cs="Arial"/>
          <w:b w:val="0"/>
          <w:color w:val="auto"/>
        </w:rPr>
        <w:t>Portfelj</w:t>
      </w:r>
      <w:r w:rsidRPr="00677AB0">
        <w:rPr>
          <w:rFonts w:ascii="Arial" w:hAnsi="Arial" w:cs="Arial"/>
          <w:b w:val="0"/>
          <w:color w:val="auto"/>
        </w:rPr>
        <w:t xml:space="preserve"> duga Vlade Federacije BiH</w:t>
      </w:r>
      <w:bookmarkEnd w:id="5"/>
    </w:p>
    <w:p w14:paraId="0D8F993A" w14:textId="77777777" w:rsidR="0042308F" w:rsidRPr="00677AB0" w:rsidRDefault="0042308F" w:rsidP="0042308F">
      <w:pPr>
        <w:pStyle w:val="NoSpacing"/>
        <w:jc w:val="both"/>
        <w:rPr>
          <w:rFonts w:ascii="Arial" w:hAnsi="Arial" w:cs="Arial"/>
          <w:color w:val="538135" w:themeColor="accent6" w:themeShade="BF"/>
          <w:lang w:val="hr-HR"/>
        </w:rPr>
      </w:pPr>
    </w:p>
    <w:p w14:paraId="58F60FB9" w14:textId="77777777" w:rsidR="0042308F" w:rsidRPr="00677AB0" w:rsidRDefault="0042308F" w:rsidP="0042308F">
      <w:pPr>
        <w:pStyle w:val="ParagraphNumbering"/>
        <w:numPr>
          <w:ilvl w:val="0"/>
          <w:numId w:val="0"/>
        </w:numPr>
        <w:autoSpaceDE w:val="0"/>
        <w:spacing w:after="0" w:line="276" w:lineRule="auto"/>
        <w:ind w:firstLine="360"/>
        <w:jc w:val="both"/>
        <w:rPr>
          <w:rFonts w:ascii="Arial" w:eastAsiaTheme="minorHAnsi" w:hAnsi="Arial" w:cs="Arial"/>
          <w:sz w:val="22"/>
          <w:szCs w:val="22"/>
        </w:rPr>
      </w:pPr>
      <w:r>
        <w:rPr>
          <w:rFonts w:ascii="Arial" w:eastAsiaTheme="minorHAnsi" w:hAnsi="Arial" w:cs="Arial"/>
          <w:sz w:val="22"/>
          <w:szCs w:val="22"/>
        </w:rPr>
        <w:t>Portfelj</w:t>
      </w:r>
      <w:r w:rsidRPr="00677AB0">
        <w:rPr>
          <w:rFonts w:ascii="Arial" w:eastAsiaTheme="minorHAnsi" w:hAnsi="Arial" w:cs="Arial"/>
          <w:sz w:val="22"/>
          <w:szCs w:val="22"/>
        </w:rPr>
        <w:t xml:space="preserve"> duga koji je obuhvaćen Strategijom i za koji je odgovorna i kojim upravlja Vlada Federacije BiH na dan </w:t>
      </w:r>
      <w:r>
        <w:rPr>
          <w:rFonts w:ascii="Arial" w:eastAsiaTheme="minorHAnsi" w:hAnsi="Arial" w:cs="Arial"/>
          <w:sz w:val="22"/>
          <w:szCs w:val="22"/>
        </w:rPr>
        <w:t>31. 12. 2023.</w:t>
      </w:r>
      <w:r w:rsidRPr="00677AB0">
        <w:rPr>
          <w:rFonts w:ascii="Arial" w:eastAsiaTheme="minorHAnsi" w:hAnsi="Arial" w:cs="Arial"/>
          <w:sz w:val="22"/>
          <w:szCs w:val="22"/>
        </w:rPr>
        <w:t xml:space="preserve"> iznosi 6.089,55 mil.KM</w:t>
      </w:r>
      <w:r w:rsidRPr="00677AB0">
        <w:rPr>
          <w:rStyle w:val="FootnoteReference"/>
          <w:rFonts w:ascii="Arial" w:eastAsiaTheme="minorHAnsi" w:hAnsi="Arial" w:cs="Arial"/>
          <w:sz w:val="22"/>
          <w:szCs w:val="22"/>
        </w:rPr>
        <w:footnoteReference w:id="1"/>
      </w:r>
      <w:r w:rsidRPr="00677AB0">
        <w:rPr>
          <w:rFonts w:ascii="Arial" w:eastAsiaTheme="minorHAnsi" w:hAnsi="Arial" w:cs="Arial"/>
          <w:sz w:val="22"/>
          <w:szCs w:val="22"/>
        </w:rPr>
        <w:t xml:space="preserve"> (3.440,46 mil. USD) odnosno </w:t>
      </w:r>
      <w:r w:rsidRPr="00677AB0">
        <w:rPr>
          <w:rFonts w:ascii="Arial" w:eastAsia="Times New Roman" w:hAnsi="Arial" w:cs="Arial"/>
          <w:bCs/>
          <w:sz w:val="22"/>
          <w:szCs w:val="22"/>
          <w:lang w:eastAsia="zh-CN"/>
        </w:rPr>
        <w:t>20,30</w:t>
      </w:r>
      <w:r w:rsidRPr="00677AB0">
        <w:rPr>
          <w:rFonts w:ascii="Arial" w:eastAsiaTheme="minorHAnsi" w:hAnsi="Arial" w:cs="Arial"/>
          <w:sz w:val="22"/>
          <w:szCs w:val="22"/>
        </w:rPr>
        <w:t>% BDP-a</w:t>
      </w:r>
      <w:r w:rsidRPr="00677AB0">
        <w:rPr>
          <w:rStyle w:val="FootnoteReference"/>
          <w:rFonts w:ascii="Arial" w:eastAsiaTheme="minorHAnsi" w:hAnsi="Arial" w:cs="Arial"/>
          <w:sz w:val="22"/>
          <w:szCs w:val="22"/>
        </w:rPr>
        <w:footnoteReference w:id="2"/>
      </w:r>
      <w:r w:rsidRPr="00677AB0">
        <w:rPr>
          <w:rFonts w:ascii="Arial" w:eastAsiaTheme="minorHAnsi" w:hAnsi="Arial" w:cs="Arial"/>
          <w:sz w:val="22"/>
          <w:szCs w:val="22"/>
        </w:rPr>
        <w:t xml:space="preserve"> Federacije BiH. Sastoji se od vanjskog duga u iznosu od 5.166,66 mil. KM (</w:t>
      </w:r>
      <w:r w:rsidRPr="00677AB0">
        <w:rPr>
          <w:rFonts w:ascii="Arial" w:eastAsia="Arial" w:hAnsi="Arial" w:cs="Arial"/>
          <w:sz w:val="22"/>
          <w:szCs w:val="22"/>
        </w:rPr>
        <w:t xml:space="preserve">2.919,05 </w:t>
      </w:r>
      <w:r w:rsidRPr="00677AB0">
        <w:rPr>
          <w:rFonts w:ascii="Arial" w:eastAsiaTheme="minorHAnsi" w:hAnsi="Arial" w:cs="Arial"/>
          <w:sz w:val="22"/>
          <w:szCs w:val="22"/>
        </w:rPr>
        <w:t xml:space="preserve">mil. USD) odnosno 84,84% ukupnog duga i </w:t>
      </w:r>
      <w:r w:rsidR="007D084A">
        <w:rPr>
          <w:rFonts w:ascii="Arial" w:eastAsiaTheme="minorHAnsi" w:hAnsi="Arial" w:cs="Arial"/>
          <w:sz w:val="22"/>
          <w:szCs w:val="22"/>
        </w:rPr>
        <w:t>unutarnjeg</w:t>
      </w:r>
      <w:r w:rsidRPr="00677AB0">
        <w:rPr>
          <w:rFonts w:ascii="Arial" w:eastAsiaTheme="minorHAnsi" w:hAnsi="Arial" w:cs="Arial"/>
          <w:sz w:val="22"/>
          <w:szCs w:val="22"/>
        </w:rPr>
        <w:t xml:space="preserve"> duga u iznosu od 922,89 mil. KM (521,41 mil. USD) odnosno 15,16% ukupnog duga.</w:t>
      </w:r>
    </w:p>
    <w:p w14:paraId="72C61B3F" w14:textId="77777777" w:rsidR="0042308F" w:rsidRPr="00677AB0" w:rsidRDefault="0042308F" w:rsidP="0042308F">
      <w:pPr>
        <w:pStyle w:val="ParagraphNumbering"/>
        <w:numPr>
          <w:ilvl w:val="0"/>
          <w:numId w:val="0"/>
        </w:numPr>
        <w:autoSpaceDE w:val="0"/>
        <w:spacing w:after="0" w:line="240" w:lineRule="auto"/>
        <w:jc w:val="both"/>
        <w:rPr>
          <w:rFonts w:ascii="Arial" w:eastAsiaTheme="minorHAnsi" w:hAnsi="Arial" w:cs="Arial"/>
          <w:sz w:val="22"/>
        </w:rPr>
      </w:pPr>
    </w:p>
    <w:p w14:paraId="3510476F" w14:textId="77777777" w:rsidR="0042308F" w:rsidRPr="00677AB0" w:rsidRDefault="00153015" w:rsidP="0042308F">
      <w:pPr>
        <w:pStyle w:val="ParagraphNumbering"/>
        <w:numPr>
          <w:ilvl w:val="0"/>
          <w:numId w:val="0"/>
        </w:numPr>
        <w:autoSpaceDE w:val="0"/>
        <w:spacing w:after="0" w:line="240" w:lineRule="auto"/>
        <w:jc w:val="both"/>
        <w:rPr>
          <w:rFonts w:ascii="Arial" w:eastAsiaTheme="minorHAnsi" w:hAnsi="Arial" w:cs="Arial"/>
          <w:sz w:val="20"/>
          <w:szCs w:val="22"/>
        </w:rPr>
      </w:pPr>
      <w:r>
        <w:rPr>
          <w:rFonts w:ascii="Arial" w:eastAsiaTheme="minorHAnsi" w:hAnsi="Arial" w:cs="Arial"/>
          <w:sz w:val="20"/>
          <w:szCs w:val="22"/>
        </w:rPr>
        <w:t>Tablica</w:t>
      </w:r>
      <w:r w:rsidR="0042308F" w:rsidRPr="00677AB0">
        <w:rPr>
          <w:rFonts w:ascii="Arial" w:eastAsiaTheme="minorHAnsi" w:hAnsi="Arial" w:cs="Arial"/>
          <w:sz w:val="20"/>
          <w:szCs w:val="22"/>
        </w:rPr>
        <w:t xml:space="preserve"> 2. Ukupan dug obuhvaćen Strategijom na dan </w:t>
      </w:r>
      <w:r w:rsidR="0042308F">
        <w:rPr>
          <w:rFonts w:ascii="Arial" w:eastAsiaTheme="minorHAnsi" w:hAnsi="Arial" w:cs="Arial"/>
          <w:sz w:val="20"/>
          <w:szCs w:val="22"/>
        </w:rPr>
        <w:t>31. 12. 2023.</w:t>
      </w:r>
    </w:p>
    <w:tbl>
      <w:tblPr>
        <w:tblW w:w="5000" w:type="pct"/>
        <w:tblLook w:val="04A0" w:firstRow="1" w:lastRow="0" w:firstColumn="1" w:lastColumn="0" w:noHBand="0" w:noVBand="1"/>
      </w:tblPr>
      <w:tblGrid>
        <w:gridCol w:w="2968"/>
        <w:gridCol w:w="1975"/>
        <w:gridCol w:w="2132"/>
        <w:gridCol w:w="1975"/>
      </w:tblGrid>
      <w:tr w:rsidR="0042308F" w:rsidRPr="00677AB0" w14:paraId="10E3825F" w14:textId="77777777" w:rsidTr="0042308F">
        <w:trPr>
          <w:trHeight w:val="345"/>
        </w:trPr>
        <w:tc>
          <w:tcPr>
            <w:tcW w:w="1640" w:type="pct"/>
            <w:tcBorders>
              <w:top w:val="single" w:sz="8" w:space="0" w:color="4F81BD"/>
              <w:left w:val="single" w:sz="8" w:space="0" w:color="4F81BD"/>
              <w:bottom w:val="single" w:sz="8" w:space="0" w:color="4F81BD"/>
              <w:right w:val="nil"/>
            </w:tcBorders>
            <w:shd w:val="clear" w:color="auto" w:fill="auto"/>
            <w:noWrap/>
            <w:vAlign w:val="center"/>
            <w:hideMark/>
          </w:tcPr>
          <w:p w14:paraId="4C91376E"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Opis</w:t>
            </w:r>
          </w:p>
        </w:tc>
        <w:tc>
          <w:tcPr>
            <w:tcW w:w="1091" w:type="pct"/>
            <w:tcBorders>
              <w:top w:val="single" w:sz="8" w:space="0" w:color="4F81BD"/>
              <w:left w:val="nil"/>
              <w:bottom w:val="single" w:sz="8" w:space="0" w:color="4F81BD"/>
              <w:right w:val="nil"/>
            </w:tcBorders>
            <w:shd w:val="clear" w:color="auto" w:fill="auto"/>
            <w:noWrap/>
            <w:vAlign w:val="center"/>
            <w:hideMark/>
          </w:tcPr>
          <w:p w14:paraId="7A084316"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Vanjski dug</w:t>
            </w:r>
          </w:p>
        </w:tc>
        <w:tc>
          <w:tcPr>
            <w:tcW w:w="1178" w:type="pct"/>
            <w:tcBorders>
              <w:top w:val="single" w:sz="8" w:space="0" w:color="4F81BD"/>
              <w:left w:val="nil"/>
              <w:bottom w:val="single" w:sz="8" w:space="0" w:color="4F81BD"/>
              <w:right w:val="nil"/>
            </w:tcBorders>
            <w:shd w:val="clear" w:color="auto" w:fill="auto"/>
            <w:noWrap/>
            <w:vAlign w:val="center"/>
            <w:hideMark/>
          </w:tcPr>
          <w:p w14:paraId="2A0291D0" w14:textId="77777777" w:rsidR="0042308F" w:rsidRPr="00677AB0" w:rsidRDefault="007D084A" w:rsidP="0042308F">
            <w:pPr>
              <w:spacing w:after="0" w:line="240" w:lineRule="auto"/>
              <w:jc w:val="center"/>
              <w:rPr>
                <w:rFonts w:ascii="Arial Narrow" w:eastAsia="Times New Roman" w:hAnsi="Arial Narrow" w:cs="Calibri"/>
              </w:rPr>
            </w:pPr>
            <w:r>
              <w:rPr>
                <w:rFonts w:ascii="Arial Narrow" w:eastAsia="Times New Roman" w:hAnsi="Arial Narrow" w:cs="Calibri"/>
              </w:rPr>
              <w:t>Unutarnji</w:t>
            </w:r>
            <w:r w:rsidR="0042308F" w:rsidRPr="00677AB0">
              <w:rPr>
                <w:rFonts w:ascii="Arial Narrow" w:eastAsia="Times New Roman" w:hAnsi="Arial Narrow" w:cs="Calibri"/>
              </w:rPr>
              <w:t xml:space="preserve"> dug</w:t>
            </w:r>
          </w:p>
        </w:tc>
        <w:tc>
          <w:tcPr>
            <w:tcW w:w="1091" w:type="pct"/>
            <w:tcBorders>
              <w:top w:val="single" w:sz="8" w:space="0" w:color="4F81BD"/>
              <w:left w:val="nil"/>
              <w:bottom w:val="single" w:sz="8" w:space="0" w:color="4F81BD"/>
              <w:right w:val="single" w:sz="8" w:space="0" w:color="4F81BD"/>
            </w:tcBorders>
            <w:shd w:val="clear" w:color="auto" w:fill="auto"/>
            <w:noWrap/>
            <w:vAlign w:val="center"/>
            <w:hideMark/>
          </w:tcPr>
          <w:p w14:paraId="3FA0A4EA"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Ukupni dug</w:t>
            </w:r>
          </w:p>
        </w:tc>
      </w:tr>
      <w:tr w:rsidR="0042308F" w:rsidRPr="00677AB0" w14:paraId="2FD680CD" w14:textId="77777777" w:rsidTr="0042308F">
        <w:trPr>
          <w:trHeight w:val="330"/>
        </w:trPr>
        <w:tc>
          <w:tcPr>
            <w:tcW w:w="1640" w:type="pct"/>
            <w:tcBorders>
              <w:top w:val="nil"/>
              <w:left w:val="single" w:sz="8" w:space="0" w:color="4F81BD"/>
              <w:bottom w:val="nil"/>
              <w:right w:val="nil"/>
            </w:tcBorders>
            <w:shd w:val="clear" w:color="auto" w:fill="auto"/>
            <w:noWrap/>
            <w:vAlign w:val="center"/>
            <w:hideMark/>
          </w:tcPr>
          <w:p w14:paraId="030D366E" w14:textId="77777777" w:rsidR="0042308F" w:rsidRPr="00677AB0" w:rsidRDefault="0042308F" w:rsidP="0042308F">
            <w:pPr>
              <w:spacing w:after="0" w:line="240" w:lineRule="auto"/>
              <w:rPr>
                <w:rFonts w:ascii="Arial Narrow" w:eastAsia="Times New Roman" w:hAnsi="Arial Narrow" w:cs="Calibri"/>
              </w:rPr>
            </w:pPr>
            <w:r w:rsidRPr="00677AB0">
              <w:rPr>
                <w:rFonts w:ascii="Arial Narrow" w:eastAsia="Times New Roman" w:hAnsi="Arial Narrow" w:cs="Calibri"/>
              </w:rPr>
              <w:t xml:space="preserve">Iznos (u mil. KM) </w:t>
            </w:r>
          </w:p>
        </w:tc>
        <w:tc>
          <w:tcPr>
            <w:tcW w:w="1091" w:type="pct"/>
            <w:tcBorders>
              <w:top w:val="nil"/>
              <w:left w:val="nil"/>
              <w:bottom w:val="nil"/>
              <w:right w:val="nil"/>
            </w:tcBorders>
            <w:shd w:val="clear" w:color="auto" w:fill="auto"/>
            <w:noWrap/>
            <w:vAlign w:val="center"/>
            <w:hideMark/>
          </w:tcPr>
          <w:p w14:paraId="2CEDCB1E"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hAnsi="Arial Narrow" w:cs="Calibri"/>
                <w:color w:val="000000"/>
              </w:rPr>
              <w:t>5.166,66</w:t>
            </w:r>
          </w:p>
        </w:tc>
        <w:tc>
          <w:tcPr>
            <w:tcW w:w="1178" w:type="pct"/>
            <w:tcBorders>
              <w:top w:val="nil"/>
              <w:left w:val="nil"/>
              <w:bottom w:val="nil"/>
              <w:right w:val="nil"/>
            </w:tcBorders>
            <w:shd w:val="clear" w:color="auto" w:fill="auto"/>
            <w:noWrap/>
            <w:vAlign w:val="center"/>
            <w:hideMark/>
          </w:tcPr>
          <w:p w14:paraId="3995F75F"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hAnsi="Arial Narrow" w:cs="Calibri"/>
                <w:color w:val="000000"/>
              </w:rPr>
              <w:t>922,89</w:t>
            </w:r>
          </w:p>
        </w:tc>
        <w:tc>
          <w:tcPr>
            <w:tcW w:w="1091" w:type="pct"/>
            <w:tcBorders>
              <w:top w:val="nil"/>
              <w:left w:val="nil"/>
              <w:bottom w:val="nil"/>
              <w:right w:val="single" w:sz="8" w:space="0" w:color="4F81BD"/>
            </w:tcBorders>
            <w:shd w:val="clear" w:color="auto" w:fill="auto"/>
            <w:noWrap/>
            <w:vAlign w:val="center"/>
            <w:hideMark/>
          </w:tcPr>
          <w:p w14:paraId="493FCE34"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hAnsi="Arial Narrow" w:cs="Calibri"/>
                <w:color w:val="000000"/>
              </w:rPr>
              <w:t>6.089,56</w:t>
            </w:r>
          </w:p>
        </w:tc>
      </w:tr>
      <w:tr w:rsidR="0042308F" w:rsidRPr="00677AB0" w14:paraId="7782138B" w14:textId="77777777" w:rsidTr="0042308F">
        <w:trPr>
          <w:trHeight w:val="330"/>
        </w:trPr>
        <w:tc>
          <w:tcPr>
            <w:tcW w:w="1640" w:type="pct"/>
            <w:tcBorders>
              <w:top w:val="nil"/>
              <w:left w:val="single" w:sz="8" w:space="0" w:color="4F81BD"/>
              <w:bottom w:val="nil"/>
              <w:right w:val="nil"/>
            </w:tcBorders>
            <w:shd w:val="clear" w:color="auto" w:fill="auto"/>
            <w:noWrap/>
            <w:vAlign w:val="center"/>
            <w:hideMark/>
          </w:tcPr>
          <w:p w14:paraId="5317FF21" w14:textId="77777777" w:rsidR="0042308F" w:rsidRPr="00677AB0" w:rsidRDefault="0042308F" w:rsidP="0042308F">
            <w:pPr>
              <w:spacing w:after="0" w:line="240" w:lineRule="auto"/>
              <w:rPr>
                <w:rFonts w:ascii="Arial Narrow" w:eastAsia="Times New Roman" w:hAnsi="Arial Narrow" w:cs="Calibri"/>
              </w:rPr>
            </w:pPr>
            <w:r w:rsidRPr="00677AB0">
              <w:rPr>
                <w:rFonts w:ascii="Arial Narrow" w:eastAsia="Times New Roman" w:hAnsi="Arial Narrow" w:cs="Calibri"/>
              </w:rPr>
              <w:t xml:space="preserve">Iznos (u mil. USD) </w:t>
            </w:r>
          </w:p>
        </w:tc>
        <w:tc>
          <w:tcPr>
            <w:tcW w:w="1091" w:type="pct"/>
            <w:tcBorders>
              <w:top w:val="nil"/>
              <w:left w:val="nil"/>
              <w:bottom w:val="nil"/>
              <w:right w:val="nil"/>
            </w:tcBorders>
            <w:shd w:val="clear" w:color="auto" w:fill="auto"/>
            <w:noWrap/>
            <w:vAlign w:val="center"/>
            <w:hideMark/>
          </w:tcPr>
          <w:p w14:paraId="5AA379D7"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hAnsi="Arial Narrow" w:cs="Calibri"/>
                <w:color w:val="000000"/>
              </w:rPr>
              <w:t>2.919,05</w:t>
            </w:r>
          </w:p>
        </w:tc>
        <w:tc>
          <w:tcPr>
            <w:tcW w:w="1178" w:type="pct"/>
            <w:tcBorders>
              <w:top w:val="nil"/>
              <w:left w:val="nil"/>
              <w:bottom w:val="nil"/>
              <w:right w:val="nil"/>
            </w:tcBorders>
            <w:shd w:val="clear" w:color="auto" w:fill="auto"/>
            <w:noWrap/>
            <w:vAlign w:val="center"/>
            <w:hideMark/>
          </w:tcPr>
          <w:p w14:paraId="4C8619AD"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hAnsi="Arial Narrow" w:cs="Calibri"/>
                <w:color w:val="000000"/>
              </w:rPr>
              <w:t>521,41</w:t>
            </w:r>
          </w:p>
        </w:tc>
        <w:tc>
          <w:tcPr>
            <w:tcW w:w="1091" w:type="pct"/>
            <w:tcBorders>
              <w:top w:val="nil"/>
              <w:left w:val="nil"/>
              <w:bottom w:val="nil"/>
              <w:right w:val="single" w:sz="8" w:space="0" w:color="4F81BD"/>
            </w:tcBorders>
            <w:shd w:val="clear" w:color="auto" w:fill="auto"/>
            <w:noWrap/>
            <w:vAlign w:val="center"/>
            <w:hideMark/>
          </w:tcPr>
          <w:p w14:paraId="4F93E341"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hAnsi="Arial Narrow" w:cs="Calibri"/>
                <w:color w:val="000000"/>
              </w:rPr>
              <w:t>3.440,46</w:t>
            </w:r>
          </w:p>
        </w:tc>
      </w:tr>
      <w:tr w:rsidR="0042308F" w:rsidRPr="00677AB0" w14:paraId="0BFAEC72" w14:textId="77777777" w:rsidTr="0042308F">
        <w:trPr>
          <w:trHeight w:val="345"/>
        </w:trPr>
        <w:tc>
          <w:tcPr>
            <w:tcW w:w="1640" w:type="pct"/>
            <w:tcBorders>
              <w:top w:val="nil"/>
              <w:left w:val="single" w:sz="8" w:space="0" w:color="4F81BD"/>
              <w:bottom w:val="single" w:sz="8" w:space="0" w:color="4F81BD"/>
              <w:right w:val="nil"/>
            </w:tcBorders>
            <w:shd w:val="clear" w:color="auto" w:fill="auto"/>
            <w:noWrap/>
            <w:vAlign w:val="center"/>
            <w:hideMark/>
          </w:tcPr>
          <w:p w14:paraId="5434C104" w14:textId="77777777" w:rsidR="0042308F" w:rsidRPr="00677AB0" w:rsidRDefault="0042308F" w:rsidP="0042308F">
            <w:pPr>
              <w:spacing w:after="0" w:line="240" w:lineRule="auto"/>
              <w:rPr>
                <w:rFonts w:ascii="Arial Narrow" w:eastAsia="Times New Roman" w:hAnsi="Arial Narrow" w:cs="Calibri"/>
              </w:rPr>
            </w:pPr>
            <w:r w:rsidRPr="00677AB0">
              <w:rPr>
                <w:rFonts w:ascii="Arial Narrow" w:eastAsia="Times New Roman" w:hAnsi="Arial Narrow" w:cs="Calibri"/>
              </w:rPr>
              <w:t>Nominalni dug kao % BDP-a FBiH</w:t>
            </w:r>
          </w:p>
        </w:tc>
        <w:tc>
          <w:tcPr>
            <w:tcW w:w="1091" w:type="pct"/>
            <w:tcBorders>
              <w:top w:val="nil"/>
              <w:left w:val="nil"/>
              <w:bottom w:val="single" w:sz="8" w:space="0" w:color="4F81BD"/>
              <w:right w:val="nil"/>
            </w:tcBorders>
            <w:shd w:val="clear" w:color="auto" w:fill="auto"/>
            <w:noWrap/>
            <w:vAlign w:val="center"/>
            <w:hideMark/>
          </w:tcPr>
          <w:p w14:paraId="06DDAAAC" w14:textId="77777777" w:rsidR="0042308F" w:rsidRPr="00677AB0" w:rsidRDefault="0042308F" w:rsidP="0042308F">
            <w:pPr>
              <w:spacing w:after="0" w:line="240" w:lineRule="auto"/>
              <w:jc w:val="center"/>
              <w:rPr>
                <w:rFonts w:ascii="Arial Narrow" w:hAnsi="Arial Narrow" w:cs="Calibri"/>
                <w:color w:val="000000"/>
              </w:rPr>
            </w:pPr>
            <w:r w:rsidRPr="00677AB0">
              <w:rPr>
                <w:rFonts w:ascii="Arial Narrow" w:hAnsi="Arial Narrow" w:cs="Calibri"/>
                <w:color w:val="000000"/>
              </w:rPr>
              <w:t>17,22%</w:t>
            </w:r>
          </w:p>
        </w:tc>
        <w:tc>
          <w:tcPr>
            <w:tcW w:w="1178" w:type="pct"/>
            <w:tcBorders>
              <w:top w:val="nil"/>
              <w:left w:val="nil"/>
              <w:bottom w:val="single" w:sz="8" w:space="0" w:color="4F81BD"/>
              <w:right w:val="nil"/>
            </w:tcBorders>
            <w:shd w:val="clear" w:color="auto" w:fill="auto"/>
            <w:noWrap/>
            <w:vAlign w:val="center"/>
            <w:hideMark/>
          </w:tcPr>
          <w:p w14:paraId="00E93166" w14:textId="77777777" w:rsidR="0042308F" w:rsidRPr="00677AB0" w:rsidRDefault="0042308F" w:rsidP="0042308F">
            <w:pPr>
              <w:spacing w:after="0" w:line="240" w:lineRule="auto"/>
              <w:jc w:val="center"/>
              <w:rPr>
                <w:rFonts w:ascii="Arial Narrow" w:hAnsi="Arial Narrow" w:cs="Calibri"/>
                <w:color w:val="000000"/>
              </w:rPr>
            </w:pPr>
            <w:r w:rsidRPr="00677AB0">
              <w:rPr>
                <w:rFonts w:ascii="Arial Narrow" w:hAnsi="Arial Narrow" w:cs="Calibri"/>
                <w:color w:val="000000"/>
              </w:rPr>
              <w:t>3,08%</w:t>
            </w:r>
          </w:p>
        </w:tc>
        <w:tc>
          <w:tcPr>
            <w:tcW w:w="1091" w:type="pct"/>
            <w:tcBorders>
              <w:top w:val="nil"/>
              <w:left w:val="nil"/>
              <w:bottom w:val="single" w:sz="8" w:space="0" w:color="4F81BD"/>
              <w:right w:val="single" w:sz="8" w:space="0" w:color="4F81BD"/>
            </w:tcBorders>
            <w:shd w:val="clear" w:color="auto" w:fill="auto"/>
            <w:noWrap/>
            <w:vAlign w:val="center"/>
            <w:hideMark/>
          </w:tcPr>
          <w:p w14:paraId="0D18D047" w14:textId="77777777" w:rsidR="0042308F" w:rsidRPr="00677AB0" w:rsidRDefault="0042308F" w:rsidP="0042308F">
            <w:pPr>
              <w:spacing w:after="0" w:line="240" w:lineRule="auto"/>
              <w:jc w:val="center"/>
              <w:rPr>
                <w:rFonts w:ascii="Arial Narrow" w:hAnsi="Arial Narrow" w:cs="Calibri"/>
                <w:color w:val="000000"/>
              </w:rPr>
            </w:pPr>
            <w:r w:rsidRPr="00677AB0">
              <w:rPr>
                <w:rFonts w:ascii="Arial Narrow" w:hAnsi="Arial Narrow" w:cs="Calibri"/>
                <w:color w:val="000000"/>
              </w:rPr>
              <w:t>20,30%</w:t>
            </w:r>
          </w:p>
        </w:tc>
      </w:tr>
    </w:tbl>
    <w:p w14:paraId="344D7651" w14:textId="77777777" w:rsidR="0042308F" w:rsidRPr="00677AB0" w:rsidRDefault="0042308F" w:rsidP="0042308F">
      <w:pPr>
        <w:pStyle w:val="ParagraphNumbering"/>
        <w:numPr>
          <w:ilvl w:val="0"/>
          <w:numId w:val="0"/>
        </w:numPr>
        <w:autoSpaceDE w:val="0"/>
        <w:spacing w:after="0" w:line="240" w:lineRule="auto"/>
        <w:jc w:val="both"/>
        <w:rPr>
          <w:rFonts w:ascii="Arial" w:eastAsiaTheme="minorHAnsi" w:hAnsi="Arial" w:cs="Arial"/>
        </w:rPr>
      </w:pPr>
    </w:p>
    <w:p w14:paraId="1AC0D9A8" w14:textId="77777777" w:rsidR="0042308F" w:rsidRPr="00677AB0" w:rsidRDefault="0042308F" w:rsidP="0042308F">
      <w:pPr>
        <w:spacing w:after="0"/>
        <w:rPr>
          <w:sz w:val="20"/>
        </w:rPr>
      </w:pPr>
    </w:p>
    <w:p w14:paraId="736AC427"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6" w:name="_Toc172282238"/>
      <w:r w:rsidRPr="00677AB0">
        <w:rPr>
          <w:rFonts w:ascii="Arial" w:hAnsi="Arial" w:cs="Arial"/>
          <w:b w:val="0"/>
          <w:color w:val="auto"/>
          <w:sz w:val="24"/>
          <w:szCs w:val="24"/>
        </w:rPr>
        <w:lastRenderedPageBreak/>
        <w:t xml:space="preserve">Struktura vanjskog duga Federacije BiH na dan </w:t>
      </w:r>
      <w:r>
        <w:rPr>
          <w:rFonts w:ascii="Arial" w:hAnsi="Arial" w:cs="Arial"/>
          <w:b w:val="0"/>
          <w:color w:val="auto"/>
          <w:sz w:val="24"/>
          <w:szCs w:val="24"/>
        </w:rPr>
        <w:t>31. 12. 2023.</w:t>
      </w:r>
      <w:bookmarkEnd w:id="6"/>
    </w:p>
    <w:p w14:paraId="61F4049D" w14:textId="77777777" w:rsidR="0042308F" w:rsidRPr="00677AB0" w:rsidRDefault="0042308F" w:rsidP="0042308F">
      <w:pPr>
        <w:spacing w:after="0" w:line="240" w:lineRule="auto"/>
        <w:rPr>
          <w:sz w:val="18"/>
        </w:rPr>
      </w:pPr>
    </w:p>
    <w:p w14:paraId="6961E79B" w14:textId="77777777" w:rsidR="0042308F" w:rsidRPr="00677AB0" w:rsidRDefault="0042308F" w:rsidP="0042308F">
      <w:pPr>
        <w:pStyle w:val="Heading3"/>
        <w:numPr>
          <w:ilvl w:val="2"/>
          <w:numId w:val="1"/>
        </w:numPr>
        <w:spacing w:before="0"/>
        <w:rPr>
          <w:rFonts w:ascii="Arial" w:hAnsi="Arial" w:cs="Arial"/>
          <w:b w:val="0"/>
          <w:color w:val="auto"/>
        </w:rPr>
      </w:pPr>
      <w:bookmarkStart w:id="7" w:name="_Toc100754192"/>
      <w:bookmarkStart w:id="8" w:name="_Toc100754636"/>
      <w:bookmarkStart w:id="9" w:name="_Toc100755028"/>
      <w:bookmarkStart w:id="10" w:name="_Toc100818759"/>
      <w:bookmarkStart w:id="11" w:name="_Toc100820465"/>
      <w:bookmarkStart w:id="12" w:name="_Toc100822753"/>
      <w:bookmarkStart w:id="13" w:name="_Toc100823292"/>
      <w:bookmarkStart w:id="14" w:name="_Toc100823735"/>
      <w:bookmarkStart w:id="15" w:name="_Toc172282239"/>
      <w:bookmarkEnd w:id="7"/>
      <w:bookmarkEnd w:id="8"/>
      <w:bookmarkEnd w:id="9"/>
      <w:bookmarkEnd w:id="10"/>
      <w:bookmarkEnd w:id="11"/>
      <w:bookmarkEnd w:id="12"/>
      <w:bookmarkEnd w:id="13"/>
      <w:bookmarkEnd w:id="14"/>
      <w:r w:rsidRPr="00677AB0">
        <w:rPr>
          <w:rFonts w:ascii="Arial" w:hAnsi="Arial" w:cs="Arial"/>
          <w:b w:val="0"/>
          <w:color w:val="auto"/>
        </w:rPr>
        <w:t>Struktura vanjskog duga Federacije BiH po kreditorima</w:t>
      </w:r>
      <w:bookmarkEnd w:id="15"/>
      <w:r w:rsidRPr="00677AB0">
        <w:rPr>
          <w:rFonts w:ascii="Arial" w:hAnsi="Arial" w:cs="Arial"/>
          <w:b w:val="0"/>
          <w:color w:val="auto"/>
        </w:rPr>
        <w:t xml:space="preserve"> </w:t>
      </w:r>
    </w:p>
    <w:p w14:paraId="6BFF06B7" w14:textId="77777777" w:rsidR="0042308F" w:rsidRPr="00677AB0" w:rsidRDefault="0042308F" w:rsidP="0042308F">
      <w:pPr>
        <w:pStyle w:val="ListParagraph"/>
        <w:spacing w:after="0"/>
        <w:ind w:left="1288"/>
        <w:jc w:val="both"/>
        <w:rPr>
          <w:rFonts w:ascii="Arial" w:hAnsi="Arial" w:cs="Arial"/>
          <w:sz w:val="20"/>
        </w:rPr>
      </w:pPr>
    </w:p>
    <w:p w14:paraId="31B1796A" w14:textId="77777777" w:rsidR="0042308F" w:rsidRPr="00677AB0" w:rsidRDefault="0042308F" w:rsidP="0042308F">
      <w:pPr>
        <w:spacing w:after="0"/>
        <w:ind w:firstLine="284"/>
        <w:jc w:val="both"/>
        <w:rPr>
          <w:rFonts w:ascii="Arial" w:hAnsi="Arial" w:cs="Arial"/>
        </w:rPr>
      </w:pPr>
      <w:r w:rsidRPr="00677AB0">
        <w:rPr>
          <w:rFonts w:ascii="Arial" w:hAnsi="Arial" w:cs="Arial"/>
        </w:rPr>
        <w:t xml:space="preserve">Vanjski dug je, zbog povoljnijih kreditnih </w:t>
      </w:r>
      <w:r w:rsidR="00153015">
        <w:rPr>
          <w:rFonts w:ascii="Arial" w:hAnsi="Arial" w:cs="Arial"/>
        </w:rPr>
        <w:t>uvjet</w:t>
      </w:r>
      <w:r w:rsidRPr="00677AB0">
        <w:rPr>
          <w:rFonts w:ascii="Arial" w:hAnsi="Arial" w:cs="Arial"/>
        </w:rPr>
        <w:t>a i koncesionalnih kamatnih sto</w:t>
      </w:r>
      <w:r w:rsidR="00153015">
        <w:rPr>
          <w:rFonts w:ascii="Arial" w:hAnsi="Arial" w:cs="Arial"/>
        </w:rPr>
        <w:t>pa, najvećim dijelom ugovoren s</w:t>
      </w:r>
      <w:r w:rsidRPr="00677AB0">
        <w:rPr>
          <w:rFonts w:ascii="Arial" w:hAnsi="Arial" w:cs="Arial"/>
        </w:rPr>
        <w:t xml:space="preserve"> međunarodnim </w:t>
      </w:r>
      <w:r>
        <w:rPr>
          <w:rFonts w:ascii="Arial" w:hAnsi="Arial" w:cs="Arial"/>
        </w:rPr>
        <w:t>financ</w:t>
      </w:r>
      <w:r w:rsidRPr="00677AB0">
        <w:rPr>
          <w:rFonts w:ascii="Arial" w:hAnsi="Arial" w:cs="Arial"/>
        </w:rPr>
        <w:t>ijskim institucijama i bilateralnim kreditorima.</w:t>
      </w:r>
    </w:p>
    <w:p w14:paraId="008BB6BF" w14:textId="77777777" w:rsidR="0042308F" w:rsidRPr="00677AB0" w:rsidRDefault="0042308F" w:rsidP="0042308F">
      <w:pPr>
        <w:spacing w:after="0"/>
        <w:ind w:firstLine="284"/>
        <w:jc w:val="both"/>
        <w:rPr>
          <w:rFonts w:ascii="Arial" w:hAnsi="Arial" w:cs="Arial"/>
        </w:rPr>
      </w:pPr>
    </w:p>
    <w:p w14:paraId="0AEE6BB2" w14:textId="77777777" w:rsidR="0042308F" w:rsidRPr="00677AB0" w:rsidRDefault="0042308F" w:rsidP="0042308F">
      <w:pPr>
        <w:spacing w:after="0"/>
        <w:jc w:val="both"/>
        <w:rPr>
          <w:sz w:val="20"/>
          <w:szCs w:val="20"/>
        </w:rPr>
      </w:pPr>
      <w:r w:rsidRPr="00677AB0">
        <w:rPr>
          <w:rFonts w:ascii="Arial" w:hAnsi="Arial" w:cs="Arial"/>
          <w:sz w:val="20"/>
          <w:szCs w:val="20"/>
        </w:rPr>
        <w:t>Slika 1. Struktura vanjskog duga Federacije BiH po kreditorima (mil. KM)</w:t>
      </w:r>
      <w:r w:rsidRPr="00677AB0">
        <w:rPr>
          <w:sz w:val="20"/>
          <w:szCs w:val="20"/>
        </w:rPr>
        <w:t xml:space="preserve"> </w:t>
      </w:r>
    </w:p>
    <w:p w14:paraId="77A648E1" w14:textId="77777777" w:rsidR="0042308F" w:rsidRPr="00677AB0" w:rsidRDefault="0042308F" w:rsidP="0042308F">
      <w:pPr>
        <w:spacing w:after="0"/>
        <w:jc w:val="both"/>
      </w:pPr>
      <w:r w:rsidRPr="00677AB0">
        <w:rPr>
          <w:noProof/>
          <w:lang w:eastAsia="hr-HR"/>
        </w:rPr>
        <w:drawing>
          <wp:inline distT="0" distB="0" distL="0" distR="0" wp14:anchorId="3A3B5897" wp14:editId="11C25C38">
            <wp:extent cx="5691600" cy="2466000"/>
            <wp:effectExtent l="0" t="0" r="4445" b="10795"/>
            <wp:docPr id="35" name="Chart 35">
              <a:extLst xmlns:a="http://schemas.openxmlformats.org/drawingml/2006/main">
                <a:ext uri="{FF2B5EF4-FFF2-40B4-BE49-F238E27FC236}">
                  <a16:creationId xmlns:a16="http://schemas.microsoft.com/office/drawing/2014/main" id="{6853680A-5883-472D-919D-A50FDD7A8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46D470" w14:textId="77777777" w:rsidR="0042308F" w:rsidRPr="00677AB0" w:rsidRDefault="0042308F" w:rsidP="0042308F">
      <w:pPr>
        <w:spacing w:after="0"/>
        <w:jc w:val="both"/>
      </w:pPr>
    </w:p>
    <w:p w14:paraId="5550B61C" w14:textId="77777777" w:rsidR="0042308F" w:rsidRPr="00677AB0" w:rsidRDefault="0042308F" w:rsidP="0042308F">
      <w:pPr>
        <w:spacing w:after="0"/>
        <w:jc w:val="both"/>
      </w:pPr>
    </w:p>
    <w:p w14:paraId="14673FD1" w14:textId="77777777" w:rsidR="0042308F" w:rsidRPr="00677AB0" w:rsidRDefault="0042308F" w:rsidP="0042308F">
      <w:pPr>
        <w:spacing w:after="0"/>
        <w:jc w:val="both"/>
      </w:pPr>
    </w:p>
    <w:p w14:paraId="58080120" w14:textId="77777777" w:rsidR="0042308F" w:rsidRPr="00677AB0" w:rsidRDefault="0042308F" w:rsidP="0042308F">
      <w:pPr>
        <w:spacing w:after="0"/>
        <w:jc w:val="both"/>
      </w:pPr>
    </w:p>
    <w:p w14:paraId="46201E6A" w14:textId="77777777" w:rsidR="0042308F" w:rsidRPr="00677AB0" w:rsidRDefault="0042308F" w:rsidP="0042308F">
      <w:pPr>
        <w:spacing w:after="0"/>
        <w:jc w:val="both"/>
      </w:pPr>
    </w:p>
    <w:p w14:paraId="593B90AA" w14:textId="77777777" w:rsidR="0042308F" w:rsidRPr="00677AB0" w:rsidRDefault="0042308F" w:rsidP="0042308F">
      <w:pPr>
        <w:spacing w:after="0"/>
        <w:jc w:val="both"/>
      </w:pPr>
    </w:p>
    <w:p w14:paraId="5D29A086" w14:textId="77777777" w:rsidR="0042308F" w:rsidRPr="00677AB0" w:rsidRDefault="0042308F" w:rsidP="0042308F">
      <w:pPr>
        <w:spacing w:after="0"/>
        <w:jc w:val="both"/>
      </w:pPr>
    </w:p>
    <w:p w14:paraId="21001B8F" w14:textId="77777777" w:rsidR="0042308F" w:rsidRPr="00677AB0" w:rsidRDefault="0042308F" w:rsidP="0042308F">
      <w:pPr>
        <w:pStyle w:val="Heading3"/>
        <w:numPr>
          <w:ilvl w:val="2"/>
          <w:numId w:val="1"/>
        </w:numPr>
        <w:spacing w:before="0" w:line="240" w:lineRule="auto"/>
        <w:rPr>
          <w:rFonts w:ascii="Arial" w:hAnsi="Arial" w:cs="Arial"/>
          <w:b w:val="0"/>
          <w:color w:val="auto"/>
        </w:rPr>
      </w:pPr>
      <w:bookmarkStart w:id="16" w:name="_Toc100210366"/>
      <w:bookmarkStart w:id="17" w:name="_Toc100219287"/>
      <w:bookmarkStart w:id="18" w:name="_Toc100582012"/>
      <w:bookmarkStart w:id="19" w:name="_Toc100654502"/>
      <w:bookmarkStart w:id="20" w:name="_Toc100667315"/>
      <w:bookmarkStart w:id="21" w:name="_Toc100751740"/>
      <w:bookmarkStart w:id="22" w:name="_Toc100754194"/>
      <w:bookmarkStart w:id="23" w:name="_Toc100754638"/>
      <w:bookmarkStart w:id="24" w:name="_Toc100755030"/>
      <w:bookmarkStart w:id="25" w:name="_Toc100818761"/>
      <w:bookmarkStart w:id="26" w:name="_Toc100820467"/>
      <w:bookmarkStart w:id="27" w:name="_Toc100822755"/>
      <w:bookmarkStart w:id="28" w:name="_Toc100823294"/>
      <w:bookmarkStart w:id="29" w:name="_Toc100823737"/>
      <w:bookmarkStart w:id="30" w:name="_Toc100210367"/>
      <w:bookmarkStart w:id="31" w:name="_Toc100219288"/>
      <w:bookmarkStart w:id="32" w:name="_Toc100582013"/>
      <w:bookmarkStart w:id="33" w:name="_Toc100654503"/>
      <w:bookmarkStart w:id="34" w:name="_Toc100667316"/>
      <w:bookmarkStart w:id="35" w:name="_Toc100751741"/>
      <w:bookmarkStart w:id="36" w:name="_Toc100754195"/>
      <w:bookmarkStart w:id="37" w:name="_Toc100754639"/>
      <w:bookmarkStart w:id="38" w:name="_Toc100755031"/>
      <w:bookmarkStart w:id="39" w:name="_Toc100818762"/>
      <w:bookmarkStart w:id="40" w:name="_Toc100820468"/>
      <w:bookmarkStart w:id="41" w:name="_Toc100822756"/>
      <w:bookmarkStart w:id="42" w:name="_Toc100823295"/>
      <w:bookmarkStart w:id="43" w:name="_Toc100823738"/>
      <w:bookmarkStart w:id="44" w:name="_Toc100210368"/>
      <w:bookmarkStart w:id="45" w:name="_Toc100219289"/>
      <w:bookmarkStart w:id="46" w:name="_Toc100582014"/>
      <w:bookmarkStart w:id="47" w:name="_Toc100654504"/>
      <w:bookmarkStart w:id="48" w:name="_Toc100667317"/>
      <w:bookmarkStart w:id="49" w:name="_Toc100751742"/>
      <w:bookmarkStart w:id="50" w:name="_Toc100754196"/>
      <w:bookmarkStart w:id="51" w:name="_Toc100754640"/>
      <w:bookmarkStart w:id="52" w:name="_Toc100755032"/>
      <w:bookmarkStart w:id="53" w:name="_Toc100818763"/>
      <w:bookmarkStart w:id="54" w:name="_Toc100820469"/>
      <w:bookmarkStart w:id="55" w:name="_Toc100822757"/>
      <w:bookmarkStart w:id="56" w:name="_Toc100823296"/>
      <w:bookmarkStart w:id="57" w:name="_Toc100823739"/>
      <w:bookmarkStart w:id="58" w:name="_Toc172282240"/>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677AB0">
        <w:rPr>
          <w:rFonts w:ascii="Arial" w:hAnsi="Arial" w:cs="Arial"/>
          <w:b w:val="0"/>
          <w:color w:val="auto"/>
        </w:rPr>
        <w:t>Valutna struktura vanjskog duga Federacije BiH</w:t>
      </w:r>
      <w:bookmarkEnd w:id="58"/>
    </w:p>
    <w:p w14:paraId="1C2DFF7D" w14:textId="77777777" w:rsidR="0042308F" w:rsidRPr="00677AB0" w:rsidRDefault="0042308F" w:rsidP="0042308F">
      <w:pPr>
        <w:pStyle w:val="ParagraphNumbering"/>
        <w:numPr>
          <w:ilvl w:val="0"/>
          <w:numId w:val="0"/>
        </w:numPr>
        <w:autoSpaceDE w:val="0"/>
        <w:spacing w:after="0" w:line="276" w:lineRule="auto"/>
        <w:ind w:firstLine="360"/>
        <w:jc w:val="both"/>
      </w:pPr>
    </w:p>
    <w:p w14:paraId="2BAF1D47" w14:textId="77777777" w:rsidR="0042308F" w:rsidRPr="00677AB0" w:rsidRDefault="0042308F" w:rsidP="0042308F">
      <w:pPr>
        <w:pStyle w:val="ParagraphNumbering"/>
        <w:numPr>
          <w:ilvl w:val="0"/>
          <w:numId w:val="0"/>
        </w:numPr>
        <w:autoSpaceDE w:val="0"/>
        <w:spacing w:after="0" w:line="276" w:lineRule="auto"/>
        <w:ind w:firstLine="360"/>
        <w:jc w:val="both"/>
        <w:rPr>
          <w:rFonts w:ascii="Arial" w:hAnsi="Arial" w:cs="Arial"/>
          <w:sz w:val="22"/>
        </w:rPr>
      </w:pPr>
      <w:r w:rsidRPr="00677AB0">
        <w:rPr>
          <w:rFonts w:ascii="Arial" w:eastAsiaTheme="minorHAnsi" w:hAnsi="Arial" w:cs="Arial"/>
          <w:sz w:val="22"/>
        </w:rPr>
        <w:t xml:space="preserve">Valutna struktura vanjskog duga Federacije BiH definirana je dostupnim izvorima </w:t>
      </w:r>
      <w:r>
        <w:rPr>
          <w:rFonts w:ascii="Arial" w:eastAsiaTheme="minorHAnsi" w:hAnsi="Arial" w:cs="Arial"/>
          <w:sz w:val="22"/>
        </w:rPr>
        <w:t>financ</w:t>
      </w:r>
      <w:r w:rsidRPr="00677AB0">
        <w:rPr>
          <w:rFonts w:ascii="Arial" w:eastAsiaTheme="minorHAnsi" w:hAnsi="Arial" w:cs="Arial"/>
          <w:sz w:val="22"/>
        </w:rPr>
        <w:t xml:space="preserve">iranja. Najzastupljenija valuta u </w:t>
      </w:r>
      <w:r>
        <w:rPr>
          <w:rFonts w:ascii="Arial" w:eastAsiaTheme="minorHAnsi" w:hAnsi="Arial" w:cs="Arial"/>
          <w:sz w:val="22"/>
        </w:rPr>
        <w:t>portfelju</w:t>
      </w:r>
      <w:r w:rsidRPr="00677AB0">
        <w:rPr>
          <w:rFonts w:ascii="Arial" w:eastAsiaTheme="minorHAnsi" w:hAnsi="Arial" w:cs="Arial"/>
          <w:sz w:val="22"/>
        </w:rPr>
        <w:t xml:space="preserve"> duga Federacije BiH je euro (EUR), zatim slijede Specijalna Prava Vučenja (SDR)</w:t>
      </w:r>
      <w:r w:rsidRPr="00677AB0">
        <w:rPr>
          <w:rStyle w:val="FootnoteReference"/>
          <w:rFonts w:ascii="Arial" w:eastAsiaTheme="minorHAnsi" w:hAnsi="Arial" w:cs="Arial"/>
          <w:sz w:val="22"/>
        </w:rPr>
        <w:footnoteReference w:id="3"/>
      </w:r>
      <w:r w:rsidRPr="00677AB0">
        <w:rPr>
          <w:rFonts w:ascii="Arial" w:eastAsiaTheme="minorHAnsi" w:hAnsi="Arial" w:cs="Arial"/>
          <w:sz w:val="22"/>
        </w:rPr>
        <w:t xml:space="preserve"> i američki dolar (USD).</w:t>
      </w:r>
      <w:r w:rsidRPr="00677AB0">
        <w:rPr>
          <w:rFonts w:ascii="Arial" w:hAnsi="Arial" w:cs="Arial"/>
          <w:sz w:val="22"/>
        </w:rPr>
        <w:t xml:space="preserve"> </w:t>
      </w:r>
    </w:p>
    <w:p w14:paraId="7802EF7A" w14:textId="77777777" w:rsidR="0042308F" w:rsidRPr="00677AB0" w:rsidRDefault="0042308F" w:rsidP="0042308F">
      <w:pPr>
        <w:pStyle w:val="ParagraphNumbering"/>
        <w:numPr>
          <w:ilvl w:val="0"/>
          <w:numId w:val="0"/>
        </w:numPr>
        <w:autoSpaceDE w:val="0"/>
        <w:spacing w:after="0" w:line="276" w:lineRule="auto"/>
        <w:ind w:firstLine="360"/>
        <w:jc w:val="both"/>
        <w:rPr>
          <w:rFonts w:ascii="Arial" w:hAnsi="Arial" w:cs="Arial"/>
        </w:rPr>
      </w:pPr>
    </w:p>
    <w:p w14:paraId="23AA0E7D" w14:textId="77777777" w:rsidR="0042308F" w:rsidRPr="00677AB0" w:rsidRDefault="0042308F" w:rsidP="0042308F">
      <w:pPr>
        <w:pStyle w:val="NoSpacing"/>
        <w:spacing w:line="276" w:lineRule="auto"/>
        <w:jc w:val="both"/>
        <w:rPr>
          <w:rFonts w:ascii="Arial" w:hAnsi="Arial" w:cs="Arial"/>
          <w:sz w:val="20"/>
          <w:lang w:val="hr-HR"/>
        </w:rPr>
      </w:pPr>
      <w:r w:rsidRPr="00677AB0">
        <w:rPr>
          <w:rFonts w:ascii="Arial" w:hAnsi="Arial" w:cs="Arial"/>
          <w:sz w:val="20"/>
          <w:lang w:val="hr-HR"/>
        </w:rPr>
        <w:t>Slika 2. Valutna struktura vanjskog duga Federacije BiH</w:t>
      </w:r>
    </w:p>
    <w:p w14:paraId="4DFA8BEE" w14:textId="77777777" w:rsidR="0042308F" w:rsidRPr="00677AB0" w:rsidRDefault="0042308F" w:rsidP="0042308F">
      <w:pPr>
        <w:pStyle w:val="NoSpacing"/>
        <w:spacing w:line="276" w:lineRule="auto"/>
        <w:jc w:val="both"/>
        <w:rPr>
          <w:rFonts w:ascii="Arial" w:hAnsi="Arial" w:cs="Arial"/>
          <w:szCs w:val="24"/>
          <w:lang w:val="hr-HR"/>
        </w:rPr>
      </w:pPr>
      <w:r w:rsidRPr="00677AB0">
        <w:rPr>
          <w:noProof/>
          <w:lang w:val="hr-HR" w:eastAsia="hr-HR"/>
        </w:rPr>
        <w:drawing>
          <wp:inline distT="0" distB="0" distL="0" distR="0" wp14:anchorId="68588F22" wp14:editId="2877ED6F">
            <wp:extent cx="2844000" cy="2058670"/>
            <wp:effectExtent l="0" t="0" r="13970" b="17780"/>
            <wp:docPr id="32" name="Chart 3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77AB0">
        <w:rPr>
          <w:noProof/>
          <w:lang w:val="hr-HR" w:eastAsia="hr-HR"/>
        </w:rPr>
        <w:drawing>
          <wp:inline distT="0" distB="0" distL="0" distR="0" wp14:anchorId="1BDC8C40" wp14:editId="76FD2D51">
            <wp:extent cx="2844000" cy="2058670"/>
            <wp:effectExtent l="0" t="0" r="13970" b="17780"/>
            <wp:docPr id="33" name="Chart 33">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D6FDFB" w14:textId="77777777" w:rsidR="0042308F" w:rsidRPr="00677AB0" w:rsidRDefault="0042308F" w:rsidP="0042308F">
      <w:pPr>
        <w:pStyle w:val="NoSpacing"/>
        <w:spacing w:line="276" w:lineRule="auto"/>
        <w:jc w:val="both"/>
        <w:rPr>
          <w:rFonts w:ascii="Arial" w:hAnsi="Arial" w:cs="Arial"/>
          <w:szCs w:val="24"/>
          <w:lang w:val="hr-HR"/>
        </w:rPr>
      </w:pPr>
    </w:p>
    <w:p w14:paraId="15DA5BD4" w14:textId="77777777" w:rsidR="0042308F" w:rsidRPr="00677AB0" w:rsidRDefault="0042308F" w:rsidP="0042308F">
      <w:pPr>
        <w:pStyle w:val="NoSpacing"/>
        <w:spacing w:line="276" w:lineRule="auto"/>
        <w:jc w:val="both"/>
        <w:rPr>
          <w:rFonts w:ascii="Arial" w:hAnsi="Arial" w:cs="Arial"/>
          <w:lang w:val="hr-HR"/>
        </w:rPr>
      </w:pPr>
      <w:r w:rsidRPr="00677AB0">
        <w:rPr>
          <w:rFonts w:ascii="Arial" w:hAnsi="Arial" w:cs="Arial"/>
          <w:szCs w:val="24"/>
          <w:lang w:val="hr-HR"/>
        </w:rPr>
        <w:lastRenderedPageBreak/>
        <w:t>Dekompozicijom SDR-a, u</w:t>
      </w:r>
      <w:r w:rsidR="007E4189">
        <w:rPr>
          <w:rFonts w:ascii="Arial" w:hAnsi="Arial" w:cs="Arial"/>
          <w:szCs w:val="24"/>
          <w:lang w:val="hr-HR"/>
        </w:rPr>
        <w:t>djel</w:t>
      </w:r>
      <w:r w:rsidRPr="00677AB0">
        <w:rPr>
          <w:rFonts w:ascii="Arial" w:hAnsi="Arial" w:cs="Arial"/>
          <w:szCs w:val="24"/>
          <w:lang w:val="hr-HR"/>
        </w:rPr>
        <w:t xml:space="preserve"> EUR valute raste na 73,53%, a USD na 20,45% ukupnog vanjskog duga.</w:t>
      </w:r>
    </w:p>
    <w:p w14:paraId="75019F17" w14:textId="77777777" w:rsidR="0042308F" w:rsidRPr="00677AB0" w:rsidRDefault="0042308F" w:rsidP="0042308F">
      <w:pPr>
        <w:pStyle w:val="NoSpacing"/>
        <w:spacing w:line="276" w:lineRule="auto"/>
        <w:jc w:val="both"/>
        <w:rPr>
          <w:rFonts w:ascii="Arial" w:hAnsi="Arial" w:cs="Arial"/>
          <w:szCs w:val="24"/>
          <w:lang w:val="hr-HR"/>
        </w:rPr>
      </w:pPr>
    </w:p>
    <w:p w14:paraId="5A4135B5" w14:textId="77777777" w:rsidR="0042308F" w:rsidRPr="00677AB0" w:rsidRDefault="0042308F" w:rsidP="0042308F">
      <w:pPr>
        <w:pStyle w:val="NoSpacing"/>
        <w:spacing w:line="276" w:lineRule="auto"/>
        <w:jc w:val="both"/>
        <w:rPr>
          <w:rFonts w:ascii="Arial" w:hAnsi="Arial" w:cs="Arial"/>
          <w:szCs w:val="24"/>
          <w:lang w:val="hr-HR"/>
        </w:rPr>
      </w:pPr>
    </w:p>
    <w:p w14:paraId="12B64071" w14:textId="77777777" w:rsidR="0042308F" w:rsidRPr="00677AB0" w:rsidRDefault="0042308F" w:rsidP="0042308F">
      <w:pPr>
        <w:pStyle w:val="Heading3"/>
        <w:numPr>
          <w:ilvl w:val="2"/>
          <w:numId w:val="1"/>
        </w:numPr>
        <w:spacing w:before="0"/>
        <w:rPr>
          <w:rFonts w:ascii="Arial" w:hAnsi="Arial" w:cs="Arial"/>
          <w:b w:val="0"/>
          <w:color w:val="auto"/>
        </w:rPr>
      </w:pPr>
      <w:bookmarkStart w:id="60" w:name="_Toc172282241"/>
      <w:r w:rsidRPr="00677AB0">
        <w:rPr>
          <w:rFonts w:ascii="Arial" w:hAnsi="Arial" w:cs="Arial"/>
          <w:b w:val="0"/>
          <w:color w:val="auto"/>
        </w:rPr>
        <w:t>Kamatna struktura vanjskog duga Federacije BiH</w:t>
      </w:r>
      <w:bookmarkEnd w:id="60"/>
    </w:p>
    <w:p w14:paraId="74D2E0CD" w14:textId="77777777" w:rsidR="0042308F" w:rsidRPr="00677AB0" w:rsidRDefault="0042308F" w:rsidP="0042308F">
      <w:pPr>
        <w:pStyle w:val="NoSpacing"/>
        <w:spacing w:line="276" w:lineRule="auto"/>
        <w:jc w:val="both"/>
        <w:rPr>
          <w:rFonts w:ascii="Arial" w:hAnsi="Arial" w:cs="Arial"/>
          <w:szCs w:val="24"/>
          <w:lang w:val="hr-HR"/>
        </w:rPr>
      </w:pPr>
    </w:p>
    <w:p w14:paraId="590709B0" w14:textId="77777777" w:rsidR="0042308F" w:rsidRPr="00677AB0" w:rsidRDefault="00C627BE" w:rsidP="0042308F">
      <w:pPr>
        <w:pStyle w:val="NoSpacing"/>
        <w:spacing w:line="276" w:lineRule="auto"/>
        <w:ind w:firstLine="426"/>
        <w:jc w:val="both"/>
        <w:rPr>
          <w:rFonts w:ascii="Arial" w:hAnsi="Arial" w:cs="Arial"/>
          <w:szCs w:val="24"/>
          <w:lang w:val="hr-HR"/>
        </w:rPr>
      </w:pPr>
      <w:r>
        <w:rPr>
          <w:rFonts w:ascii="Arial" w:hAnsi="Arial" w:cs="Arial"/>
          <w:szCs w:val="24"/>
          <w:lang w:val="hr-HR"/>
        </w:rPr>
        <w:t>S</w:t>
      </w:r>
      <w:r w:rsidR="0042308F" w:rsidRPr="00677AB0">
        <w:rPr>
          <w:rFonts w:ascii="Arial" w:hAnsi="Arial" w:cs="Arial"/>
          <w:szCs w:val="24"/>
          <w:lang w:val="hr-HR"/>
        </w:rPr>
        <w:t xml:space="preserve"> fiksnom kamatnom stopom ugovoreno je 2</w:t>
      </w:r>
      <w:r>
        <w:rPr>
          <w:rFonts w:ascii="Arial" w:hAnsi="Arial" w:cs="Arial"/>
          <w:szCs w:val="24"/>
          <w:lang w:val="hr-HR"/>
        </w:rPr>
        <w:t>.877,35 mil. KM ili 55,69%, a s</w:t>
      </w:r>
      <w:r w:rsidR="0042308F" w:rsidRPr="00677AB0">
        <w:rPr>
          <w:rFonts w:ascii="Arial" w:hAnsi="Arial" w:cs="Arial"/>
          <w:szCs w:val="24"/>
          <w:lang w:val="hr-HR"/>
        </w:rPr>
        <w:t xml:space="preserve"> promjenjivom kamatnom stopom 2.289,32 mil.KM ili 44,31% ukupnog vanjskog duga.</w:t>
      </w:r>
    </w:p>
    <w:p w14:paraId="7E0B9075" w14:textId="77777777" w:rsidR="0042308F" w:rsidRPr="00677AB0" w:rsidRDefault="0042308F" w:rsidP="0042308F">
      <w:pPr>
        <w:pStyle w:val="NoSpacing"/>
        <w:spacing w:line="276" w:lineRule="auto"/>
        <w:ind w:firstLine="426"/>
        <w:jc w:val="both"/>
        <w:rPr>
          <w:rFonts w:ascii="Arial" w:hAnsi="Arial" w:cs="Arial"/>
          <w:szCs w:val="24"/>
          <w:lang w:val="hr-HR"/>
        </w:rPr>
      </w:pPr>
    </w:p>
    <w:p w14:paraId="1CB1CB72" w14:textId="77777777" w:rsidR="0042308F" w:rsidRPr="00677AB0" w:rsidRDefault="0042308F" w:rsidP="0042308F">
      <w:pPr>
        <w:pStyle w:val="NoSpacing"/>
        <w:spacing w:line="276" w:lineRule="auto"/>
        <w:jc w:val="both"/>
        <w:rPr>
          <w:rFonts w:ascii="Arial" w:hAnsi="Arial" w:cs="Arial"/>
          <w:sz w:val="20"/>
          <w:lang w:val="hr-HR"/>
        </w:rPr>
      </w:pPr>
      <w:r w:rsidRPr="00677AB0">
        <w:rPr>
          <w:rFonts w:ascii="Arial" w:hAnsi="Arial" w:cs="Arial"/>
          <w:sz w:val="20"/>
          <w:lang w:val="hr-HR"/>
        </w:rPr>
        <w:t>Slika 3. Struktura vanjskog duga Federacije BiH prema vrsti kamatne stope</w:t>
      </w:r>
    </w:p>
    <w:p w14:paraId="6BD6A077" w14:textId="77777777" w:rsidR="0042308F" w:rsidRPr="00677AB0" w:rsidRDefault="0042308F" w:rsidP="0042308F">
      <w:pPr>
        <w:pStyle w:val="NoSpacing"/>
        <w:spacing w:line="276" w:lineRule="auto"/>
        <w:jc w:val="both"/>
        <w:rPr>
          <w:rFonts w:ascii="Arial" w:hAnsi="Arial" w:cs="Arial"/>
          <w:szCs w:val="24"/>
          <w:lang w:val="hr-HR"/>
        </w:rPr>
      </w:pPr>
      <w:r w:rsidRPr="00677AB0">
        <w:rPr>
          <w:noProof/>
          <w:lang w:val="hr-HR" w:eastAsia="hr-HR"/>
        </w:rPr>
        <w:drawing>
          <wp:inline distT="0" distB="0" distL="0" distR="0" wp14:anchorId="69C073DC" wp14:editId="1729AD72">
            <wp:extent cx="5868000" cy="2034000"/>
            <wp:effectExtent l="0" t="0" r="0" b="4445"/>
            <wp:docPr id="1" name="Chart 1">
              <a:extLst xmlns:a="http://schemas.openxmlformats.org/drawingml/2006/main">
                <a:ext uri="{FF2B5EF4-FFF2-40B4-BE49-F238E27FC236}">
                  <a16:creationId xmlns:a16="http://schemas.microsoft.com/office/drawing/2014/main" id="{CB688C9E-C380-4635-BBDC-057E503E0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D6DD15" w14:textId="77777777" w:rsidR="0042308F" w:rsidRPr="00677AB0" w:rsidRDefault="0042308F" w:rsidP="0042308F">
      <w:pPr>
        <w:pStyle w:val="NoSpacing"/>
        <w:spacing w:line="276" w:lineRule="auto"/>
        <w:jc w:val="both"/>
        <w:rPr>
          <w:rFonts w:ascii="Arial" w:hAnsi="Arial" w:cs="Arial"/>
          <w:szCs w:val="24"/>
          <w:lang w:val="hr-HR"/>
        </w:rPr>
      </w:pPr>
    </w:p>
    <w:p w14:paraId="04EC3F2E" w14:textId="77777777" w:rsidR="0042308F" w:rsidRPr="00677AB0" w:rsidRDefault="0042308F" w:rsidP="0042308F">
      <w:pPr>
        <w:pStyle w:val="NoSpacing"/>
        <w:spacing w:line="276" w:lineRule="auto"/>
        <w:jc w:val="both"/>
        <w:rPr>
          <w:rFonts w:ascii="Arial" w:hAnsi="Arial" w:cs="Arial"/>
          <w:szCs w:val="24"/>
          <w:lang w:val="hr-HR"/>
        </w:rPr>
      </w:pPr>
    </w:p>
    <w:p w14:paraId="7640854D" w14:textId="77777777" w:rsidR="0042308F" w:rsidRPr="00677AB0" w:rsidRDefault="0042308F" w:rsidP="0042308F">
      <w:pPr>
        <w:pStyle w:val="NoSpacing"/>
        <w:spacing w:line="276" w:lineRule="auto"/>
        <w:jc w:val="center"/>
        <w:rPr>
          <w:rFonts w:ascii="Arial" w:hAnsi="Arial" w:cs="Arial"/>
          <w:sz w:val="24"/>
          <w:szCs w:val="24"/>
          <w:lang w:val="hr-HR"/>
        </w:rPr>
      </w:pPr>
    </w:p>
    <w:p w14:paraId="2446C0A7"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61" w:name="_Toc100754199"/>
      <w:bookmarkStart w:id="62" w:name="_Toc100754643"/>
      <w:bookmarkStart w:id="63" w:name="_Toc100755035"/>
      <w:bookmarkStart w:id="64" w:name="_Toc100818766"/>
      <w:bookmarkStart w:id="65" w:name="_Toc100820472"/>
      <w:bookmarkStart w:id="66" w:name="_Toc100822760"/>
      <w:bookmarkStart w:id="67" w:name="_Toc100823299"/>
      <w:bookmarkStart w:id="68" w:name="_Toc100823742"/>
      <w:bookmarkStart w:id="69" w:name="_Toc100754200"/>
      <w:bookmarkStart w:id="70" w:name="_Toc100754644"/>
      <w:bookmarkStart w:id="71" w:name="_Toc100755036"/>
      <w:bookmarkStart w:id="72" w:name="_Toc100818767"/>
      <w:bookmarkStart w:id="73" w:name="_Toc100820473"/>
      <w:bookmarkStart w:id="74" w:name="_Toc100822761"/>
      <w:bookmarkStart w:id="75" w:name="_Toc100823300"/>
      <w:bookmarkStart w:id="76" w:name="_Toc100823743"/>
      <w:bookmarkStart w:id="77" w:name="_Toc100754201"/>
      <w:bookmarkStart w:id="78" w:name="_Toc100754645"/>
      <w:bookmarkStart w:id="79" w:name="_Toc100755037"/>
      <w:bookmarkStart w:id="80" w:name="_Toc100818768"/>
      <w:bookmarkStart w:id="81" w:name="_Toc100820474"/>
      <w:bookmarkStart w:id="82" w:name="_Toc100822762"/>
      <w:bookmarkStart w:id="83" w:name="_Toc100823301"/>
      <w:bookmarkStart w:id="84" w:name="_Toc100823744"/>
      <w:bookmarkStart w:id="85" w:name="_Toc17228224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677AB0">
        <w:rPr>
          <w:rFonts w:ascii="Arial" w:hAnsi="Arial" w:cs="Arial"/>
          <w:b w:val="0"/>
          <w:color w:val="auto"/>
          <w:sz w:val="24"/>
          <w:szCs w:val="24"/>
        </w:rPr>
        <w:lastRenderedPageBreak/>
        <w:t xml:space="preserve">Struktura </w:t>
      </w:r>
      <w:r w:rsidR="007D084A">
        <w:rPr>
          <w:rFonts w:ascii="Arial" w:hAnsi="Arial" w:cs="Arial"/>
          <w:b w:val="0"/>
          <w:color w:val="auto"/>
          <w:sz w:val="24"/>
          <w:szCs w:val="24"/>
        </w:rPr>
        <w:t>unutarnjeg</w:t>
      </w:r>
      <w:r w:rsidRPr="00677AB0">
        <w:rPr>
          <w:rFonts w:ascii="Arial" w:hAnsi="Arial" w:cs="Arial"/>
          <w:b w:val="0"/>
          <w:color w:val="auto"/>
          <w:sz w:val="24"/>
          <w:szCs w:val="24"/>
        </w:rPr>
        <w:t xml:space="preserve"> duga Federacije BiH na dan </w:t>
      </w:r>
      <w:r>
        <w:rPr>
          <w:rFonts w:ascii="Arial" w:hAnsi="Arial" w:cs="Arial"/>
          <w:b w:val="0"/>
          <w:color w:val="auto"/>
          <w:sz w:val="24"/>
          <w:szCs w:val="24"/>
        </w:rPr>
        <w:t>31. 12. 2023.</w:t>
      </w:r>
      <w:bookmarkEnd w:id="85"/>
    </w:p>
    <w:p w14:paraId="49598CE0" w14:textId="77777777" w:rsidR="0042308F" w:rsidRPr="00677AB0" w:rsidRDefault="0042308F" w:rsidP="0042308F">
      <w:pPr>
        <w:pStyle w:val="NoSpacing"/>
        <w:spacing w:line="276" w:lineRule="auto"/>
        <w:ind w:firstLine="284"/>
        <w:jc w:val="both"/>
        <w:rPr>
          <w:rFonts w:ascii="Arial" w:hAnsi="Arial" w:cs="Arial"/>
          <w:szCs w:val="24"/>
          <w:lang w:val="hr-HR"/>
        </w:rPr>
      </w:pPr>
    </w:p>
    <w:p w14:paraId="0B7E4EC9" w14:textId="77777777" w:rsidR="0042308F" w:rsidRPr="00677AB0" w:rsidRDefault="007D084A" w:rsidP="0042308F">
      <w:pPr>
        <w:pStyle w:val="NoSpacing"/>
        <w:spacing w:line="276" w:lineRule="auto"/>
        <w:ind w:firstLine="284"/>
        <w:jc w:val="both"/>
        <w:rPr>
          <w:rFonts w:ascii="Arial" w:hAnsi="Arial" w:cs="Arial"/>
          <w:szCs w:val="24"/>
          <w:lang w:val="hr-HR"/>
        </w:rPr>
      </w:pPr>
      <w:r>
        <w:rPr>
          <w:rFonts w:ascii="Arial" w:hAnsi="Arial" w:cs="Arial"/>
          <w:szCs w:val="24"/>
          <w:lang w:val="hr-HR"/>
        </w:rPr>
        <w:t>Unutarnji</w:t>
      </w:r>
      <w:r w:rsidR="0042308F" w:rsidRPr="00677AB0">
        <w:rPr>
          <w:rFonts w:ascii="Arial" w:hAnsi="Arial" w:cs="Arial"/>
          <w:szCs w:val="24"/>
          <w:lang w:val="hr-HR"/>
        </w:rPr>
        <w:t xml:space="preserve"> dug </w:t>
      </w:r>
      <w:r w:rsidR="0042308F" w:rsidRPr="00677AB0">
        <w:rPr>
          <w:rFonts w:ascii="Arial" w:hAnsi="Arial" w:cs="Arial"/>
          <w:lang w:val="hr-HR"/>
        </w:rPr>
        <w:t>koji je uključen u Strategiju sastoji se od</w:t>
      </w:r>
      <w:r w:rsidR="0042308F" w:rsidRPr="00677AB0">
        <w:rPr>
          <w:rFonts w:ascii="Arial" w:hAnsi="Arial" w:cs="Arial"/>
          <w:szCs w:val="24"/>
          <w:lang w:val="hr-HR"/>
        </w:rPr>
        <w:t xml:space="preserve"> duga koji je nastao u skladu sa zakonom</w:t>
      </w:r>
      <w:r w:rsidR="0042308F" w:rsidRPr="00677AB0">
        <w:rPr>
          <w:rStyle w:val="FootnoteReference"/>
          <w:rFonts w:ascii="Arial" w:hAnsi="Arial" w:cs="Arial"/>
          <w:szCs w:val="24"/>
          <w:lang w:val="hr-HR"/>
        </w:rPr>
        <w:footnoteReference w:id="4"/>
      </w:r>
      <w:r w:rsidR="0042308F" w:rsidRPr="00677AB0">
        <w:rPr>
          <w:rFonts w:ascii="Arial" w:hAnsi="Arial" w:cs="Arial"/>
          <w:szCs w:val="24"/>
          <w:lang w:val="hr-HR"/>
        </w:rPr>
        <w:t xml:space="preserve"> u obliku vrijednosnih papira i </w:t>
      </w:r>
      <w:r>
        <w:rPr>
          <w:rFonts w:ascii="Arial" w:hAnsi="Arial" w:cs="Arial"/>
          <w:szCs w:val="24"/>
          <w:lang w:val="hr-HR"/>
        </w:rPr>
        <w:t>unutarnjeg</w:t>
      </w:r>
      <w:r w:rsidR="0042308F" w:rsidRPr="00677AB0">
        <w:rPr>
          <w:rFonts w:ascii="Arial" w:hAnsi="Arial" w:cs="Arial"/>
          <w:szCs w:val="24"/>
          <w:lang w:val="hr-HR"/>
        </w:rPr>
        <w:t xml:space="preserve"> duga nastalog emisijom tržišnih vrijednosnih papira. </w:t>
      </w:r>
      <w:r>
        <w:rPr>
          <w:rFonts w:ascii="Arial" w:hAnsi="Arial" w:cs="Arial"/>
          <w:szCs w:val="24"/>
          <w:lang w:val="hr-HR"/>
        </w:rPr>
        <w:t>Unutarnji</w:t>
      </w:r>
      <w:r w:rsidR="0042308F" w:rsidRPr="00677AB0">
        <w:rPr>
          <w:rFonts w:ascii="Arial" w:hAnsi="Arial" w:cs="Arial"/>
          <w:szCs w:val="24"/>
          <w:lang w:val="hr-HR"/>
        </w:rPr>
        <w:t xml:space="preserve"> dug ugovo</w:t>
      </w:r>
      <w:r w:rsidR="00C8169A">
        <w:rPr>
          <w:rFonts w:ascii="Arial" w:hAnsi="Arial" w:cs="Arial"/>
          <w:szCs w:val="24"/>
          <w:lang w:val="hr-HR"/>
        </w:rPr>
        <w:t xml:space="preserve">ren je u domaćoj valuti (KM) i </w:t>
      </w:r>
      <w:r w:rsidR="0042308F" w:rsidRPr="00677AB0">
        <w:rPr>
          <w:rFonts w:ascii="Arial" w:hAnsi="Arial" w:cs="Arial"/>
          <w:szCs w:val="24"/>
          <w:lang w:val="hr-HR"/>
        </w:rPr>
        <w:t xml:space="preserve">a fiksnim kamatnim stopama. </w:t>
      </w:r>
    </w:p>
    <w:p w14:paraId="07A12D98" w14:textId="77777777" w:rsidR="0042308F" w:rsidRPr="00677AB0" w:rsidRDefault="0042308F" w:rsidP="0042308F">
      <w:pPr>
        <w:pStyle w:val="NoSpacing"/>
        <w:spacing w:line="276" w:lineRule="auto"/>
        <w:ind w:firstLine="284"/>
        <w:jc w:val="both"/>
        <w:rPr>
          <w:rFonts w:ascii="Arial" w:hAnsi="Arial" w:cs="Arial"/>
          <w:szCs w:val="24"/>
          <w:lang w:val="hr-HR"/>
        </w:rPr>
      </w:pPr>
    </w:p>
    <w:p w14:paraId="4D5ED904" w14:textId="77777777" w:rsidR="0042308F" w:rsidRPr="00677AB0" w:rsidRDefault="00153015" w:rsidP="0042308F">
      <w:pPr>
        <w:spacing w:after="0"/>
        <w:rPr>
          <w:rFonts w:ascii="Arial" w:hAnsi="Arial" w:cs="Arial"/>
          <w:sz w:val="20"/>
          <w:szCs w:val="20"/>
        </w:rPr>
      </w:pPr>
      <w:r>
        <w:rPr>
          <w:rFonts w:ascii="Arial" w:hAnsi="Arial" w:cs="Arial"/>
          <w:sz w:val="20"/>
          <w:szCs w:val="20"/>
        </w:rPr>
        <w:t>Tablica</w:t>
      </w:r>
      <w:r w:rsidR="0042308F" w:rsidRPr="00677AB0">
        <w:rPr>
          <w:rFonts w:ascii="Arial" w:hAnsi="Arial" w:cs="Arial"/>
          <w:sz w:val="20"/>
          <w:szCs w:val="20"/>
        </w:rPr>
        <w:t xml:space="preserve"> 3. </w:t>
      </w:r>
      <w:r w:rsidR="007D084A">
        <w:rPr>
          <w:rFonts w:ascii="Arial" w:hAnsi="Arial" w:cs="Arial"/>
          <w:sz w:val="20"/>
          <w:szCs w:val="20"/>
        </w:rPr>
        <w:t>Unutarnji</w:t>
      </w:r>
      <w:r w:rsidR="0042308F" w:rsidRPr="00677AB0">
        <w:rPr>
          <w:rFonts w:ascii="Arial" w:hAnsi="Arial" w:cs="Arial"/>
          <w:sz w:val="20"/>
          <w:szCs w:val="20"/>
        </w:rPr>
        <w:t xml:space="preserve"> dug Federacije BiH uključen u Strategiju </w:t>
      </w:r>
    </w:p>
    <w:tbl>
      <w:tblPr>
        <w:tblW w:w="5000" w:type="pct"/>
        <w:tblLook w:val="04A0" w:firstRow="1" w:lastRow="0" w:firstColumn="1" w:lastColumn="0" w:noHBand="0" w:noVBand="1"/>
      </w:tblPr>
      <w:tblGrid>
        <w:gridCol w:w="5086"/>
        <w:gridCol w:w="2395"/>
        <w:gridCol w:w="1569"/>
      </w:tblGrid>
      <w:tr w:rsidR="0042308F" w:rsidRPr="00677AB0" w14:paraId="47C77C37" w14:textId="77777777" w:rsidTr="0042308F">
        <w:trPr>
          <w:trHeight w:val="345"/>
        </w:trPr>
        <w:tc>
          <w:tcPr>
            <w:tcW w:w="2810" w:type="pct"/>
            <w:tcBorders>
              <w:top w:val="single" w:sz="8" w:space="0" w:color="4F81BD"/>
              <w:left w:val="single" w:sz="8" w:space="0" w:color="0070C0"/>
              <w:bottom w:val="nil"/>
              <w:right w:val="nil"/>
            </w:tcBorders>
            <w:shd w:val="clear" w:color="auto" w:fill="auto"/>
            <w:noWrap/>
            <w:vAlign w:val="center"/>
            <w:hideMark/>
          </w:tcPr>
          <w:p w14:paraId="4AB83C27"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Vrsta duga</w:t>
            </w:r>
          </w:p>
        </w:tc>
        <w:tc>
          <w:tcPr>
            <w:tcW w:w="1323" w:type="pct"/>
            <w:tcBorders>
              <w:top w:val="single" w:sz="8" w:space="0" w:color="4F81BD"/>
              <w:left w:val="nil"/>
              <w:bottom w:val="nil"/>
              <w:right w:val="nil"/>
            </w:tcBorders>
            <w:shd w:val="clear" w:color="auto" w:fill="auto"/>
            <w:noWrap/>
            <w:vAlign w:val="center"/>
            <w:hideMark/>
          </w:tcPr>
          <w:p w14:paraId="18E88BDF"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Uključen (√)/ Isključen (x)</w:t>
            </w:r>
          </w:p>
        </w:tc>
        <w:tc>
          <w:tcPr>
            <w:tcW w:w="867" w:type="pct"/>
            <w:tcBorders>
              <w:top w:val="single" w:sz="8" w:space="0" w:color="4F81BD"/>
              <w:left w:val="nil"/>
              <w:bottom w:val="nil"/>
              <w:right w:val="single" w:sz="8" w:space="0" w:color="0070C0"/>
            </w:tcBorders>
            <w:shd w:val="clear" w:color="auto" w:fill="auto"/>
            <w:noWrap/>
            <w:vAlign w:val="center"/>
            <w:hideMark/>
          </w:tcPr>
          <w:p w14:paraId="2C4AAC7A"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Iznos (mil.KM)</w:t>
            </w:r>
          </w:p>
        </w:tc>
      </w:tr>
      <w:tr w:rsidR="0042308F" w:rsidRPr="00677AB0" w14:paraId="01F1D305" w14:textId="77777777" w:rsidTr="0042308F">
        <w:trPr>
          <w:trHeight w:val="330"/>
        </w:trPr>
        <w:tc>
          <w:tcPr>
            <w:tcW w:w="2810" w:type="pct"/>
            <w:tcBorders>
              <w:top w:val="nil"/>
              <w:left w:val="single" w:sz="8" w:space="0" w:color="4F81BD"/>
              <w:bottom w:val="nil"/>
              <w:right w:val="nil"/>
            </w:tcBorders>
            <w:shd w:val="clear" w:color="auto" w:fill="auto"/>
            <w:noWrap/>
            <w:vAlign w:val="center"/>
            <w:hideMark/>
          </w:tcPr>
          <w:p w14:paraId="4AF53727" w14:textId="77777777" w:rsidR="0042308F" w:rsidRPr="00677AB0" w:rsidRDefault="007D084A" w:rsidP="0042308F">
            <w:pPr>
              <w:spacing w:after="0" w:line="240" w:lineRule="auto"/>
              <w:rPr>
                <w:rFonts w:ascii="Arial Narrow" w:eastAsia="Times New Roman" w:hAnsi="Arial Narrow" w:cs="Calibri"/>
              </w:rPr>
            </w:pPr>
            <w:r>
              <w:rPr>
                <w:rFonts w:ascii="Arial Narrow" w:eastAsia="Times New Roman" w:hAnsi="Arial Narrow" w:cs="Calibri"/>
              </w:rPr>
              <w:t>Unutarnji</w:t>
            </w:r>
            <w:r w:rsidR="0042308F" w:rsidRPr="00677AB0">
              <w:rPr>
                <w:rFonts w:ascii="Arial Narrow" w:eastAsia="Times New Roman" w:hAnsi="Arial Narrow" w:cs="Calibri"/>
              </w:rPr>
              <w:t xml:space="preserve"> dug FBiH, od čega:</w:t>
            </w:r>
          </w:p>
        </w:tc>
        <w:tc>
          <w:tcPr>
            <w:tcW w:w="1323" w:type="pct"/>
            <w:tcBorders>
              <w:top w:val="nil"/>
              <w:left w:val="nil"/>
              <w:bottom w:val="nil"/>
              <w:right w:val="nil"/>
            </w:tcBorders>
            <w:shd w:val="clear" w:color="auto" w:fill="auto"/>
            <w:noWrap/>
            <w:vAlign w:val="center"/>
            <w:hideMark/>
          </w:tcPr>
          <w:p w14:paraId="3C519F98" w14:textId="77777777" w:rsidR="0042308F" w:rsidRPr="00677AB0" w:rsidRDefault="0042308F" w:rsidP="0042308F">
            <w:pPr>
              <w:spacing w:after="0" w:line="240" w:lineRule="auto"/>
              <w:rPr>
                <w:rFonts w:ascii="Arial Narrow" w:eastAsia="Times New Roman" w:hAnsi="Arial Narrow" w:cs="Calibri"/>
              </w:rPr>
            </w:pPr>
          </w:p>
        </w:tc>
        <w:tc>
          <w:tcPr>
            <w:tcW w:w="867" w:type="pct"/>
            <w:tcBorders>
              <w:top w:val="nil"/>
              <w:left w:val="nil"/>
              <w:bottom w:val="nil"/>
              <w:right w:val="single" w:sz="8" w:space="0" w:color="0070C0"/>
            </w:tcBorders>
            <w:shd w:val="clear" w:color="auto" w:fill="auto"/>
            <w:noWrap/>
            <w:vAlign w:val="center"/>
            <w:hideMark/>
          </w:tcPr>
          <w:p w14:paraId="22646E8D" w14:textId="77777777" w:rsidR="0042308F" w:rsidRPr="00677AB0" w:rsidRDefault="0042308F" w:rsidP="0042308F">
            <w:pPr>
              <w:spacing w:after="0" w:line="240" w:lineRule="auto"/>
              <w:jc w:val="right"/>
              <w:rPr>
                <w:rFonts w:ascii="Arial Narrow" w:eastAsia="Times New Roman" w:hAnsi="Arial Narrow" w:cs="Calibri"/>
              </w:rPr>
            </w:pPr>
            <w:r w:rsidRPr="00677AB0">
              <w:rPr>
                <w:rFonts w:ascii="Arial Narrow" w:hAnsi="Arial Narrow" w:cs="Calibri"/>
                <w:color w:val="000000"/>
              </w:rPr>
              <w:t>922,89</w:t>
            </w:r>
          </w:p>
        </w:tc>
      </w:tr>
      <w:tr w:rsidR="0042308F" w:rsidRPr="00677AB0" w14:paraId="5A58AA17" w14:textId="77777777" w:rsidTr="0042308F">
        <w:trPr>
          <w:trHeight w:val="330"/>
        </w:trPr>
        <w:tc>
          <w:tcPr>
            <w:tcW w:w="2810" w:type="pct"/>
            <w:tcBorders>
              <w:top w:val="nil"/>
              <w:left w:val="single" w:sz="8" w:space="0" w:color="4F81BD"/>
              <w:bottom w:val="nil"/>
              <w:right w:val="nil"/>
            </w:tcBorders>
            <w:shd w:val="clear" w:color="auto" w:fill="auto"/>
            <w:noWrap/>
            <w:vAlign w:val="center"/>
            <w:hideMark/>
          </w:tcPr>
          <w:p w14:paraId="35391858" w14:textId="77777777" w:rsidR="0042308F" w:rsidRPr="00677AB0" w:rsidRDefault="0042308F" w:rsidP="0042308F">
            <w:pPr>
              <w:spacing w:after="0" w:line="240" w:lineRule="auto"/>
              <w:ind w:firstLineChars="300" w:firstLine="660"/>
              <w:rPr>
                <w:rFonts w:ascii="Arial Narrow" w:eastAsia="Times New Roman" w:hAnsi="Arial Narrow" w:cs="Calibri"/>
              </w:rPr>
            </w:pPr>
            <w:r w:rsidRPr="00677AB0">
              <w:rPr>
                <w:rFonts w:ascii="Arial Narrow" w:eastAsia="Times New Roman" w:hAnsi="Arial Narrow" w:cs="Calibri"/>
              </w:rPr>
              <w:t>-          Trezorski zapisi FBiH</w:t>
            </w:r>
          </w:p>
        </w:tc>
        <w:tc>
          <w:tcPr>
            <w:tcW w:w="1323" w:type="pct"/>
            <w:tcBorders>
              <w:top w:val="nil"/>
              <w:left w:val="nil"/>
              <w:bottom w:val="nil"/>
              <w:right w:val="nil"/>
            </w:tcBorders>
            <w:shd w:val="clear" w:color="auto" w:fill="auto"/>
            <w:noWrap/>
            <w:vAlign w:val="center"/>
            <w:hideMark/>
          </w:tcPr>
          <w:p w14:paraId="6A67C448"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29E1E69C" w14:textId="77777777" w:rsidR="0042308F" w:rsidRPr="00677AB0" w:rsidRDefault="0042308F" w:rsidP="0042308F">
            <w:pPr>
              <w:spacing w:after="0" w:line="240" w:lineRule="auto"/>
              <w:jc w:val="right"/>
              <w:rPr>
                <w:rFonts w:ascii="Arial Narrow" w:eastAsia="Times New Roman" w:hAnsi="Arial Narrow" w:cs="Calibri"/>
              </w:rPr>
            </w:pPr>
            <w:r w:rsidRPr="00677AB0">
              <w:rPr>
                <w:rFonts w:ascii="Arial Narrow" w:hAnsi="Arial Narrow" w:cs="Calibri"/>
                <w:color w:val="000000"/>
              </w:rPr>
              <w:t>100,00</w:t>
            </w:r>
          </w:p>
        </w:tc>
      </w:tr>
      <w:tr w:rsidR="0042308F" w:rsidRPr="00677AB0" w14:paraId="324726D6" w14:textId="77777777" w:rsidTr="0042308F">
        <w:trPr>
          <w:trHeight w:val="345"/>
        </w:trPr>
        <w:tc>
          <w:tcPr>
            <w:tcW w:w="2810" w:type="pct"/>
            <w:tcBorders>
              <w:top w:val="nil"/>
              <w:left w:val="single" w:sz="8" w:space="0" w:color="4F81BD"/>
              <w:bottom w:val="nil"/>
              <w:right w:val="nil"/>
            </w:tcBorders>
            <w:shd w:val="clear" w:color="auto" w:fill="auto"/>
            <w:noWrap/>
            <w:vAlign w:val="center"/>
            <w:hideMark/>
          </w:tcPr>
          <w:p w14:paraId="16820FC5" w14:textId="77777777" w:rsidR="0042308F" w:rsidRPr="00677AB0" w:rsidRDefault="0042308F" w:rsidP="0042308F">
            <w:pPr>
              <w:spacing w:after="0" w:line="240" w:lineRule="auto"/>
              <w:ind w:firstLineChars="300" w:firstLine="660"/>
              <w:rPr>
                <w:rFonts w:ascii="Arial Narrow" w:eastAsia="Times New Roman" w:hAnsi="Arial Narrow" w:cs="Calibri"/>
              </w:rPr>
            </w:pPr>
            <w:r w:rsidRPr="00677AB0">
              <w:rPr>
                <w:rFonts w:ascii="Arial Narrow" w:eastAsia="Times New Roman" w:hAnsi="Arial Narrow" w:cs="Calibri"/>
              </w:rPr>
              <w:t>-          Trezorske obveznice FBiH</w:t>
            </w:r>
          </w:p>
        </w:tc>
        <w:tc>
          <w:tcPr>
            <w:tcW w:w="1323" w:type="pct"/>
            <w:tcBorders>
              <w:top w:val="nil"/>
              <w:left w:val="nil"/>
              <w:bottom w:val="nil"/>
              <w:right w:val="nil"/>
            </w:tcBorders>
            <w:shd w:val="clear" w:color="auto" w:fill="auto"/>
            <w:noWrap/>
            <w:vAlign w:val="center"/>
            <w:hideMark/>
          </w:tcPr>
          <w:p w14:paraId="16A3C31F"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23814BD6" w14:textId="77777777" w:rsidR="0042308F" w:rsidRPr="00677AB0" w:rsidRDefault="0042308F" w:rsidP="0042308F">
            <w:pPr>
              <w:spacing w:after="0" w:line="240" w:lineRule="auto"/>
              <w:jc w:val="right"/>
              <w:rPr>
                <w:rFonts w:ascii="Arial Narrow" w:eastAsia="Times New Roman" w:hAnsi="Arial Narrow" w:cs="Calibri"/>
              </w:rPr>
            </w:pPr>
            <w:r w:rsidRPr="00677AB0">
              <w:rPr>
                <w:rFonts w:ascii="Arial Narrow" w:hAnsi="Arial Narrow" w:cs="Calibri"/>
                <w:color w:val="000000"/>
              </w:rPr>
              <w:t>820,00</w:t>
            </w:r>
          </w:p>
        </w:tc>
      </w:tr>
      <w:tr w:rsidR="0042308F" w:rsidRPr="00677AB0" w14:paraId="1848D4D7" w14:textId="77777777" w:rsidTr="0042308F">
        <w:trPr>
          <w:trHeight w:val="345"/>
        </w:trPr>
        <w:tc>
          <w:tcPr>
            <w:tcW w:w="2810" w:type="pct"/>
            <w:tcBorders>
              <w:top w:val="nil"/>
              <w:left w:val="single" w:sz="8" w:space="0" w:color="4F81BD"/>
              <w:bottom w:val="single" w:sz="8" w:space="0" w:color="4F81BD"/>
              <w:right w:val="nil"/>
            </w:tcBorders>
            <w:shd w:val="clear" w:color="auto" w:fill="auto"/>
            <w:noWrap/>
            <w:vAlign w:val="center"/>
            <w:hideMark/>
          </w:tcPr>
          <w:p w14:paraId="6EA9AE44" w14:textId="77777777" w:rsidR="0042308F" w:rsidRPr="00677AB0" w:rsidRDefault="0042308F" w:rsidP="0042308F">
            <w:pPr>
              <w:spacing w:after="0" w:line="240" w:lineRule="auto"/>
              <w:ind w:firstLineChars="300" w:firstLine="660"/>
              <w:rPr>
                <w:rFonts w:ascii="Arial Narrow" w:eastAsia="Times New Roman" w:hAnsi="Arial Narrow" w:cs="Calibri"/>
              </w:rPr>
            </w:pPr>
            <w:r w:rsidRPr="00677AB0">
              <w:rPr>
                <w:rFonts w:ascii="Arial Narrow" w:eastAsia="Times New Roman" w:hAnsi="Arial Narrow" w:cs="Calibri"/>
              </w:rPr>
              <w:t>-          Obveznice za ratna potraživanja (RT)</w:t>
            </w:r>
          </w:p>
        </w:tc>
        <w:tc>
          <w:tcPr>
            <w:tcW w:w="1323" w:type="pct"/>
            <w:tcBorders>
              <w:top w:val="nil"/>
              <w:left w:val="nil"/>
              <w:bottom w:val="single" w:sz="8" w:space="0" w:color="4F81BD"/>
              <w:right w:val="nil"/>
            </w:tcBorders>
            <w:shd w:val="clear" w:color="auto" w:fill="auto"/>
            <w:noWrap/>
            <w:vAlign w:val="center"/>
            <w:hideMark/>
          </w:tcPr>
          <w:p w14:paraId="7E8F4E53" w14:textId="77777777" w:rsidR="0042308F" w:rsidRPr="00677AB0" w:rsidRDefault="0042308F" w:rsidP="0042308F">
            <w:pPr>
              <w:spacing w:after="0" w:line="240" w:lineRule="auto"/>
              <w:jc w:val="center"/>
              <w:rPr>
                <w:rFonts w:ascii="Arial Narrow" w:eastAsia="Times New Roman" w:hAnsi="Arial Narrow" w:cs="Calibri"/>
              </w:rPr>
            </w:pPr>
            <w:r w:rsidRPr="00677AB0">
              <w:rPr>
                <w:rFonts w:ascii="Arial Narrow" w:eastAsia="Times New Roman" w:hAnsi="Arial Narrow" w:cs="Calibri"/>
              </w:rPr>
              <w:t>√</w:t>
            </w:r>
          </w:p>
        </w:tc>
        <w:tc>
          <w:tcPr>
            <w:tcW w:w="867" w:type="pct"/>
            <w:tcBorders>
              <w:top w:val="nil"/>
              <w:left w:val="nil"/>
              <w:bottom w:val="single" w:sz="8" w:space="0" w:color="0070C0"/>
              <w:right w:val="single" w:sz="8" w:space="0" w:color="0070C0"/>
            </w:tcBorders>
            <w:shd w:val="clear" w:color="auto" w:fill="auto"/>
            <w:noWrap/>
            <w:vAlign w:val="center"/>
            <w:hideMark/>
          </w:tcPr>
          <w:p w14:paraId="5ABCCE72" w14:textId="77777777" w:rsidR="0042308F" w:rsidRPr="00677AB0" w:rsidRDefault="0042308F" w:rsidP="0042308F">
            <w:pPr>
              <w:spacing w:after="0" w:line="240" w:lineRule="auto"/>
              <w:jc w:val="right"/>
              <w:rPr>
                <w:rFonts w:ascii="Arial Narrow" w:eastAsia="Times New Roman" w:hAnsi="Arial Narrow" w:cs="Calibri"/>
              </w:rPr>
            </w:pPr>
            <w:r w:rsidRPr="00677AB0">
              <w:rPr>
                <w:rFonts w:ascii="Arial Narrow" w:hAnsi="Arial Narrow" w:cs="Calibri"/>
                <w:color w:val="000000"/>
              </w:rPr>
              <w:t>2,89</w:t>
            </w:r>
          </w:p>
        </w:tc>
      </w:tr>
    </w:tbl>
    <w:p w14:paraId="3D1A0563" w14:textId="77777777" w:rsidR="0042308F" w:rsidRPr="00677AB0" w:rsidRDefault="0042308F" w:rsidP="0042308F">
      <w:pPr>
        <w:pStyle w:val="NoSpacing"/>
        <w:spacing w:line="276" w:lineRule="auto"/>
        <w:ind w:left="1288"/>
        <w:jc w:val="both"/>
        <w:rPr>
          <w:rFonts w:ascii="Arial" w:hAnsi="Arial" w:cs="Arial"/>
          <w:szCs w:val="24"/>
          <w:lang w:val="hr-HR"/>
        </w:rPr>
      </w:pPr>
    </w:p>
    <w:p w14:paraId="2A4D732B" w14:textId="77777777" w:rsidR="0042308F" w:rsidRPr="00677AB0" w:rsidRDefault="0042308F" w:rsidP="0042308F">
      <w:pPr>
        <w:pStyle w:val="NoSpacing"/>
        <w:spacing w:line="276" w:lineRule="auto"/>
        <w:ind w:left="1288"/>
        <w:jc w:val="both"/>
        <w:rPr>
          <w:rFonts w:ascii="Arial" w:hAnsi="Arial" w:cs="Arial"/>
          <w:szCs w:val="24"/>
          <w:lang w:val="hr-HR"/>
        </w:rPr>
      </w:pPr>
    </w:p>
    <w:p w14:paraId="7848080B" w14:textId="77777777" w:rsidR="0042308F" w:rsidRPr="00677AB0" w:rsidRDefault="0042308F" w:rsidP="0042308F">
      <w:pPr>
        <w:pStyle w:val="Heading3"/>
        <w:numPr>
          <w:ilvl w:val="2"/>
          <w:numId w:val="1"/>
        </w:numPr>
        <w:spacing w:before="0"/>
        <w:rPr>
          <w:rFonts w:ascii="Arial" w:hAnsi="Arial" w:cs="Arial"/>
          <w:b w:val="0"/>
          <w:color w:val="auto"/>
        </w:rPr>
      </w:pPr>
      <w:bookmarkStart w:id="86" w:name="_Toc172282243"/>
      <w:r w:rsidRPr="00677AB0">
        <w:rPr>
          <w:rFonts w:ascii="Arial" w:hAnsi="Arial" w:cs="Arial"/>
          <w:b w:val="0"/>
          <w:color w:val="auto"/>
        </w:rPr>
        <w:t xml:space="preserve">Kamatna struktura </w:t>
      </w:r>
      <w:r w:rsidR="007D084A">
        <w:rPr>
          <w:rFonts w:ascii="Arial" w:hAnsi="Arial" w:cs="Arial"/>
          <w:b w:val="0"/>
          <w:color w:val="auto"/>
        </w:rPr>
        <w:t>unutarnjeg</w:t>
      </w:r>
      <w:r w:rsidRPr="00677AB0">
        <w:rPr>
          <w:rFonts w:ascii="Arial" w:hAnsi="Arial" w:cs="Arial"/>
          <w:b w:val="0"/>
          <w:color w:val="auto"/>
        </w:rPr>
        <w:t xml:space="preserve"> duga Federacije BiH</w:t>
      </w:r>
      <w:bookmarkEnd w:id="86"/>
    </w:p>
    <w:p w14:paraId="7E697C83" w14:textId="77777777" w:rsidR="0042308F" w:rsidRPr="00677AB0" w:rsidRDefault="0042308F" w:rsidP="0042308F">
      <w:pPr>
        <w:pStyle w:val="NoSpacing"/>
        <w:spacing w:line="276" w:lineRule="auto"/>
        <w:ind w:left="1288"/>
        <w:jc w:val="both"/>
        <w:rPr>
          <w:rFonts w:ascii="Arial" w:hAnsi="Arial" w:cs="Arial"/>
          <w:sz w:val="20"/>
          <w:szCs w:val="24"/>
          <w:lang w:val="hr-HR"/>
        </w:rPr>
      </w:pPr>
    </w:p>
    <w:p w14:paraId="2FDAAACC" w14:textId="77777777" w:rsidR="0042308F" w:rsidRPr="00677AB0" w:rsidRDefault="0042308F" w:rsidP="0042308F">
      <w:pPr>
        <w:spacing w:after="0" w:line="240" w:lineRule="auto"/>
        <w:rPr>
          <w:rFonts w:ascii="Arial" w:hAnsi="Arial" w:cs="Arial"/>
          <w:szCs w:val="24"/>
        </w:rPr>
      </w:pPr>
      <w:r w:rsidRPr="00677AB0">
        <w:rPr>
          <w:rFonts w:ascii="Arial" w:hAnsi="Arial" w:cs="Arial"/>
          <w:sz w:val="20"/>
        </w:rPr>
        <w:t xml:space="preserve">Slika 4. Struktura </w:t>
      </w:r>
      <w:r w:rsidR="007D084A">
        <w:rPr>
          <w:rFonts w:ascii="Arial" w:hAnsi="Arial" w:cs="Arial"/>
          <w:sz w:val="20"/>
        </w:rPr>
        <w:t>unutarnjeg</w:t>
      </w:r>
      <w:r w:rsidRPr="00677AB0">
        <w:rPr>
          <w:rFonts w:ascii="Arial" w:hAnsi="Arial" w:cs="Arial"/>
          <w:sz w:val="20"/>
        </w:rPr>
        <w:t xml:space="preserve"> duga Federacije BiH po visini kamatne stope (u mil. KM)   31.12.2023</w:t>
      </w:r>
      <w:r w:rsidRPr="00677AB0">
        <w:rPr>
          <w:rFonts w:ascii="Arial" w:hAnsi="Arial" w:cs="Arial"/>
          <w:szCs w:val="24"/>
        </w:rPr>
        <w:t xml:space="preserve">. </w:t>
      </w:r>
    </w:p>
    <w:p w14:paraId="72D71BAA" w14:textId="77777777" w:rsidR="0042308F" w:rsidRPr="00677AB0" w:rsidRDefault="0042308F" w:rsidP="0042308F">
      <w:pPr>
        <w:spacing w:after="0" w:line="240" w:lineRule="auto"/>
        <w:rPr>
          <w:rFonts w:ascii="Arial" w:hAnsi="Arial" w:cs="Arial"/>
          <w:szCs w:val="24"/>
        </w:rPr>
      </w:pPr>
      <w:r w:rsidRPr="00677AB0">
        <w:rPr>
          <w:noProof/>
          <w:lang w:eastAsia="hr-HR"/>
        </w:rPr>
        <w:lastRenderedPageBreak/>
        <w:drawing>
          <wp:inline distT="0" distB="0" distL="0" distR="0" wp14:anchorId="34EF9ED2" wp14:editId="67AC9ECD">
            <wp:extent cx="5731510" cy="2538101"/>
            <wp:effectExtent l="0" t="0" r="2540" b="14605"/>
            <wp:docPr id="16" name="Chart 1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4D3481" w14:textId="77777777" w:rsidR="0042308F" w:rsidRPr="00677AB0" w:rsidRDefault="0042308F" w:rsidP="0042308F">
      <w:pPr>
        <w:spacing w:after="0" w:line="240" w:lineRule="auto"/>
        <w:rPr>
          <w:rFonts w:ascii="Arial" w:hAnsi="Arial" w:cs="Arial"/>
          <w:szCs w:val="24"/>
        </w:rPr>
      </w:pPr>
    </w:p>
    <w:p w14:paraId="49E41A7F" w14:textId="77777777" w:rsidR="0042308F" w:rsidRPr="00677AB0" w:rsidRDefault="0042308F" w:rsidP="0042308F">
      <w:pPr>
        <w:spacing w:after="0" w:line="240" w:lineRule="auto"/>
        <w:rPr>
          <w:rFonts w:ascii="Arial" w:hAnsi="Arial" w:cs="Arial"/>
          <w:szCs w:val="24"/>
        </w:rPr>
      </w:pPr>
    </w:p>
    <w:p w14:paraId="4ED9479D" w14:textId="77777777" w:rsidR="0042308F" w:rsidRPr="00677AB0" w:rsidRDefault="0042308F" w:rsidP="0042308F">
      <w:pPr>
        <w:spacing w:after="0" w:line="240" w:lineRule="auto"/>
        <w:rPr>
          <w:rFonts w:ascii="Arial" w:hAnsi="Arial" w:cs="Arial"/>
          <w:szCs w:val="24"/>
        </w:rPr>
      </w:pPr>
    </w:p>
    <w:p w14:paraId="009D24D6" w14:textId="77777777" w:rsidR="0042308F" w:rsidRPr="00677AB0" w:rsidRDefault="0042308F" w:rsidP="0042308F"/>
    <w:p w14:paraId="279ACE35" w14:textId="77777777" w:rsidR="0042308F" w:rsidRPr="00677AB0" w:rsidRDefault="0042308F" w:rsidP="0042308F"/>
    <w:p w14:paraId="78E57E06" w14:textId="77777777" w:rsidR="0042308F" w:rsidRPr="00677AB0" w:rsidRDefault="0042308F" w:rsidP="0042308F"/>
    <w:p w14:paraId="1720AF6B" w14:textId="77777777" w:rsidR="0042308F" w:rsidRPr="00677AB0" w:rsidRDefault="0042308F" w:rsidP="0042308F"/>
    <w:p w14:paraId="5BF66812" w14:textId="77777777" w:rsidR="0042308F" w:rsidRPr="00677AB0" w:rsidRDefault="0042308F" w:rsidP="0042308F"/>
    <w:p w14:paraId="17037054" w14:textId="77777777" w:rsidR="0042308F" w:rsidRDefault="0042308F" w:rsidP="0042308F">
      <w:pPr>
        <w:pStyle w:val="Heading1"/>
        <w:numPr>
          <w:ilvl w:val="0"/>
          <w:numId w:val="1"/>
        </w:numPr>
        <w:spacing w:before="0"/>
        <w:ind w:left="567" w:hanging="425"/>
        <w:rPr>
          <w:rFonts w:ascii="Arial" w:hAnsi="Arial" w:cs="Arial"/>
          <w:b w:val="0"/>
          <w:color w:val="auto"/>
        </w:rPr>
      </w:pPr>
      <w:bookmarkStart w:id="87" w:name="_Toc172282244"/>
      <w:r w:rsidRPr="00677AB0">
        <w:rPr>
          <w:rFonts w:ascii="Arial" w:hAnsi="Arial" w:cs="Arial"/>
          <w:b w:val="0"/>
          <w:color w:val="auto"/>
        </w:rPr>
        <w:t xml:space="preserve">RIZICI </w:t>
      </w:r>
      <w:r>
        <w:rPr>
          <w:rFonts w:ascii="Arial" w:hAnsi="Arial" w:cs="Arial"/>
          <w:b w:val="0"/>
          <w:color w:val="auto"/>
        </w:rPr>
        <w:t>PORTFELJA</w:t>
      </w:r>
      <w:r w:rsidRPr="00677AB0">
        <w:rPr>
          <w:rFonts w:ascii="Arial" w:hAnsi="Arial" w:cs="Arial"/>
          <w:b w:val="0"/>
          <w:color w:val="auto"/>
        </w:rPr>
        <w:t xml:space="preserve"> DUGA FEDERACIJE BiH</w:t>
      </w:r>
      <w:bookmarkEnd w:id="87"/>
    </w:p>
    <w:p w14:paraId="79F90EAB" w14:textId="77777777" w:rsidR="0096172C" w:rsidRPr="0096172C" w:rsidRDefault="0096172C" w:rsidP="0096172C"/>
    <w:p w14:paraId="62B4B340"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88" w:name="_Toc172282245"/>
      <w:r w:rsidRPr="00677AB0">
        <w:rPr>
          <w:rFonts w:ascii="Arial" w:hAnsi="Arial" w:cs="Arial"/>
          <w:b w:val="0"/>
          <w:color w:val="auto"/>
          <w:sz w:val="24"/>
          <w:szCs w:val="24"/>
        </w:rPr>
        <w:lastRenderedPageBreak/>
        <w:t xml:space="preserve">Karakteristike troškova i rizika </w:t>
      </w:r>
      <w:r>
        <w:rPr>
          <w:rFonts w:ascii="Arial" w:hAnsi="Arial" w:cs="Arial"/>
          <w:b w:val="0"/>
          <w:color w:val="auto"/>
          <w:sz w:val="24"/>
          <w:szCs w:val="24"/>
        </w:rPr>
        <w:t>portfelja</w:t>
      </w:r>
      <w:r w:rsidRPr="00677AB0">
        <w:rPr>
          <w:rFonts w:ascii="Arial" w:hAnsi="Arial" w:cs="Arial"/>
          <w:b w:val="0"/>
          <w:color w:val="auto"/>
          <w:sz w:val="24"/>
          <w:szCs w:val="24"/>
        </w:rPr>
        <w:t xml:space="preserve"> duga Federacije BiH</w:t>
      </w:r>
      <w:bookmarkEnd w:id="88"/>
    </w:p>
    <w:p w14:paraId="494D8547" w14:textId="77777777" w:rsidR="0042308F" w:rsidRPr="00677AB0" w:rsidRDefault="0042308F" w:rsidP="0042308F">
      <w:pPr>
        <w:pStyle w:val="ParagraphNumbering"/>
        <w:keepNext/>
        <w:numPr>
          <w:ilvl w:val="0"/>
          <w:numId w:val="0"/>
        </w:numPr>
        <w:tabs>
          <w:tab w:val="num" w:pos="3600"/>
        </w:tabs>
        <w:spacing w:after="0" w:line="276" w:lineRule="auto"/>
        <w:jc w:val="both"/>
        <w:rPr>
          <w:rFonts w:ascii="Arial" w:hAnsi="Arial" w:cs="Arial"/>
        </w:rPr>
      </w:pPr>
    </w:p>
    <w:p w14:paraId="3DFEC544" w14:textId="77777777" w:rsidR="0042308F" w:rsidRPr="00677AB0" w:rsidRDefault="0042308F" w:rsidP="0042308F">
      <w:pPr>
        <w:pStyle w:val="ParagraphNumbering"/>
        <w:keepNext/>
        <w:numPr>
          <w:ilvl w:val="0"/>
          <w:numId w:val="0"/>
        </w:numPr>
        <w:spacing w:after="0" w:line="276" w:lineRule="auto"/>
        <w:ind w:right="-23" w:firstLine="284"/>
        <w:jc w:val="both"/>
        <w:rPr>
          <w:rFonts w:ascii="Arial" w:hAnsi="Arial" w:cs="Arial"/>
          <w:sz w:val="22"/>
        </w:rPr>
      </w:pPr>
      <w:r w:rsidRPr="00677AB0">
        <w:rPr>
          <w:rFonts w:ascii="Arial" w:hAnsi="Arial" w:cs="Arial"/>
          <w:sz w:val="22"/>
        </w:rPr>
        <w:t xml:space="preserve">Prosječna </w:t>
      </w:r>
      <w:r w:rsidR="00C8169A" w:rsidRPr="00677AB0">
        <w:rPr>
          <w:rFonts w:ascii="Arial" w:hAnsi="Arial" w:cs="Arial"/>
          <w:sz w:val="22"/>
        </w:rPr>
        <w:t>ponderirana</w:t>
      </w:r>
      <w:r w:rsidRPr="00677AB0">
        <w:rPr>
          <w:rFonts w:ascii="Arial" w:hAnsi="Arial" w:cs="Arial"/>
          <w:sz w:val="22"/>
        </w:rPr>
        <w:t xml:space="preserve"> kamatna stopa za vanjski dug iznosi 3,08% i u odnosu na 2022. godinu povećala se za 1,24% dok se prosječna </w:t>
      </w:r>
      <w:r w:rsidR="00C8169A" w:rsidRPr="00677AB0">
        <w:rPr>
          <w:rFonts w:ascii="Arial" w:hAnsi="Arial" w:cs="Arial"/>
          <w:sz w:val="22"/>
        </w:rPr>
        <w:t>ponderirana</w:t>
      </w:r>
      <w:r w:rsidRPr="00677AB0">
        <w:rPr>
          <w:rFonts w:ascii="Arial" w:hAnsi="Arial" w:cs="Arial"/>
          <w:sz w:val="22"/>
        </w:rPr>
        <w:t xml:space="preserve"> kamatna stopa ukupnog </w:t>
      </w:r>
      <w:r>
        <w:rPr>
          <w:rFonts w:ascii="Arial" w:hAnsi="Arial" w:cs="Arial"/>
          <w:sz w:val="22"/>
        </w:rPr>
        <w:t>portfelja</w:t>
      </w:r>
      <w:r w:rsidR="00C8169A">
        <w:rPr>
          <w:rFonts w:ascii="Arial" w:hAnsi="Arial" w:cs="Arial"/>
          <w:sz w:val="22"/>
        </w:rPr>
        <w:t xml:space="preserve"> duga Federacije BiH</w:t>
      </w:r>
      <w:r w:rsidRPr="00677AB0">
        <w:rPr>
          <w:rFonts w:ascii="Arial" w:hAnsi="Arial" w:cs="Arial"/>
          <w:sz w:val="22"/>
        </w:rPr>
        <w:t xml:space="preserve"> povećala za 1,08% u odnosu na kraj 2022. godine</w:t>
      </w:r>
      <w:r w:rsidR="00C8169A">
        <w:rPr>
          <w:rFonts w:ascii="Arial" w:hAnsi="Arial" w:cs="Arial"/>
          <w:sz w:val="22"/>
        </w:rPr>
        <w:t>,</w:t>
      </w:r>
      <w:r w:rsidRPr="00677AB0">
        <w:rPr>
          <w:rFonts w:ascii="Arial" w:hAnsi="Arial" w:cs="Arial"/>
          <w:sz w:val="22"/>
        </w:rPr>
        <w:t xml:space="preserve"> ali je i dalje prihvatljivo niska i iznosi 2,86%. Iako obveznice </w:t>
      </w:r>
      <w:r w:rsidR="00C8169A" w:rsidRPr="00677AB0">
        <w:rPr>
          <w:rFonts w:ascii="Arial" w:hAnsi="Arial" w:cs="Arial"/>
          <w:sz w:val="22"/>
        </w:rPr>
        <w:t>emitirane</w:t>
      </w:r>
      <w:r w:rsidR="00C8169A">
        <w:rPr>
          <w:rFonts w:ascii="Arial" w:hAnsi="Arial" w:cs="Arial"/>
          <w:sz w:val="22"/>
        </w:rPr>
        <w:t xml:space="preserve"> za izmirenje ob</w:t>
      </w:r>
      <w:r w:rsidRPr="00677AB0">
        <w:rPr>
          <w:rFonts w:ascii="Arial" w:hAnsi="Arial" w:cs="Arial"/>
          <w:sz w:val="22"/>
        </w:rPr>
        <w:t>veza po osnov</w:t>
      </w:r>
      <w:r w:rsidR="00C8169A">
        <w:rPr>
          <w:rFonts w:ascii="Arial" w:hAnsi="Arial" w:cs="Arial"/>
          <w:sz w:val="22"/>
        </w:rPr>
        <w:t>i</w:t>
      </w:r>
      <w:r w:rsidRPr="00677AB0">
        <w:rPr>
          <w:rFonts w:ascii="Arial" w:hAnsi="Arial" w:cs="Arial"/>
          <w:sz w:val="22"/>
        </w:rPr>
        <w:t xml:space="preserve"> ratnih potraživanja (2,89 mil. KM) imaju zakonom određenu kamatnu stopu 2,5% činjenica je da su povećane kamatne stope na tržišne obveznice i trezorske zapise u 2023. godini (novih emisija u iznosu 390,00 mil. KM) imale utjecaj na ovo povećanje. </w:t>
      </w:r>
    </w:p>
    <w:p w14:paraId="71E29EB0" w14:textId="77777777" w:rsidR="0042308F" w:rsidRPr="00677AB0" w:rsidRDefault="0042308F" w:rsidP="0042308F">
      <w:pPr>
        <w:pStyle w:val="NoSpacing"/>
        <w:jc w:val="both"/>
        <w:rPr>
          <w:rFonts w:ascii="Arial" w:hAnsi="Arial" w:cs="Arial"/>
          <w:sz w:val="24"/>
          <w:szCs w:val="24"/>
          <w:lang w:val="hr-HR"/>
        </w:rPr>
      </w:pPr>
    </w:p>
    <w:p w14:paraId="1DEEAFBD" w14:textId="77777777" w:rsidR="0042308F" w:rsidRPr="00677AB0" w:rsidRDefault="00153015" w:rsidP="0042308F">
      <w:pPr>
        <w:pStyle w:val="NoSpacing"/>
        <w:jc w:val="both"/>
        <w:rPr>
          <w:rFonts w:ascii="Arial" w:hAnsi="Arial" w:cs="Arial"/>
          <w:sz w:val="20"/>
          <w:lang w:val="hr-HR"/>
        </w:rPr>
      </w:pPr>
      <w:r>
        <w:rPr>
          <w:rFonts w:ascii="Arial" w:hAnsi="Arial" w:cs="Arial"/>
          <w:sz w:val="20"/>
          <w:lang w:val="hr-HR"/>
        </w:rPr>
        <w:t>Tablica</w:t>
      </w:r>
      <w:r w:rsidR="0042308F" w:rsidRPr="00677AB0">
        <w:rPr>
          <w:rFonts w:ascii="Arial" w:hAnsi="Arial" w:cs="Arial"/>
          <w:sz w:val="20"/>
          <w:lang w:val="hr-HR"/>
        </w:rPr>
        <w:t xml:space="preserve"> 5. </w:t>
      </w:r>
      <w:r w:rsidR="00C8169A" w:rsidRPr="00677AB0">
        <w:rPr>
          <w:rFonts w:ascii="Arial" w:hAnsi="Arial" w:cs="Arial"/>
          <w:sz w:val="20"/>
          <w:lang w:val="hr-HR"/>
        </w:rPr>
        <w:t>Usporedni</w:t>
      </w:r>
      <w:r w:rsidR="0042308F" w:rsidRPr="00677AB0">
        <w:rPr>
          <w:rFonts w:ascii="Arial" w:hAnsi="Arial" w:cs="Arial"/>
          <w:sz w:val="20"/>
          <w:lang w:val="hr-HR"/>
        </w:rPr>
        <w:t xml:space="preserve"> prikaz indikatora rizika </w:t>
      </w:r>
      <w:r w:rsidR="0042308F">
        <w:rPr>
          <w:rFonts w:ascii="Arial" w:hAnsi="Arial" w:cs="Arial"/>
          <w:sz w:val="20"/>
          <w:lang w:val="hr-HR"/>
        </w:rPr>
        <w:t>portfelja</w:t>
      </w:r>
      <w:r w:rsidR="0042308F" w:rsidRPr="00677AB0">
        <w:rPr>
          <w:rFonts w:ascii="Arial" w:hAnsi="Arial" w:cs="Arial"/>
          <w:sz w:val="20"/>
          <w:lang w:val="hr-HR"/>
        </w:rPr>
        <w:t xml:space="preserve"> duga Federacije BiH na dan </w:t>
      </w:r>
      <w:r w:rsidR="0042308F">
        <w:rPr>
          <w:rFonts w:ascii="Arial" w:hAnsi="Arial" w:cs="Arial"/>
          <w:sz w:val="20"/>
          <w:lang w:val="hr-HR"/>
        </w:rPr>
        <w:t>31. 12. 2023.</w:t>
      </w:r>
      <w:r w:rsidR="0042308F" w:rsidRPr="00677AB0">
        <w:rPr>
          <w:rFonts w:ascii="Arial" w:hAnsi="Arial" w:cs="Arial"/>
          <w:sz w:val="20"/>
          <w:lang w:val="hr-HR"/>
        </w:rPr>
        <w:t xml:space="preserve"> u odnosu na indikatore na kraju 2022. godine</w:t>
      </w:r>
    </w:p>
    <w:tbl>
      <w:tblPr>
        <w:tblW w:w="9478" w:type="dxa"/>
        <w:tblInd w:w="-1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6" w:space="0" w:color="5B9BD5" w:themeColor="accent1"/>
          <w:insideV w:val="single" w:sz="6" w:space="0" w:color="5B9BD5" w:themeColor="accent1"/>
        </w:tblBorders>
        <w:tblLook w:val="04A0" w:firstRow="1" w:lastRow="0" w:firstColumn="1" w:lastColumn="0" w:noHBand="0" w:noVBand="1"/>
      </w:tblPr>
      <w:tblGrid>
        <w:gridCol w:w="1463"/>
        <w:gridCol w:w="3515"/>
        <w:gridCol w:w="791"/>
        <w:gridCol w:w="791"/>
        <w:gridCol w:w="668"/>
        <w:gridCol w:w="668"/>
        <w:gridCol w:w="791"/>
        <w:gridCol w:w="791"/>
      </w:tblGrid>
      <w:tr w:rsidR="0042308F" w:rsidRPr="00677AB0" w14:paraId="2DF3AF4F" w14:textId="77777777" w:rsidTr="0042308F">
        <w:trPr>
          <w:trHeight w:val="320"/>
        </w:trPr>
        <w:tc>
          <w:tcPr>
            <w:tcW w:w="0" w:type="auto"/>
            <w:gridSpan w:val="2"/>
            <w:vMerge w:val="restart"/>
            <w:shd w:val="clear" w:color="auto" w:fill="auto"/>
            <w:noWrap/>
            <w:vAlign w:val="center"/>
            <w:hideMark/>
          </w:tcPr>
          <w:p w14:paraId="68D8AB6B" w14:textId="77777777" w:rsidR="0042308F" w:rsidRPr="00677AB0" w:rsidRDefault="0042308F" w:rsidP="0042308F">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Indikatori rizika</w:t>
            </w:r>
          </w:p>
        </w:tc>
        <w:tc>
          <w:tcPr>
            <w:tcW w:w="0" w:type="auto"/>
            <w:gridSpan w:val="2"/>
            <w:shd w:val="clear" w:color="auto" w:fill="auto"/>
            <w:vAlign w:val="center"/>
            <w:hideMark/>
          </w:tcPr>
          <w:p w14:paraId="5B3505D4" w14:textId="77777777" w:rsidR="0042308F" w:rsidRPr="00677AB0" w:rsidRDefault="0042308F" w:rsidP="0042308F">
            <w:pPr>
              <w:spacing w:after="0" w:line="240" w:lineRule="auto"/>
              <w:jc w:val="center"/>
              <w:rPr>
                <w:rFonts w:ascii="Arial Narrow" w:eastAsia="Times New Roman" w:hAnsi="Arial Narrow" w:cs="Calibri"/>
                <w:color w:val="000000"/>
                <w:sz w:val="18"/>
                <w:szCs w:val="18"/>
                <w:highlight w:val="yellow"/>
              </w:rPr>
            </w:pPr>
            <w:r w:rsidRPr="00677AB0">
              <w:rPr>
                <w:rFonts w:ascii="Arial Narrow" w:eastAsia="Times New Roman" w:hAnsi="Arial Narrow" w:cs="Calibri"/>
                <w:color w:val="000000"/>
                <w:sz w:val="18"/>
                <w:szCs w:val="18"/>
              </w:rPr>
              <w:t>Vanjski dug</w:t>
            </w:r>
          </w:p>
        </w:tc>
        <w:tc>
          <w:tcPr>
            <w:tcW w:w="0" w:type="auto"/>
            <w:gridSpan w:val="2"/>
            <w:shd w:val="clear" w:color="auto" w:fill="auto"/>
            <w:vAlign w:val="center"/>
            <w:hideMark/>
          </w:tcPr>
          <w:p w14:paraId="1C2D8DAE" w14:textId="77777777" w:rsidR="0042308F" w:rsidRPr="00677AB0" w:rsidRDefault="007D084A" w:rsidP="0042308F">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Unutarnji</w:t>
            </w:r>
            <w:r w:rsidR="0042308F" w:rsidRPr="00677AB0">
              <w:rPr>
                <w:rFonts w:ascii="Arial Narrow" w:eastAsia="Times New Roman" w:hAnsi="Arial Narrow" w:cs="Calibri"/>
                <w:color w:val="000000"/>
                <w:sz w:val="18"/>
                <w:szCs w:val="18"/>
              </w:rPr>
              <w:t xml:space="preserve"> dug</w:t>
            </w:r>
          </w:p>
        </w:tc>
        <w:tc>
          <w:tcPr>
            <w:tcW w:w="0" w:type="auto"/>
            <w:gridSpan w:val="2"/>
            <w:shd w:val="clear" w:color="auto" w:fill="auto"/>
            <w:vAlign w:val="center"/>
            <w:hideMark/>
          </w:tcPr>
          <w:p w14:paraId="1AA102C3" w14:textId="77777777" w:rsidR="0042308F" w:rsidRPr="00677AB0" w:rsidRDefault="0042308F" w:rsidP="0042308F">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Ukupni dug</w:t>
            </w:r>
          </w:p>
        </w:tc>
      </w:tr>
      <w:tr w:rsidR="0042308F" w:rsidRPr="00677AB0" w14:paraId="7C26AC71" w14:textId="77777777" w:rsidTr="0042308F">
        <w:trPr>
          <w:trHeight w:val="320"/>
        </w:trPr>
        <w:tc>
          <w:tcPr>
            <w:tcW w:w="0" w:type="auto"/>
            <w:gridSpan w:val="2"/>
            <w:vMerge/>
            <w:vAlign w:val="center"/>
            <w:hideMark/>
          </w:tcPr>
          <w:p w14:paraId="78993393"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285C925A" w14:textId="77777777" w:rsidR="0042308F" w:rsidRPr="00677AB0" w:rsidRDefault="0042308F" w:rsidP="0042308F">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2022.</w:t>
            </w:r>
          </w:p>
        </w:tc>
        <w:tc>
          <w:tcPr>
            <w:tcW w:w="0" w:type="auto"/>
            <w:shd w:val="clear" w:color="auto" w:fill="auto"/>
            <w:noWrap/>
            <w:vAlign w:val="center"/>
            <w:hideMark/>
          </w:tcPr>
          <w:p w14:paraId="02675B98" w14:textId="77777777" w:rsidR="0042308F" w:rsidRPr="00677AB0" w:rsidRDefault="0042308F" w:rsidP="0042308F">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2023.</w:t>
            </w:r>
          </w:p>
        </w:tc>
        <w:tc>
          <w:tcPr>
            <w:tcW w:w="0" w:type="auto"/>
            <w:shd w:val="clear" w:color="auto" w:fill="auto"/>
            <w:noWrap/>
            <w:vAlign w:val="center"/>
            <w:hideMark/>
          </w:tcPr>
          <w:p w14:paraId="523181FA" w14:textId="77777777" w:rsidR="0042308F" w:rsidRPr="00677AB0" w:rsidRDefault="0042308F" w:rsidP="0042308F">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2022.</w:t>
            </w:r>
          </w:p>
        </w:tc>
        <w:tc>
          <w:tcPr>
            <w:tcW w:w="0" w:type="auto"/>
            <w:shd w:val="clear" w:color="auto" w:fill="auto"/>
            <w:noWrap/>
            <w:vAlign w:val="center"/>
            <w:hideMark/>
          </w:tcPr>
          <w:p w14:paraId="505430A8" w14:textId="77777777" w:rsidR="0042308F" w:rsidRPr="00677AB0" w:rsidRDefault="0042308F" w:rsidP="0042308F">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2023.</w:t>
            </w:r>
          </w:p>
        </w:tc>
        <w:tc>
          <w:tcPr>
            <w:tcW w:w="0" w:type="auto"/>
            <w:shd w:val="clear" w:color="auto" w:fill="auto"/>
            <w:noWrap/>
            <w:vAlign w:val="center"/>
            <w:hideMark/>
          </w:tcPr>
          <w:p w14:paraId="48DB8FE5" w14:textId="77777777" w:rsidR="0042308F" w:rsidRPr="00677AB0" w:rsidRDefault="0042308F" w:rsidP="0042308F">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2022.</w:t>
            </w:r>
          </w:p>
        </w:tc>
        <w:tc>
          <w:tcPr>
            <w:tcW w:w="0" w:type="auto"/>
            <w:shd w:val="clear" w:color="auto" w:fill="auto"/>
            <w:noWrap/>
            <w:vAlign w:val="center"/>
            <w:hideMark/>
          </w:tcPr>
          <w:p w14:paraId="2A2C2F7E" w14:textId="77777777" w:rsidR="0042308F" w:rsidRPr="00677AB0" w:rsidRDefault="0042308F" w:rsidP="0042308F">
            <w:pPr>
              <w:spacing w:after="0" w:line="240" w:lineRule="auto"/>
              <w:jc w:val="center"/>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2023.</w:t>
            </w:r>
          </w:p>
        </w:tc>
      </w:tr>
      <w:tr w:rsidR="0042308F" w:rsidRPr="00677AB0" w14:paraId="732BD8B7" w14:textId="77777777" w:rsidTr="0042308F">
        <w:trPr>
          <w:trHeight w:val="320"/>
        </w:trPr>
        <w:tc>
          <w:tcPr>
            <w:tcW w:w="0" w:type="auto"/>
            <w:gridSpan w:val="2"/>
            <w:shd w:val="clear" w:color="auto" w:fill="auto"/>
            <w:noWrap/>
            <w:vAlign w:val="center"/>
            <w:hideMark/>
          </w:tcPr>
          <w:p w14:paraId="72B269AD"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Iznos duga (</w:t>
            </w:r>
            <w:r w:rsidR="00C8169A">
              <w:rPr>
                <w:rFonts w:ascii="Arial Narrow" w:eastAsia="Times New Roman" w:hAnsi="Arial Narrow" w:cs="Calibri"/>
                <w:color w:val="000000"/>
                <w:sz w:val="18"/>
                <w:szCs w:val="18"/>
              </w:rPr>
              <w:t>milijun</w:t>
            </w:r>
            <w:r w:rsidRPr="00677AB0">
              <w:rPr>
                <w:rFonts w:ascii="Arial Narrow" w:eastAsia="Times New Roman" w:hAnsi="Arial Narrow" w:cs="Calibri"/>
                <w:color w:val="000000"/>
                <w:sz w:val="18"/>
                <w:szCs w:val="18"/>
              </w:rPr>
              <w:t>i KM)</w:t>
            </w:r>
          </w:p>
        </w:tc>
        <w:tc>
          <w:tcPr>
            <w:tcW w:w="0" w:type="auto"/>
            <w:shd w:val="clear" w:color="auto" w:fill="auto"/>
            <w:noWrap/>
            <w:vAlign w:val="center"/>
            <w:hideMark/>
          </w:tcPr>
          <w:p w14:paraId="418D1127"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5.410,49</w:t>
            </w:r>
          </w:p>
        </w:tc>
        <w:tc>
          <w:tcPr>
            <w:tcW w:w="0" w:type="auto"/>
            <w:shd w:val="clear" w:color="auto" w:fill="auto"/>
            <w:noWrap/>
            <w:vAlign w:val="center"/>
            <w:hideMark/>
          </w:tcPr>
          <w:p w14:paraId="5BD7D005"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5.166,67</w:t>
            </w:r>
          </w:p>
        </w:tc>
        <w:tc>
          <w:tcPr>
            <w:tcW w:w="0" w:type="auto"/>
            <w:shd w:val="clear" w:color="auto" w:fill="auto"/>
            <w:noWrap/>
            <w:vAlign w:val="center"/>
            <w:hideMark/>
          </w:tcPr>
          <w:p w14:paraId="01543B45"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678,69</w:t>
            </w:r>
          </w:p>
        </w:tc>
        <w:tc>
          <w:tcPr>
            <w:tcW w:w="0" w:type="auto"/>
            <w:shd w:val="clear" w:color="auto" w:fill="auto"/>
            <w:noWrap/>
            <w:vAlign w:val="center"/>
            <w:hideMark/>
          </w:tcPr>
          <w:p w14:paraId="17726550"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922,89</w:t>
            </w:r>
          </w:p>
        </w:tc>
        <w:tc>
          <w:tcPr>
            <w:tcW w:w="0" w:type="auto"/>
            <w:shd w:val="clear" w:color="auto" w:fill="auto"/>
            <w:noWrap/>
            <w:vAlign w:val="center"/>
            <w:hideMark/>
          </w:tcPr>
          <w:p w14:paraId="1AA57E17"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6.089,18</w:t>
            </w:r>
          </w:p>
        </w:tc>
        <w:tc>
          <w:tcPr>
            <w:tcW w:w="0" w:type="auto"/>
            <w:shd w:val="clear" w:color="auto" w:fill="auto"/>
            <w:noWrap/>
            <w:vAlign w:val="center"/>
            <w:hideMark/>
          </w:tcPr>
          <w:p w14:paraId="59E2F708"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6.089,56</w:t>
            </w:r>
          </w:p>
        </w:tc>
      </w:tr>
      <w:tr w:rsidR="0042308F" w:rsidRPr="00677AB0" w14:paraId="35033366" w14:textId="77777777" w:rsidTr="0042308F">
        <w:trPr>
          <w:trHeight w:val="320"/>
        </w:trPr>
        <w:tc>
          <w:tcPr>
            <w:tcW w:w="0" w:type="auto"/>
            <w:gridSpan w:val="2"/>
            <w:shd w:val="clear" w:color="auto" w:fill="auto"/>
            <w:noWrap/>
            <w:vAlign w:val="center"/>
            <w:hideMark/>
          </w:tcPr>
          <w:p w14:paraId="7425CEBA"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Iznos duga (</w:t>
            </w:r>
            <w:r w:rsidR="00C8169A">
              <w:rPr>
                <w:rFonts w:ascii="Arial Narrow" w:eastAsia="Times New Roman" w:hAnsi="Arial Narrow" w:cs="Calibri"/>
                <w:color w:val="000000"/>
                <w:sz w:val="18"/>
                <w:szCs w:val="18"/>
              </w:rPr>
              <w:t>milijun</w:t>
            </w:r>
            <w:r w:rsidRPr="00677AB0">
              <w:rPr>
                <w:rFonts w:ascii="Arial Narrow" w:eastAsia="Times New Roman" w:hAnsi="Arial Narrow" w:cs="Calibri"/>
                <w:color w:val="000000"/>
                <w:sz w:val="18"/>
                <w:szCs w:val="18"/>
              </w:rPr>
              <w:t>i USD)</w:t>
            </w:r>
          </w:p>
        </w:tc>
        <w:tc>
          <w:tcPr>
            <w:tcW w:w="0" w:type="auto"/>
            <w:shd w:val="clear" w:color="auto" w:fill="auto"/>
            <w:noWrap/>
            <w:vAlign w:val="center"/>
            <w:hideMark/>
          </w:tcPr>
          <w:p w14:paraId="6978A549"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2.950,58</w:t>
            </w:r>
          </w:p>
        </w:tc>
        <w:tc>
          <w:tcPr>
            <w:tcW w:w="0" w:type="auto"/>
            <w:shd w:val="clear" w:color="auto" w:fill="auto"/>
            <w:noWrap/>
            <w:vAlign w:val="center"/>
            <w:hideMark/>
          </w:tcPr>
          <w:p w14:paraId="5469DB21"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2.919,05</w:t>
            </w:r>
          </w:p>
        </w:tc>
        <w:tc>
          <w:tcPr>
            <w:tcW w:w="0" w:type="auto"/>
            <w:shd w:val="clear" w:color="auto" w:fill="auto"/>
            <w:noWrap/>
            <w:vAlign w:val="center"/>
            <w:hideMark/>
          </w:tcPr>
          <w:p w14:paraId="7C085342"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370,12</w:t>
            </w:r>
          </w:p>
        </w:tc>
        <w:tc>
          <w:tcPr>
            <w:tcW w:w="0" w:type="auto"/>
            <w:shd w:val="clear" w:color="auto" w:fill="auto"/>
            <w:noWrap/>
            <w:vAlign w:val="center"/>
            <w:hideMark/>
          </w:tcPr>
          <w:p w14:paraId="666EF5BF"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521,41</w:t>
            </w:r>
          </w:p>
        </w:tc>
        <w:tc>
          <w:tcPr>
            <w:tcW w:w="0" w:type="auto"/>
            <w:shd w:val="clear" w:color="auto" w:fill="auto"/>
            <w:noWrap/>
            <w:vAlign w:val="center"/>
            <w:hideMark/>
          </w:tcPr>
          <w:p w14:paraId="49D69A72"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3.320,70</w:t>
            </w:r>
          </w:p>
        </w:tc>
        <w:tc>
          <w:tcPr>
            <w:tcW w:w="0" w:type="auto"/>
            <w:shd w:val="clear" w:color="auto" w:fill="auto"/>
            <w:noWrap/>
            <w:vAlign w:val="center"/>
            <w:hideMark/>
          </w:tcPr>
          <w:p w14:paraId="48EFDD22" w14:textId="77777777" w:rsidR="0042308F" w:rsidRPr="00677AB0" w:rsidRDefault="0042308F" w:rsidP="0042308F">
            <w:pPr>
              <w:spacing w:after="0" w:line="240" w:lineRule="auto"/>
              <w:jc w:val="right"/>
              <w:rPr>
                <w:rFonts w:ascii="Arial Narrow" w:eastAsia="Times New Roman" w:hAnsi="Arial Narrow" w:cs="Calibri"/>
                <w:b/>
                <w:bCs/>
                <w:color w:val="000000"/>
                <w:sz w:val="18"/>
                <w:szCs w:val="18"/>
              </w:rPr>
            </w:pPr>
            <w:r w:rsidRPr="00677AB0">
              <w:rPr>
                <w:rFonts w:ascii="Arial Narrow" w:hAnsi="Arial Narrow" w:cs="Calibri"/>
                <w:color w:val="000000"/>
                <w:sz w:val="18"/>
                <w:szCs w:val="18"/>
              </w:rPr>
              <w:t>3.440,46</w:t>
            </w:r>
          </w:p>
        </w:tc>
      </w:tr>
      <w:tr w:rsidR="0042308F" w:rsidRPr="00677AB0" w14:paraId="1C4FFB45" w14:textId="77777777" w:rsidTr="0042308F">
        <w:trPr>
          <w:trHeight w:val="320"/>
        </w:trPr>
        <w:tc>
          <w:tcPr>
            <w:tcW w:w="0" w:type="auto"/>
            <w:gridSpan w:val="2"/>
            <w:shd w:val="clear" w:color="auto" w:fill="auto"/>
            <w:noWrap/>
            <w:vAlign w:val="center"/>
            <w:hideMark/>
          </w:tcPr>
          <w:p w14:paraId="56D7A5EC"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Nominalni dug u % BDP</w:t>
            </w:r>
          </w:p>
        </w:tc>
        <w:tc>
          <w:tcPr>
            <w:tcW w:w="0" w:type="auto"/>
            <w:shd w:val="clear" w:color="auto" w:fill="auto"/>
            <w:noWrap/>
            <w:vAlign w:val="center"/>
            <w:hideMark/>
          </w:tcPr>
          <w:p w14:paraId="2A052EB8"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13,67</w:t>
            </w:r>
          </w:p>
        </w:tc>
        <w:tc>
          <w:tcPr>
            <w:tcW w:w="0" w:type="auto"/>
            <w:shd w:val="clear" w:color="auto" w:fill="auto"/>
            <w:noWrap/>
            <w:vAlign w:val="center"/>
            <w:hideMark/>
          </w:tcPr>
          <w:p w14:paraId="23DE1679"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10,89</w:t>
            </w:r>
          </w:p>
        </w:tc>
        <w:tc>
          <w:tcPr>
            <w:tcW w:w="0" w:type="auto"/>
            <w:shd w:val="clear" w:color="auto" w:fill="auto"/>
            <w:noWrap/>
            <w:vAlign w:val="center"/>
            <w:hideMark/>
          </w:tcPr>
          <w:p w14:paraId="1A10DA54"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1,71</w:t>
            </w:r>
          </w:p>
        </w:tc>
        <w:tc>
          <w:tcPr>
            <w:tcW w:w="0" w:type="auto"/>
            <w:shd w:val="clear" w:color="auto" w:fill="auto"/>
            <w:noWrap/>
            <w:vAlign w:val="center"/>
            <w:hideMark/>
          </w:tcPr>
          <w:p w14:paraId="13948F1A"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1,95</w:t>
            </w:r>
          </w:p>
        </w:tc>
        <w:tc>
          <w:tcPr>
            <w:tcW w:w="0" w:type="auto"/>
            <w:shd w:val="clear" w:color="auto" w:fill="auto"/>
            <w:noWrap/>
            <w:vAlign w:val="center"/>
            <w:hideMark/>
          </w:tcPr>
          <w:p w14:paraId="45428FF8"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15,38</w:t>
            </w:r>
          </w:p>
        </w:tc>
        <w:tc>
          <w:tcPr>
            <w:tcW w:w="0" w:type="auto"/>
            <w:shd w:val="clear" w:color="auto" w:fill="auto"/>
            <w:noWrap/>
            <w:vAlign w:val="center"/>
            <w:hideMark/>
          </w:tcPr>
          <w:p w14:paraId="2599E76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12,84</w:t>
            </w:r>
          </w:p>
        </w:tc>
      </w:tr>
      <w:tr w:rsidR="0042308F" w:rsidRPr="00677AB0" w14:paraId="7CB478F6" w14:textId="77777777" w:rsidTr="0042308F">
        <w:trPr>
          <w:trHeight w:val="320"/>
        </w:trPr>
        <w:tc>
          <w:tcPr>
            <w:tcW w:w="0" w:type="auto"/>
            <w:gridSpan w:val="2"/>
            <w:shd w:val="clear" w:color="auto" w:fill="auto"/>
            <w:noWrap/>
            <w:vAlign w:val="center"/>
            <w:hideMark/>
          </w:tcPr>
          <w:p w14:paraId="43674229"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Sadašnja vrijednost duga u % BDP</w:t>
            </w:r>
          </w:p>
        </w:tc>
        <w:tc>
          <w:tcPr>
            <w:tcW w:w="0" w:type="auto"/>
            <w:shd w:val="clear" w:color="auto" w:fill="auto"/>
            <w:noWrap/>
            <w:vAlign w:val="center"/>
            <w:hideMark/>
          </w:tcPr>
          <w:p w14:paraId="6B61EC4B"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11,45</w:t>
            </w:r>
          </w:p>
        </w:tc>
        <w:tc>
          <w:tcPr>
            <w:tcW w:w="0" w:type="auto"/>
            <w:shd w:val="clear" w:color="auto" w:fill="auto"/>
            <w:noWrap/>
            <w:vAlign w:val="center"/>
            <w:hideMark/>
          </w:tcPr>
          <w:p w14:paraId="26B2EB70"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9,33</w:t>
            </w:r>
          </w:p>
        </w:tc>
        <w:tc>
          <w:tcPr>
            <w:tcW w:w="0" w:type="auto"/>
            <w:shd w:val="clear" w:color="auto" w:fill="auto"/>
            <w:noWrap/>
            <w:vAlign w:val="center"/>
            <w:hideMark/>
          </w:tcPr>
          <w:p w14:paraId="38FEFAA2"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1,71</w:t>
            </w:r>
          </w:p>
        </w:tc>
        <w:tc>
          <w:tcPr>
            <w:tcW w:w="0" w:type="auto"/>
            <w:shd w:val="clear" w:color="auto" w:fill="auto"/>
            <w:noWrap/>
            <w:vAlign w:val="center"/>
            <w:hideMark/>
          </w:tcPr>
          <w:p w14:paraId="28E1F59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1,95</w:t>
            </w:r>
          </w:p>
        </w:tc>
        <w:tc>
          <w:tcPr>
            <w:tcW w:w="0" w:type="auto"/>
            <w:shd w:val="clear" w:color="auto" w:fill="auto"/>
            <w:noWrap/>
            <w:vAlign w:val="center"/>
            <w:hideMark/>
          </w:tcPr>
          <w:p w14:paraId="7F985CE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13,16</w:t>
            </w:r>
          </w:p>
        </w:tc>
        <w:tc>
          <w:tcPr>
            <w:tcW w:w="0" w:type="auto"/>
            <w:shd w:val="clear" w:color="auto" w:fill="auto"/>
            <w:noWrap/>
            <w:vAlign w:val="center"/>
            <w:hideMark/>
          </w:tcPr>
          <w:p w14:paraId="1331E896"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11,27</w:t>
            </w:r>
          </w:p>
        </w:tc>
      </w:tr>
      <w:tr w:rsidR="0042308F" w:rsidRPr="00677AB0" w14:paraId="2C667BA2" w14:textId="77777777" w:rsidTr="0042308F">
        <w:trPr>
          <w:trHeight w:val="320"/>
        </w:trPr>
        <w:tc>
          <w:tcPr>
            <w:tcW w:w="0" w:type="auto"/>
            <w:vMerge w:val="restart"/>
            <w:shd w:val="clear" w:color="auto" w:fill="auto"/>
            <w:noWrap/>
            <w:vAlign w:val="center"/>
            <w:hideMark/>
          </w:tcPr>
          <w:p w14:paraId="32917798" w14:textId="77777777" w:rsidR="0042308F" w:rsidRPr="00677AB0" w:rsidRDefault="0042308F" w:rsidP="0042308F">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Troškovi duga</w:t>
            </w:r>
          </w:p>
        </w:tc>
        <w:tc>
          <w:tcPr>
            <w:tcW w:w="0" w:type="auto"/>
            <w:shd w:val="clear" w:color="auto" w:fill="auto"/>
            <w:noWrap/>
            <w:vAlign w:val="center"/>
            <w:hideMark/>
          </w:tcPr>
          <w:p w14:paraId="11A5D05F"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Kamata kao % BDP</w:t>
            </w:r>
          </w:p>
        </w:tc>
        <w:tc>
          <w:tcPr>
            <w:tcW w:w="0" w:type="auto"/>
            <w:shd w:val="clear" w:color="auto" w:fill="auto"/>
            <w:noWrap/>
            <w:vAlign w:val="center"/>
            <w:hideMark/>
          </w:tcPr>
          <w:p w14:paraId="2137914C"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0,25</w:t>
            </w:r>
          </w:p>
        </w:tc>
        <w:tc>
          <w:tcPr>
            <w:tcW w:w="0" w:type="auto"/>
            <w:shd w:val="clear" w:color="auto" w:fill="auto"/>
            <w:noWrap/>
            <w:vAlign w:val="center"/>
          </w:tcPr>
          <w:p w14:paraId="6BCDE0B5"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0,34</w:t>
            </w:r>
          </w:p>
        </w:tc>
        <w:tc>
          <w:tcPr>
            <w:tcW w:w="0" w:type="auto"/>
            <w:shd w:val="clear" w:color="auto" w:fill="auto"/>
            <w:noWrap/>
            <w:vAlign w:val="center"/>
            <w:hideMark/>
          </w:tcPr>
          <w:p w14:paraId="54326043"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0,02</w:t>
            </w:r>
          </w:p>
        </w:tc>
        <w:tc>
          <w:tcPr>
            <w:tcW w:w="0" w:type="auto"/>
            <w:shd w:val="clear" w:color="auto" w:fill="auto"/>
            <w:noWrap/>
            <w:vAlign w:val="center"/>
            <w:hideMark/>
          </w:tcPr>
          <w:p w14:paraId="2BA3C262"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0,03</w:t>
            </w:r>
          </w:p>
        </w:tc>
        <w:tc>
          <w:tcPr>
            <w:tcW w:w="0" w:type="auto"/>
            <w:shd w:val="clear" w:color="auto" w:fill="auto"/>
            <w:noWrap/>
            <w:vAlign w:val="center"/>
            <w:hideMark/>
          </w:tcPr>
          <w:p w14:paraId="4464ED7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0,27</w:t>
            </w:r>
          </w:p>
        </w:tc>
        <w:tc>
          <w:tcPr>
            <w:tcW w:w="0" w:type="auto"/>
            <w:shd w:val="clear" w:color="auto" w:fill="auto"/>
            <w:noWrap/>
            <w:vAlign w:val="center"/>
            <w:hideMark/>
          </w:tcPr>
          <w:p w14:paraId="6EF79D9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0,37</w:t>
            </w:r>
          </w:p>
        </w:tc>
      </w:tr>
      <w:tr w:rsidR="0042308F" w:rsidRPr="00677AB0" w14:paraId="2842D42F" w14:textId="77777777" w:rsidTr="0042308F">
        <w:trPr>
          <w:trHeight w:val="320"/>
        </w:trPr>
        <w:tc>
          <w:tcPr>
            <w:tcW w:w="0" w:type="auto"/>
            <w:vMerge/>
            <w:vAlign w:val="center"/>
            <w:hideMark/>
          </w:tcPr>
          <w:p w14:paraId="72A1C965"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43B815D6"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 xml:space="preserve">Prosječna </w:t>
            </w:r>
            <w:r w:rsidR="00C8169A" w:rsidRPr="00677AB0">
              <w:rPr>
                <w:rFonts w:ascii="Arial Narrow" w:eastAsia="Times New Roman" w:hAnsi="Arial Narrow" w:cs="Calibri"/>
                <w:color w:val="000000"/>
                <w:sz w:val="18"/>
                <w:szCs w:val="18"/>
              </w:rPr>
              <w:t>ponderirana</w:t>
            </w:r>
            <w:r w:rsidRPr="00677AB0">
              <w:rPr>
                <w:rFonts w:ascii="Arial Narrow" w:eastAsia="Times New Roman" w:hAnsi="Arial Narrow" w:cs="Calibri"/>
                <w:color w:val="000000"/>
                <w:sz w:val="18"/>
                <w:szCs w:val="18"/>
              </w:rPr>
              <w:t xml:space="preserve"> kamata  (%)</w:t>
            </w:r>
          </w:p>
        </w:tc>
        <w:tc>
          <w:tcPr>
            <w:tcW w:w="0" w:type="auto"/>
            <w:shd w:val="clear" w:color="auto" w:fill="auto"/>
            <w:noWrap/>
            <w:vAlign w:val="center"/>
            <w:hideMark/>
          </w:tcPr>
          <w:p w14:paraId="082A8D2F" w14:textId="77777777" w:rsidR="0042308F" w:rsidRPr="00677AB0" w:rsidRDefault="0042308F" w:rsidP="0042308F">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1,84</w:t>
            </w:r>
          </w:p>
        </w:tc>
        <w:tc>
          <w:tcPr>
            <w:tcW w:w="0" w:type="auto"/>
            <w:shd w:val="clear" w:color="auto" w:fill="auto"/>
            <w:noWrap/>
            <w:vAlign w:val="center"/>
          </w:tcPr>
          <w:p w14:paraId="637700C4" w14:textId="77777777" w:rsidR="0042308F" w:rsidRPr="00677AB0" w:rsidRDefault="0042308F" w:rsidP="0042308F">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3,08</w:t>
            </w:r>
          </w:p>
        </w:tc>
        <w:tc>
          <w:tcPr>
            <w:tcW w:w="0" w:type="auto"/>
            <w:shd w:val="clear" w:color="auto" w:fill="auto"/>
            <w:noWrap/>
            <w:vAlign w:val="center"/>
            <w:hideMark/>
          </w:tcPr>
          <w:p w14:paraId="67653DFC" w14:textId="77777777" w:rsidR="0042308F" w:rsidRPr="00677AB0" w:rsidRDefault="0042308F" w:rsidP="0042308F">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1,27</w:t>
            </w:r>
          </w:p>
        </w:tc>
        <w:tc>
          <w:tcPr>
            <w:tcW w:w="0" w:type="auto"/>
            <w:shd w:val="clear" w:color="auto" w:fill="auto"/>
            <w:noWrap/>
            <w:vAlign w:val="center"/>
          </w:tcPr>
          <w:p w14:paraId="3207E422" w14:textId="77777777" w:rsidR="0042308F" w:rsidRPr="00677AB0" w:rsidRDefault="0042308F" w:rsidP="0042308F">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1,66</w:t>
            </w:r>
          </w:p>
        </w:tc>
        <w:tc>
          <w:tcPr>
            <w:tcW w:w="0" w:type="auto"/>
            <w:shd w:val="clear" w:color="auto" w:fill="auto"/>
            <w:noWrap/>
            <w:vAlign w:val="center"/>
          </w:tcPr>
          <w:p w14:paraId="73C7C24B" w14:textId="77777777" w:rsidR="0042308F" w:rsidRPr="00677AB0" w:rsidRDefault="0042308F" w:rsidP="0042308F">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1,78</w:t>
            </w:r>
          </w:p>
        </w:tc>
        <w:tc>
          <w:tcPr>
            <w:tcW w:w="0" w:type="auto"/>
            <w:shd w:val="clear" w:color="auto" w:fill="auto"/>
            <w:noWrap/>
            <w:vAlign w:val="center"/>
            <w:hideMark/>
          </w:tcPr>
          <w:p w14:paraId="51759E32" w14:textId="77777777" w:rsidR="0042308F" w:rsidRPr="00677AB0" w:rsidRDefault="0042308F" w:rsidP="0042308F">
            <w:pPr>
              <w:spacing w:after="0" w:line="240" w:lineRule="auto"/>
              <w:jc w:val="right"/>
              <w:rPr>
                <w:rFonts w:ascii="Arial Narrow" w:eastAsia="Times New Roman" w:hAnsi="Arial Narrow" w:cs="Calibri"/>
                <w:b/>
                <w:color w:val="000000"/>
                <w:sz w:val="18"/>
                <w:szCs w:val="18"/>
              </w:rPr>
            </w:pPr>
            <w:r w:rsidRPr="00677AB0">
              <w:rPr>
                <w:rFonts w:ascii="Arial Narrow" w:hAnsi="Arial Narrow" w:cs="Calibri"/>
                <w:b/>
                <w:bCs/>
                <w:color w:val="000000"/>
                <w:sz w:val="18"/>
                <w:szCs w:val="18"/>
              </w:rPr>
              <w:t>2,86</w:t>
            </w:r>
          </w:p>
        </w:tc>
      </w:tr>
      <w:tr w:rsidR="0042308F" w:rsidRPr="00677AB0" w14:paraId="44576651" w14:textId="77777777" w:rsidTr="0042308F">
        <w:trPr>
          <w:trHeight w:val="320"/>
        </w:trPr>
        <w:tc>
          <w:tcPr>
            <w:tcW w:w="0" w:type="auto"/>
            <w:vMerge w:val="restart"/>
            <w:shd w:val="clear" w:color="auto" w:fill="auto"/>
            <w:noWrap/>
            <w:vAlign w:val="center"/>
            <w:hideMark/>
          </w:tcPr>
          <w:p w14:paraId="26D2D7C2" w14:textId="77777777" w:rsidR="0042308F" w:rsidRPr="00677AB0" w:rsidRDefault="0042308F" w:rsidP="0042308F">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Rizik re</w:t>
            </w:r>
            <w:r>
              <w:rPr>
                <w:rFonts w:ascii="Arial Narrow" w:eastAsia="Times New Roman" w:hAnsi="Arial Narrow" w:cs="Calibri"/>
                <w:color w:val="000000"/>
                <w:sz w:val="18"/>
                <w:szCs w:val="18"/>
              </w:rPr>
              <w:t>financ</w:t>
            </w:r>
            <w:r w:rsidRPr="00677AB0">
              <w:rPr>
                <w:rFonts w:ascii="Arial Narrow" w:eastAsia="Times New Roman" w:hAnsi="Arial Narrow" w:cs="Calibri"/>
                <w:color w:val="000000"/>
                <w:sz w:val="18"/>
                <w:szCs w:val="18"/>
              </w:rPr>
              <w:t>iranja</w:t>
            </w:r>
          </w:p>
        </w:tc>
        <w:tc>
          <w:tcPr>
            <w:tcW w:w="0" w:type="auto"/>
            <w:shd w:val="clear" w:color="auto" w:fill="auto"/>
            <w:noWrap/>
            <w:vAlign w:val="center"/>
            <w:hideMark/>
          </w:tcPr>
          <w:p w14:paraId="01ABE84D"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Prosječno vrijeme dospijeća (godine)</w:t>
            </w:r>
          </w:p>
        </w:tc>
        <w:tc>
          <w:tcPr>
            <w:tcW w:w="0" w:type="auto"/>
            <w:shd w:val="clear" w:color="auto" w:fill="auto"/>
            <w:noWrap/>
            <w:vAlign w:val="center"/>
            <w:hideMark/>
          </w:tcPr>
          <w:p w14:paraId="3AFB75A4"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6,42</w:t>
            </w:r>
          </w:p>
        </w:tc>
        <w:tc>
          <w:tcPr>
            <w:tcW w:w="0" w:type="auto"/>
            <w:shd w:val="clear" w:color="auto" w:fill="auto"/>
            <w:noWrap/>
            <w:vAlign w:val="center"/>
          </w:tcPr>
          <w:p w14:paraId="5BDCD9B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6,69</w:t>
            </w:r>
          </w:p>
        </w:tc>
        <w:tc>
          <w:tcPr>
            <w:tcW w:w="0" w:type="auto"/>
            <w:shd w:val="clear" w:color="auto" w:fill="auto"/>
            <w:noWrap/>
            <w:vAlign w:val="center"/>
            <w:hideMark/>
          </w:tcPr>
          <w:p w14:paraId="429A0B3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4,19</w:t>
            </w:r>
          </w:p>
        </w:tc>
        <w:tc>
          <w:tcPr>
            <w:tcW w:w="0" w:type="auto"/>
            <w:shd w:val="clear" w:color="auto" w:fill="auto"/>
            <w:noWrap/>
            <w:vAlign w:val="center"/>
            <w:hideMark/>
          </w:tcPr>
          <w:p w14:paraId="2AAE0C5C"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3,90</w:t>
            </w:r>
          </w:p>
        </w:tc>
        <w:tc>
          <w:tcPr>
            <w:tcW w:w="0" w:type="auto"/>
            <w:shd w:val="clear" w:color="auto" w:fill="auto"/>
            <w:noWrap/>
            <w:vAlign w:val="center"/>
            <w:hideMark/>
          </w:tcPr>
          <w:p w14:paraId="721D0028"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6,18</w:t>
            </w:r>
          </w:p>
        </w:tc>
        <w:tc>
          <w:tcPr>
            <w:tcW w:w="0" w:type="auto"/>
            <w:shd w:val="clear" w:color="auto" w:fill="auto"/>
            <w:noWrap/>
            <w:vAlign w:val="center"/>
            <w:hideMark/>
          </w:tcPr>
          <w:p w14:paraId="5D9BFD75"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6,27</w:t>
            </w:r>
          </w:p>
        </w:tc>
      </w:tr>
      <w:tr w:rsidR="0042308F" w:rsidRPr="00677AB0" w14:paraId="2559E9CB" w14:textId="77777777" w:rsidTr="0042308F">
        <w:trPr>
          <w:trHeight w:val="320"/>
        </w:trPr>
        <w:tc>
          <w:tcPr>
            <w:tcW w:w="0" w:type="auto"/>
            <w:vMerge/>
            <w:vAlign w:val="center"/>
            <w:hideMark/>
          </w:tcPr>
          <w:p w14:paraId="67FD1215"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2AB959B"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Dospijeće duga u sljedećoj godini  (% ukupnog)</w:t>
            </w:r>
          </w:p>
        </w:tc>
        <w:tc>
          <w:tcPr>
            <w:tcW w:w="0" w:type="auto"/>
            <w:shd w:val="clear" w:color="auto" w:fill="auto"/>
            <w:noWrap/>
            <w:vAlign w:val="center"/>
            <w:hideMark/>
          </w:tcPr>
          <w:p w14:paraId="3B973D51"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12,41</w:t>
            </w:r>
          </w:p>
        </w:tc>
        <w:tc>
          <w:tcPr>
            <w:tcW w:w="0" w:type="auto"/>
            <w:shd w:val="clear" w:color="auto" w:fill="auto"/>
            <w:noWrap/>
            <w:vAlign w:val="center"/>
          </w:tcPr>
          <w:p w14:paraId="34181662"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13,46</w:t>
            </w:r>
          </w:p>
        </w:tc>
        <w:tc>
          <w:tcPr>
            <w:tcW w:w="0" w:type="auto"/>
            <w:shd w:val="clear" w:color="auto" w:fill="auto"/>
            <w:noWrap/>
            <w:vAlign w:val="center"/>
            <w:hideMark/>
          </w:tcPr>
          <w:p w14:paraId="1B1F6BCB"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15,59</w:t>
            </w:r>
          </w:p>
        </w:tc>
        <w:tc>
          <w:tcPr>
            <w:tcW w:w="0" w:type="auto"/>
            <w:shd w:val="clear" w:color="auto" w:fill="auto"/>
            <w:noWrap/>
            <w:vAlign w:val="center"/>
            <w:hideMark/>
          </w:tcPr>
          <w:p w14:paraId="1F771B72"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18,49</w:t>
            </w:r>
          </w:p>
        </w:tc>
        <w:tc>
          <w:tcPr>
            <w:tcW w:w="0" w:type="auto"/>
            <w:shd w:val="clear" w:color="auto" w:fill="auto"/>
            <w:noWrap/>
            <w:vAlign w:val="center"/>
            <w:hideMark/>
          </w:tcPr>
          <w:p w14:paraId="3764AFF1"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12,75</w:t>
            </w:r>
          </w:p>
        </w:tc>
        <w:tc>
          <w:tcPr>
            <w:tcW w:w="0" w:type="auto"/>
            <w:shd w:val="clear" w:color="auto" w:fill="auto"/>
            <w:noWrap/>
            <w:vAlign w:val="center"/>
            <w:hideMark/>
          </w:tcPr>
          <w:p w14:paraId="2CBE8DFD"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14,22</w:t>
            </w:r>
          </w:p>
        </w:tc>
      </w:tr>
      <w:tr w:rsidR="0042308F" w:rsidRPr="00677AB0" w14:paraId="642EC46C" w14:textId="77777777" w:rsidTr="0042308F">
        <w:trPr>
          <w:trHeight w:val="320"/>
        </w:trPr>
        <w:tc>
          <w:tcPr>
            <w:tcW w:w="0" w:type="auto"/>
            <w:vMerge/>
            <w:vAlign w:val="center"/>
            <w:hideMark/>
          </w:tcPr>
          <w:p w14:paraId="056AE425"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0BF1949"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Dospijeće duga u sljedećoj godini  (% BDP)</w:t>
            </w:r>
          </w:p>
        </w:tc>
        <w:tc>
          <w:tcPr>
            <w:tcW w:w="0" w:type="auto"/>
            <w:shd w:val="clear" w:color="auto" w:fill="auto"/>
            <w:noWrap/>
            <w:vAlign w:val="center"/>
            <w:hideMark/>
          </w:tcPr>
          <w:p w14:paraId="6E39E80C"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1,76</w:t>
            </w:r>
          </w:p>
        </w:tc>
        <w:tc>
          <w:tcPr>
            <w:tcW w:w="0" w:type="auto"/>
            <w:shd w:val="clear" w:color="auto" w:fill="auto"/>
            <w:noWrap/>
            <w:vAlign w:val="center"/>
            <w:hideMark/>
          </w:tcPr>
          <w:p w14:paraId="3E880F2B"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1,49</w:t>
            </w:r>
          </w:p>
        </w:tc>
        <w:tc>
          <w:tcPr>
            <w:tcW w:w="0" w:type="auto"/>
            <w:shd w:val="clear" w:color="auto" w:fill="auto"/>
            <w:noWrap/>
            <w:vAlign w:val="center"/>
            <w:hideMark/>
          </w:tcPr>
          <w:p w14:paraId="04BAB360"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0,27</w:t>
            </w:r>
          </w:p>
        </w:tc>
        <w:tc>
          <w:tcPr>
            <w:tcW w:w="0" w:type="auto"/>
            <w:shd w:val="clear" w:color="auto" w:fill="auto"/>
            <w:noWrap/>
            <w:vAlign w:val="center"/>
            <w:hideMark/>
          </w:tcPr>
          <w:p w14:paraId="098019AF"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0,36</w:t>
            </w:r>
          </w:p>
        </w:tc>
        <w:tc>
          <w:tcPr>
            <w:tcW w:w="0" w:type="auto"/>
            <w:shd w:val="clear" w:color="auto" w:fill="auto"/>
            <w:noWrap/>
            <w:vAlign w:val="center"/>
            <w:hideMark/>
          </w:tcPr>
          <w:p w14:paraId="1265FDB5"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2,03</w:t>
            </w:r>
          </w:p>
        </w:tc>
        <w:tc>
          <w:tcPr>
            <w:tcW w:w="0" w:type="auto"/>
            <w:shd w:val="clear" w:color="auto" w:fill="auto"/>
            <w:noWrap/>
            <w:vAlign w:val="center"/>
            <w:hideMark/>
          </w:tcPr>
          <w:p w14:paraId="6DC2C5E5"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1,85</w:t>
            </w:r>
          </w:p>
        </w:tc>
      </w:tr>
      <w:tr w:rsidR="0042308F" w:rsidRPr="00677AB0" w14:paraId="799CBFEE" w14:textId="77777777" w:rsidTr="0042308F">
        <w:trPr>
          <w:trHeight w:val="320"/>
        </w:trPr>
        <w:tc>
          <w:tcPr>
            <w:tcW w:w="0" w:type="auto"/>
            <w:vMerge w:val="restart"/>
            <w:shd w:val="clear" w:color="auto" w:fill="auto"/>
            <w:noWrap/>
            <w:vAlign w:val="center"/>
            <w:hideMark/>
          </w:tcPr>
          <w:p w14:paraId="7132422A" w14:textId="77777777" w:rsidR="0042308F" w:rsidRPr="00677AB0" w:rsidRDefault="0042308F" w:rsidP="0042308F">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lastRenderedPageBreak/>
              <w:t>Kamatni rizik</w:t>
            </w:r>
          </w:p>
        </w:tc>
        <w:tc>
          <w:tcPr>
            <w:tcW w:w="0" w:type="auto"/>
            <w:shd w:val="clear" w:color="auto" w:fill="auto"/>
            <w:noWrap/>
            <w:vAlign w:val="center"/>
            <w:hideMark/>
          </w:tcPr>
          <w:p w14:paraId="30214AC8"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Prosječno vrijeme refiksiranja (godine)</w:t>
            </w:r>
          </w:p>
        </w:tc>
        <w:tc>
          <w:tcPr>
            <w:tcW w:w="0" w:type="auto"/>
            <w:shd w:val="clear" w:color="auto" w:fill="auto"/>
            <w:noWrap/>
            <w:vAlign w:val="center"/>
            <w:hideMark/>
          </w:tcPr>
          <w:p w14:paraId="083EA883"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4,25</w:t>
            </w:r>
          </w:p>
        </w:tc>
        <w:tc>
          <w:tcPr>
            <w:tcW w:w="0" w:type="auto"/>
            <w:shd w:val="clear" w:color="auto" w:fill="auto"/>
            <w:noWrap/>
            <w:vAlign w:val="center"/>
            <w:hideMark/>
          </w:tcPr>
          <w:p w14:paraId="66D35280"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4,20</w:t>
            </w:r>
          </w:p>
        </w:tc>
        <w:tc>
          <w:tcPr>
            <w:tcW w:w="0" w:type="auto"/>
            <w:shd w:val="clear" w:color="auto" w:fill="auto"/>
            <w:noWrap/>
            <w:vAlign w:val="center"/>
            <w:hideMark/>
          </w:tcPr>
          <w:p w14:paraId="5410D915"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4,19</w:t>
            </w:r>
          </w:p>
        </w:tc>
        <w:tc>
          <w:tcPr>
            <w:tcW w:w="0" w:type="auto"/>
            <w:shd w:val="clear" w:color="auto" w:fill="auto"/>
            <w:noWrap/>
            <w:vAlign w:val="center"/>
            <w:hideMark/>
          </w:tcPr>
          <w:p w14:paraId="2564D9A4"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3,90</w:t>
            </w:r>
          </w:p>
        </w:tc>
        <w:tc>
          <w:tcPr>
            <w:tcW w:w="0" w:type="auto"/>
            <w:shd w:val="clear" w:color="auto" w:fill="auto"/>
            <w:noWrap/>
            <w:vAlign w:val="center"/>
            <w:hideMark/>
          </w:tcPr>
          <w:p w14:paraId="28FE2858"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4,24</w:t>
            </w:r>
          </w:p>
        </w:tc>
        <w:tc>
          <w:tcPr>
            <w:tcW w:w="0" w:type="auto"/>
            <w:shd w:val="clear" w:color="auto" w:fill="auto"/>
            <w:noWrap/>
            <w:vAlign w:val="center"/>
            <w:hideMark/>
          </w:tcPr>
          <w:p w14:paraId="395E818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4,15</w:t>
            </w:r>
          </w:p>
        </w:tc>
      </w:tr>
      <w:tr w:rsidR="0042308F" w:rsidRPr="00677AB0" w14:paraId="6E30545E" w14:textId="77777777" w:rsidTr="0042308F">
        <w:trPr>
          <w:trHeight w:val="320"/>
        </w:trPr>
        <w:tc>
          <w:tcPr>
            <w:tcW w:w="0" w:type="auto"/>
            <w:vMerge/>
            <w:vAlign w:val="center"/>
            <w:hideMark/>
          </w:tcPr>
          <w:p w14:paraId="0D7C1921"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6CDCD0A4"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Dug koji se refiksira u sljedećoj godini (%ukupnog)</w:t>
            </w:r>
          </w:p>
        </w:tc>
        <w:tc>
          <w:tcPr>
            <w:tcW w:w="0" w:type="auto"/>
            <w:shd w:val="clear" w:color="auto" w:fill="auto"/>
            <w:noWrap/>
            <w:vAlign w:val="center"/>
            <w:hideMark/>
          </w:tcPr>
          <w:p w14:paraId="6E3D129F"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48,80</w:t>
            </w:r>
          </w:p>
        </w:tc>
        <w:tc>
          <w:tcPr>
            <w:tcW w:w="0" w:type="auto"/>
            <w:shd w:val="clear" w:color="auto" w:fill="auto"/>
            <w:noWrap/>
            <w:vAlign w:val="center"/>
            <w:hideMark/>
          </w:tcPr>
          <w:p w14:paraId="38003F18"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49,53</w:t>
            </w:r>
          </w:p>
        </w:tc>
        <w:tc>
          <w:tcPr>
            <w:tcW w:w="0" w:type="auto"/>
            <w:shd w:val="clear" w:color="auto" w:fill="auto"/>
            <w:noWrap/>
            <w:vAlign w:val="center"/>
            <w:hideMark/>
          </w:tcPr>
          <w:p w14:paraId="7C8153C2"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15,59</w:t>
            </w:r>
          </w:p>
        </w:tc>
        <w:tc>
          <w:tcPr>
            <w:tcW w:w="0" w:type="auto"/>
            <w:shd w:val="clear" w:color="auto" w:fill="auto"/>
            <w:noWrap/>
            <w:vAlign w:val="center"/>
            <w:hideMark/>
          </w:tcPr>
          <w:p w14:paraId="087723BB"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18,49</w:t>
            </w:r>
          </w:p>
        </w:tc>
        <w:tc>
          <w:tcPr>
            <w:tcW w:w="0" w:type="auto"/>
            <w:shd w:val="clear" w:color="auto" w:fill="auto"/>
            <w:noWrap/>
            <w:vAlign w:val="center"/>
            <w:hideMark/>
          </w:tcPr>
          <w:p w14:paraId="5DA25FEC"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45,23</w:t>
            </w:r>
          </w:p>
        </w:tc>
        <w:tc>
          <w:tcPr>
            <w:tcW w:w="0" w:type="auto"/>
            <w:shd w:val="clear" w:color="auto" w:fill="auto"/>
            <w:noWrap/>
            <w:vAlign w:val="center"/>
            <w:hideMark/>
          </w:tcPr>
          <w:p w14:paraId="3946DA45" w14:textId="77777777" w:rsidR="0042308F" w:rsidRPr="00677AB0" w:rsidRDefault="0042308F" w:rsidP="0042308F">
            <w:pPr>
              <w:spacing w:after="0" w:line="240" w:lineRule="auto"/>
              <w:jc w:val="right"/>
              <w:rPr>
                <w:rFonts w:ascii="Arial Narrow" w:eastAsia="Times New Roman" w:hAnsi="Arial Narrow" w:cs="Calibri"/>
                <w:sz w:val="18"/>
                <w:szCs w:val="18"/>
              </w:rPr>
            </w:pPr>
            <w:r w:rsidRPr="00677AB0">
              <w:rPr>
                <w:rFonts w:ascii="Arial Narrow" w:hAnsi="Arial Narrow" w:cs="Calibri"/>
                <w:color w:val="000000"/>
                <w:sz w:val="18"/>
                <w:szCs w:val="18"/>
              </w:rPr>
              <w:t>44,88</w:t>
            </w:r>
          </w:p>
        </w:tc>
      </w:tr>
      <w:tr w:rsidR="0042308F" w:rsidRPr="00677AB0" w14:paraId="1FDF6BBB" w14:textId="77777777" w:rsidTr="0042308F">
        <w:trPr>
          <w:trHeight w:val="320"/>
        </w:trPr>
        <w:tc>
          <w:tcPr>
            <w:tcW w:w="0" w:type="auto"/>
            <w:vMerge/>
            <w:vAlign w:val="center"/>
            <w:hideMark/>
          </w:tcPr>
          <w:p w14:paraId="4F21890B"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54933E3E" w14:textId="77777777" w:rsidR="0042308F" w:rsidRPr="00677AB0" w:rsidRDefault="00C8169A" w:rsidP="0042308F">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Dug s</w:t>
            </w:r>
            <w:r w:rsidR="0042308F" w:rsidRPr="00677AB0">
              <w:rPr>
                <w:rFonts w:ascii="Arial Narrow" w:eastAsia="Times New Roman" w:hAnsi="Arial Narrow" w:cs="Calibri"/>
                <w:color w:val="000000"/>
                <w:sz w:val="18"/>
                <w:szCs w:val="18"/>
              </w:rPr>
              <w:t xml:space="preserve"> fiksnom kamatnom stopom  (% ukupnog)</w:t>
            </w:r>
          </w:p>
        </w:tc>
        <w:tc>
          <w:tcPr>
            <w:tcW w:w="0" w:type="auto"/>
            <w:shd w:val="clear" w:color="auto" w:fill="auto"/>
            <w:noWrap/>
            <w:vAlign w:val="center"/>
            <w:hideMark/>
          </w:tcPr>
          <w:p w14:paraId="2FC7A2CC"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57,61</w:t>
            </w:r>
          </w:p>
        </w:tc>
        <w:tc>
          <w:tcPr>
            <w:tcW w:w="0" w:type="auto"/>
            <w:shd w:val="clear" w:color="auto" w:fill="auto"/>
            <w:noWrap/>
            <w:vAlign w:val="center"/>
            <w:hideMark/>
          </w:tcPr>
          <w:p w14:paraId="18BD3086"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55,69</w:t>
            </w:r>
          </w:p>
        </w:tc>
        <w:tc>
          <w:tcPr>
            <w:tcW w:w="0" w:type="auto"/>
            <w:shd w:val="clear" w:color="auto" w:fill="auto"/>
            <w:noWrap/>
            <w:vAlign w:val="center"/>
            <w:hideMark/>
          </w:tcPr>
          <w:p w14:paraId="2CFB31F0"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100,00</w:t>
            </w:r>
          </w:p>
        </w:tc>
        <w:tc>
          <w:tcPr>
            <w:tcW w:w="0" w:type="auto"/>
            <w:shd w:val="clear" w:color="auto" w:fill="auto"/>
            <w:noWrap/>
            <w:vAlign w:val="center"/>
            <w:hideMark/>
          </w:tcPr>
          <w:p w14:paraId="3BB792F0"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100,00</w:t>
            </w:r>
          </w:p>
        </w:tc>
        <w:tc>
          <w:tcPr>
            <w:tcW w:w="0" w:type="auto"/>
            <w:shd w:val="clear" w:color="auto" w:fill="auto"/>
            <w:noWrap/>
            <w:vAlign w:val="center"/>
            <w:hideMark/>
          </w:tcPr>
          <w:p w14:paraId="0C8CD75C"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62,17</w:t>
            </w:r>
          </w:p>
        </w:tc>
        <w:tc>
          <w:tcPr>
            <w:tcW w:w="0" w:type="auto"/>
            <w:shd w:val="clear" w:color="auto" w:fill="auto"/>
            <w:noWrap/>
            <w:vAlign w:val="center"/>
            <w:hideMark/>
          </w:tcPr>
          <w:p w14:paraId="122E938E"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62,33</w:t>
            </w:r>
          </w:p>
        </w:tc>
      </w:tr>
      <w:tr w:rsidR="0042308F" w:rsidRPr="00677AB0" w14:paraId="44DCCD74" w14:textId="77777777" w:rsidTr="0042308F">
        <w:trPr>
          <w:trHeight w:val="320"/>
        </w:trPr>
        <w:tc>
          <w:tcPr>
            <w:tcW w:w="0" w:type="auto"/>
            <w:vMerge w:val="restart"/>
            <w:shd w:val="clear" w:color="auto" w:fill="auto"/>
            <w:noWrap/>
            <w:vAlign w:val="center"/>
            <w:hideMark/>
          </w:tcPr>
          <w:p w14:paraId="5934A0CD" w14:textId="77777777" w:rsidR="0042308F" w:rsidRPr="00677AB0" w:rsidRDefault="0042308F" w:rsidP="0042308F">
            <w:pPr>
              <w:spacing w:after="0" w:line="240" w:lineRule="auto"/>
              <w:jc w:val="center"/>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Valutni rizik</w:t>
            </w:r>
          </w:p>
        </w:tc>
        <w:tc>
          <w:tcPr>
            <w:tcW w:w="0" w:type="auto"/>
            <w:shd w:val="clear" w:color="auto" w:fill="auto"/>
            <w:noWrap/>
            <w:vAlign w:val="center"/>
            <w:hideMark/>
          </w:tcPr>
          <w:p w14:paraId="5309B755"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Devizni dug  (% ukupnog duga)</w:t>
            </w:r>
          </w:p>
        </w:tc>
        <w:tc>
          <w:tcPr>
            <w:tcW w:w="0" w:type="auto"/>
            <w:shd w:val="clear" w:color="auto" w:fill="auto"/>
            <w:vAlign w:val="center"/>
            <w:hideMark/>
          </w:tcPr>
          <w:p w14:paraId="36CB1012"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2734545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vAlign w:val="center"/>
            <w:hideMark/>
          </w:tcPr>
          <w:p w14:paraId="1D9534C0"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00156FB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516C4BCC"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88,85</w:t>
            </w:r>
          </w:p>
        </w:tc>
        <w:tc>
          <w:tcPr>
            <w:tcW w:w="0" w:type="auto"/>
            <w:shd w:val="clear" w:color="auto" w:fill="auto"/>
            <w:noWrap/>
            <w:vAlign w:val="center"/>
            <w:hideMark/>
          </w:tcPr>
          <w:p w14:paraId="42A4BC69"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84,84</w:t>
            </w:r>
          </w:p>
        </w:tc>
      </w:tr>
      <w:tr w:rsidR="0042308F" w:rsidRPr="00677AB0" w14:paraId="67650291" w14:textId="77777777" w:rsidTr="0042308F">
        <w:trPr>
          <w:trHeight w:val="320"/>
        </w:trPr>
        <w:tc>
          <w:tcPr>
            <w:tcW w:w="0" w:type="auto"/>
            <w:vMerge/>
            <w:vAlign w:val="center"/>
            <w:hideMark/>
          </w:tcPr>
          <w:p w14:paraId="65C2B5A7" w14:textId="77777777" w:rsidR="0042308F" w:rsidRPr="00677AB0" w:rsidRDefault="0042308F" w:rsidP="0042308F">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9BFB1B0" w14:textId="77777777" w:rsidR="0042308F" w:rsidRPr="00677AB0" w:rsidRDefault="0042308F" w:rsidP="0042308F">
            <w:pPr>
              <w:spacing w:after="0" w:line="240" w:lineRule="auto"/>
              <w:rPr>
                <w:rFonts w:ascii="Arial Narrow" w:eastAsia="Times New Roman" w:hAnsi="Arial Narrow" w:cs="Calibri"/>
                <w:color w:val="000000"/>
                <w:sz w:val="18"/>
                <w:szCs w:val="18"/>
              </w:rPr>
            </w:pPr>
            <w:r w:rsidRPr="00677AB0">
              <w:rPr>
                <w:rFonts w:ascii="Arial Narrow" w:eastAsia="Times New Roman" w:hAnsi="Arial Narrow" w:cs="Calibri"/>
                <w:color w:val="000000"/>
                <w:sz w:val="18"/>
                <w:szCs w:val="18"/>
              </w:rPr>
              <w:t>Kratkoročni devizni dug (% rezervi)</w:t>
            </w:r>
          </w:p>
        </w:tc>
        <w:tc>
          <w:tcPr>
            <w:tcW w:w="0" w:type="auto"/>
            <w:shd w:val="clear" w:color="auto" w:fill="auto"/>
            <w:vAlign w:val="center"/>
            <w:hideMark/>
          </w:tcPr>
          <w:p w14:paraId="4A10ADF7"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7CEEAE79"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vAlign w:val="center"/>
            <w:hideMark/>
          </w:tcPr>
          <w:p w14:paraId="6BA85EAD"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35450377"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 </w:t>
            </w:r>
          </w:p>
        </w:tc>
        <w:tc>
          <w:tcPr>
            <w:tcW w:w="0" w:type="auto"/>
            <w:shd w:val="clear" w:color="auto" w:fill="auto"/>
            <w:noWrap/>
            <w:vAlign w:val="center"/>
            <w:hideMark/>
          </w:tcPr>
          <w:p w14:paraId="33A2C65F"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4,09</w:t>
            </w:r>
          </w:p>
        </w:tc>
        <w:tc>
          <w:tcPr>
            <w:tcW w:w="0" w:type="auto"/>
            <w:shd w:val="clear" w:color="auto" w:fill="auto"/>
            <w:noWrap/>
            <w:vAlign w:val="center"/>
            <w:hideMark/>
          </w:tcPr>
          <w:p w14:paraId="06A0F1B3" w14:textId="77777777" w:rsidR="0042308F" w:rsidRPr="00677AB0" w:rsidRDefault="0042308F" w:rsidP="0042308F">
            <w:pPr>
              <w:spacing w:after="0" w:line="240" w:lineRule="auto"/>
              <w:jc w:val="right"/>
              <w:rPr>
                <w:rFonts w:ascii="Arial Narrow" w:eastAsia="Times New Roman" w:hAnsi="Arial Narrow" w:cs="Calibri"/>
                <w:color w:val="000000"/>
                <w:sz w:val="18"/>
                <w:szCs w:val="18"/>
              </w:rPr>
            </w:pPr>
            <w:r w:rsidRPr="00677AB0">
              <w:rPr>
                <w:rFonts w:ascii="Arial Narrow" w:hAnsi="Arial Narrow" w:cs="Calibri"/>
                <w:color w:val="000000"/>
                <w:sz w:val="18"/>
                <w:szCs w:val="18"/>
              </w:rPr>
              <w:t>4,55</w:t>
            </w:r>
          </w:p>
        </w:tc>
      </w:tr>
    </w:tbl>
    <w:p w14:paraId="29206AC4" w14:textId="77777777" w:rsidR="0042308F" w:rsidRPr="00677AB0" w:rsidRDefault="0042308F" w:rsidP="0042308F"/>
    <w:p w14:paraId="5BAC9EDE"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89" w:name="_Toc100751750"/>
      <w:bookmarkStart w:id="90" w:name="_Toc100754207"/>
      <w:bookmarkStart w:id="91" w:name="_Toc100754651"/>
      <w:bookmarkStart w:id="92" w:name="_Toc100755043"/>
      <w:bookmarkStart w:id="93" w:name="_Toc100818774"/>
      <w:bookmarkStart w:id="94" w:name="_Toc100820480"/>
      <w:bookmarkStart w:id="95" w:name="_Toc100822768"/>
      <w:bookmarkStart w:id="96" w:name="_Toc100823307"/>
      <w:bookmarkStart w:id="97" w:name="_Toc100823750"/>
      <w:bookmarkStart w:id="98" w:name="_Toc172282246"/>
      <w:bookmarkEnd w:id="89"/>
      <w:bookmarkEnd w:id="90"/>
      <w:bookmarkEnd w:id="91"/>
      <w:bookmarkEnd w:id="92"/>
      <w:bookmarkEnd w:id="93"/>
      <w:bookmarkEnd w:id="94"/>
      <w:bookmarkEnd w:id="95"/>
      <w:bookmarkEnd w:id="96"/>
      <w:bookmarkEnd w:id="97"/>
      <w:r w:rsidRPr="00677AB0">
        <w:rPr>
          <w:rFonts w:ascii="Arial" w:hAnsi="Arial" w:cs="Arial"/>
          <w:b w:val="0"/>
          <w:color w:val="auto"/>
          <w:sz w:val="24"/>
          <w:szCs w:val="24"/>
        </w:rPr>
        <w:t>Rizik re</w:t>
      </w:r>
      <w:r>
        <w:rPr>
          <w:rFonts w:ascii="Arial" w:hAnsi="Arial" w:cs="Arial"/>
          <w:b w:val="0"/>
          <w:color w:val="auto"/>
          <w:sz w:val="24"/>
          <w:szCs w:val="24"/>
        </w:rPr>
        <w:t>financ</w:t>
      </w:r>
      <w:r w:rsidRPr="00677AB0">
        <w:rPr>
          <w:rFonts w:ascii="Arial" w:hAnsi="Arial" w:cs="Arial"/>
          <w:b w:val="0"/>
          <w:color w:val="auto"/>
          <w:sz w:val="24"/>
          <w:szCs w:val="24"/>
        </w:rPr>
        <w:t>iranja</w:t>
      </w:r>
      <w:bookmarkEnd w:id="98"/>
    </w:p>
    <w:p w14:paraId="0857974C" w14:textId="77777777" w:rsidR="0042308F" w:rsidRPr="00677AB0" w:rsidRDefault="0042308F" w:rsidP="0042308F">
      <w:pPr>
        <w:pStyle w:val="ParagraphNumbering"/>
        <w:numPr>
          <w:ilvl w:val="0"/>
          <w:numId w:val="0"/>
        </w:numPr>
        <w:spacing w:after="0" w:line="240" w:lineRule="auto"/>
        <w:jc w:val="both"/>
        <w:rPr>
          <w:rFonts w:ascii="Arial" w:hAnsi="Arial" w:cs="Arial"/>
          <w:bCs/>
        </w:rPr>
      </w:pPr>
    </w:p>
    <w:p w14:paraId="235400A0"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rPr>
      </w:pPr>
      <w:r w:rsidRPr="00677AB0">
        <w:rPr>
          <w:rFonts w:ascii="Arial" w:hAnsi="Arial" w:cs="Arial"/>
          <w:bCs/>
          <w:sz w:val="22"/>
        </w:rPr>
        <w:t>Rizik re</w:t>
      </w:r>
      <w:r>
        <w:rPr>
          <w:rFonts w:ascii="Arial" w:hAnsi="Arial" w:cs="Arial"/>
          <w:bCs/>
          <w:sz w:val="22"/>
        </w:rPr>
        <w:t>financ</w:t>
      </w:r>
      <w:r w:rsidRPr="00677AB0">
        <w:rPr>
          <w:rFonts w:ascii="Arial" w:hAnsi="Arial" w:cs="Arial"/>
          <w:bCs/>
          <w:sz w:val="22"/>
        </w:rPr>
        <w:t xml:space="preserve">iranja je značajan i za </w:t>
      </w:r>
      <w:r w:rsidR="007D084A">
        <w:rPr>
          <w:rFonts w:ascii="Arial" w:hAnsi="Arial" w:cs="Arial"/>
          <w:bCs/>
          <w:sz w:val="22"/>
        </w:rPr>
        <w:t>unutarnji</w:t>
      </w:r>
      <w:r w:rsidRPr="00677AB0">
        <w:rPr>
          <w:rFonts w:ascii="Arial" w:hAnsi="Arial" w:cs="Arial"/>
          <w:bCs/>
          <w:sz w:val="22"/>
        </w:rPr>
        <w:t xml:space="preserve"> i za vanjski dug i koncentriran je na kratki i srednji rok.</w:t>
      </w:r>
      <w:r w:rsidRPr="00677AB0">
        <w:rPr>
          <w:rFonts w:ascii="Arial" w:hAnsi="Arial" w:cs="Arial"/>
          <w:b/>
          <w:bCs/>
          <w:sz w:val="22"/>
        </w:rPr>
        <w:t xml:space="preserve"> </w:t>
      </w:r>
      <w:r w:rsidRPr="00677AB0">
        <w:rPr>
          <w:rFonts w:ascii="Arial" w:hAnsi="Arial" w:cs="Arial"/>
          <w:bCs/>
          <w:sz w:val="22"/>
        </w:rPr>
        <w:t xml:space="preserve">Prosječno vrijeme dospijeća (ATM) za </w:t>
      </w:r>
      <w:r w:rsidR="007D084A">
        <w:rPr>
          <w:rFonts w:ascii="Arial" w:hAnsi="Arial" w:cs="Arial"/>
          <w:bCs/>
          <w:sz w:val="22"/>
        </w:rPr>
        <w:t>unutarnji</w:t>
      </w:r>
      <w:r w:rsidRPr="00677AB0">
        <w:rPr>
          <w:rFonts w:ascii="Arial" w:hAnsi="Arial" w:cs="Arial"/>
          <w:bCs/>
          <w:sz w:val="22"/>
        </w:rPr>
        <w:t xml:space="preserve"> dug iznosi 3,90 godina, a za vanjski dug 6,69 godine. Prosječno vrijeme dospijeća ukupnog duga iznosi 6,27 godina. Prosječno vrijeme dospijeća </w:t>
      </w:r>
      <w:r w:rsidR="007D084A">
        <w:rPr>
          <w:rFonts w:ascii="Arial" w:hAnsi="Arial" w:cs="Arial"/>
          <w:bCs/>
          <w:sz w:val="22"/>
        </w:rPr>
        <w:t>unutarnjeg</w:t>
      </w:r>
      <w:r w:rsidRPr="00677AB0">
        <w:rPr>
          <w:rFonts w:ascii="Arial" w:hAnsi="Arial" w:cs="Arial"/>
          <w:bCs/>
          <w:sz w:val="22"/>
        </w:rPr>
        <w:t xml:space="preserve"> duga je malo smanjen</w:t>
      </w:r>
      <w:r w:rsidR="00C8169A">
        <w:rPr>
          <w:rFonts w:ascii="Arial" w:hAnsi="Arial" w:cs="Arial"/>
          <w:bCs/>
          <w:sz w:val="22"/>
        </w:rPr>
        <w:t>o</w:t>
      </w:r>
      <w:r w:rsidRPr="00677AB0">
        <w:rPr>
          <w:rFonts w:ascii="Arial" w:hAnsi="Arial" w:cs="Arial"/>
          <w:bCs/>
          <w:sz w:val="22"/>
        </w:rPr>
        <w:t xml:space="preserve"> dok je za vanjski dug povećan</w:t>
      </w:r>
      <w:r w:rsidR="00C8169A">
        <w:rPr>
          <w:rFonts w:ascii="Arial" w:hAnsi="Arial" w:cs="Arial"/>
          <w:bCs/>
          <w:sz w:val="22"/>
        </w:rPr>
        <w:t>o</w:t>
      </w:r>
      <w:r w:rsidRPr="00677AB0">
        <w:rPr>
          <w:rFonts w:ascii="Arial" w:hAnsi="Arial" w:cs="Arial"/>
          <w:bCs/>
          <w:sz w:val="22"/>
        </w:rPr>
        <w:t xml:space="preserve"> pa se ATM za ukupan dug neznatno povećao u odnosu na strategiju za prethodn</w:t>
      </w:r>
      <w:r w:rsidR="00C8169A">
        <w:rPr>
          <w:rFonts w:ascii="Arial" w:hAnsi="Arial" w:cs="Arial"/>
          <w:bCs/>
          <w:sz w:val="22"/>
        </w:rPr>
        <w:t>o</w:t>
      </w:r>
      <w:r w:rsidRPr="00677AB0">
        <w:rPr>
          <w:rFonts w:ascii="Arial" w:hAnsi="Arial" w:cs="Arial"/>
          <w:bCs/>
          <w:sz w:val="22"/>
        </w:rPr>
        <w:t xml:space="preserve"> trogodišnj</w:t>
      </w:r>
      <w:r w:rsidR="00C8169A">
        <w:rPr>
          <w:rFonts w:ascii="Arial" w:hAnsi="Arial" w:cs="Arial"/>
          <w:bCs/>
          <w:sz w:val="22"/>
        </w:rPr>
        <w:t>e</w:t>
      </w:r>
      <w:r w:rsidRPr="00677AB0">
        <w:rPr>
          <w:rFonts w:ascii="Arial" w:hAnsi="Arial" w:cs="Arial"/>
          <w:bCs/>
          <w:sz w:val="22"/>
        </w:rPr>
        <w:t xml:space="preserve"> </w:t>
      </w:r>
      <w:r w:rsidR="00C8169A">
        <w:rPr>
          <w:rFonts w:ascii="Arial" w:hAnsi="Arial" w:cs="Arial"/>
          <w:bCs/>
          <w:sz w:val="22"/>
        </w:rPr>
        <w:t>razdoblje</w:t>
      </w:r>
      <w:r w:rsidRPr="00677AB0">
        <w:rPr>
          <w:rFonts w:ascii="Arial" w:hAnsi="Arial" w:cs="Arial"/>
          <w:bCs/>
          <w:sz w:val="22"/>
        </w:rPr>
        <w:t xml:space="preserve">. </w:t>
      </w:r>
    </w:p>
    <w:p w14:paraId="68A8AE93" w14:textId="77777777" w:rsidR="0042308F" w:rsidRPr="00677AB0" w:rsidRDefault="0042308F" w:rsidP="0042308F">
      <w:pPr>
        <w:spacing w:after="0" w:line="240" w:lineRule="auto"/>
        <w:ind w:right="-46"/>
        <w:rPr>
          <w:rFonts w:ascii="Arial" w:hAnsi="Arial" w:cs="Arial"/>
          <w:highlight w:val="green"/>
        </w:rPr>
      </w:pPr>
    </w:p>
    <w:p w14:paraId="2A3E1CF0" w14:textId="77777777" w:rsidR="0042308F" w:rsidRPr="00677AB0" w:rsidRDefault="0042308F" w:rsidP="0042308F">
      <w:pPr>
        <w:spacing w:after="0" w:line="240" w:lineRule="auto"/>
        <w:ind w:right="-46"/>
        <w:rPr>
          <w:rFonts w:ascii="Arial" w:hAnsi="Arial" w:cs="Arial"/>
          <w:highlight w:val="green"/>
        </w:rPr>
      </w:pPr>
    </w:p>
    <w:p w14:paraId="2BE8ED5E" w14:textId="77777777" w:rsidR="0042308F" w:rsidRPr="00677AB0" w:rsidRDefault="0042308F" w:rsidP="0042308F">
      <w:pPr>
        <w:spacing w:after="0" w:line="240" w:lineRule="auto"/>
        <w:ind w:right="-46"/>
        <w:rPr>
          <w:rFonts w:ascii="Arial" w:hAnsi="Arial" w:cs="Arial"/>
          <w:highlight w:val="green"/>
        </w:rPr>
      </w:pPr>
    </w:p>
    <w:p w14:paraId="21E7023F" w14:textId="77777777" w:rsidR="0042308F" w:rsidRPr="00677AB0" w:rsidRDefault="0042308F" w:rsidP="0042308F">
      <w:pPr>
        <w:spacing w:after="0" w:line="240" w:lineRule="auto"/>
        <w:ind w:right="-46"/>
        <w:rPr>
          <w:rFonts w:ascii="Arial" w:hAnsi="Arial" w:cs="Arial"/>
          <w:highlight w:val="green"/>
        </w:rPr>
      </w:pPr>
    </w:p>
    <w:p w14:paraId="364DEF39" w14:textId="77777777" w:rsidR="0042308F" w:rsidRPr="00677AB0" w:rsidRDefault="0042308F" w:rsidP="0042308F">
      <w:pPr>
        <w:spacing w:after="0" w:line="240" w:lineRule="auto"/>
        <w:ind w:right="-46"/>
        <w:rPr>
          <w:rFonts w:ascii="Arial" w:hAnsi="Arial" w:cs="Arial"/>
          <w:highlight w:val="green"/>
        </w:rPr>
      </w:pPr>
    </w:p>
    <w:p w14:paraId="66DF2A5B" w14:textId="77777777" w:rsidR="0042308F" w:rsidRPr="00677AB0" w:rsidRDefault="0042308F" w:rsidP="0042308F">
      <w:pPr>
        <w:spacing w:after="0" w:line="240" w:lineRule="auto"/>
        <w:ind w:right="-46"/>
        <w:rPr>
          <w:rFonts w:ascii="Arial" w:hAnsi="Arial" w:cs="Arial"/>
          <w:highlight w:val="green"/>
        </w:rPr>
      </w:pPr>
    </w:p>
    <w:p w14:paraId="1A68DE4C" w14:textId="77777777" w:rsidR="0042308F" w:rsidRPr="00677AB0" w:rsidRDefault="0042308F" w:rsidP="0042308F">
      <w:pPr>
        <w:spacing w:after="0" w:line="240" w:lineRule="auto"/>
        <w:ind w:right="-46"/>
        <w:rPr>
          <w:rFonts w:ascii="Arial" w:hAnsi="Arial" w:cs="Arial"/>
          <w:sz w:val="20"/>
          <w:szCs w:val="20"/>
        </w:rPr>
      </w:pPr>
      <w:r w:rsidRPr="00677AB0">
        <w:rPr>
          <w:rFonts w:ascii="Arial" w:hAnsi="Arial" w:cs="Arial"/>
          <w:sz w:val="20"/>
          <w:szCs w:val="20"/>
        </w:rPr>
        <w:t xml:space="preserve">Slika 5. </w:t>
      </w:r>
      <w:r w:rsidRPr="00677AB0">
        <w:rPr>
          <w:rFonts w:ascii="Arial" w:eastAsia="SimSun" w:hAnsi="Arial" w:cs="Arial"/>
          <w:bCs/>
          <w:sz w:val="20"/>
        </w:rPr>
        <w:t xml:space="preserve">Profil otplate duga Federacije BiH na dan </w:t>
      </w:r>
      <w:r>
        <w:rPr>
          <w:rFonts w:ascii="Arial" w:eastAsia="SimSun" w:hAnsi="Arial" w:cs="Arial"/>
          <w:bCs/>
          <w:sz w:val="20"/>
        </w:rPr>
        <w:t>31. 12. 2023.</w:t>
      </w:r>
      <w:r w:rsidRPr="00677AB0">
        <w:rPr>
          <w:rFonts w:ascii="Arial" w:eastAsia="SimSun" w:hAnsi="Arial" w:cs="Arial"/>
          <w:bCs/>
          <w:sz w:val="20"/>
        </w:rPr>
        <w:t xml:space="preserve"> (mil. KM)</w:t>
      </w:r>
      <w:r w:rsidRPr="00677AB0">
        <w:rPr>
          <w:rFonts w:ascii="Arial" w:hAnsi="Arial" w:cs="Arial"/>
          <w:sz w:val="20"/>
          <w:szCs w:val="20"/>
        </w:rPr>
        <w:t xml:space="preserve">  </w:t>
      </w:r>
    </w:p>
    <w:p w14:paraId="4424B90A" w14:textId="77777777" w:rsidR="0042308F" w:rsidRPr="00677AB0" w:rsidRDefault="0042308F" w:rsidP="0042308F">
      <w:pPr>
        <w:spacing w:after="0" w:line="240" w:lineRule="auto"/>
        <w:ind w:right="-46"/>
        <w:rPr>
          <w:rFonts w:ascii="Arial" w:hAnsi="Arial" w:cs="Arial"/>
          <w:sz w:val="20"/>
          <w:szCs w:val="20"/>
        </w:rPr>
      </w:pPr>
      <w:r w:rsidRPr="00677AB0">
        <w:rPr>
          <w:noProof/>
          <w:lang w:eastAsia="hr-HR"/>
        </w:rPr>
        <w:lastRenderedPageBreak/>
        <w:drawing>
          <wp:inline distT="0" distB="0" distL="0" distR="0" wp14:anchorId="6455075F" wp14:editId="2D08ACBE">
            <wp:extent cx="5731200" cy="2365200"/>
            <wp:effectExtent l="0" t="0" r="3175" b="16510"/>
            <wp:docPr id="5" name="Chart 5">
              <a:extLst xmlns:a="http://schemas.openxmlformats.org/drawingml/2006/main">
                <a:ext uri="{FF2B5EF4-FFF2-40B4-BE49-F238E27FC236}">
                  <a16:creationId xmlns:a16="http://schemas.microsoft.com/office/drawing/2014/main" id="{14B6830E-FDAA-4756-8720-D09447966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DB8DA6" w14:textId="77777777" w:rsidR="0042308F" w:rsidRPr="00677AB0" w:rsidRDefault="0042308F" w:rsidP="0042308F">
      <w:pPr>
        <w:spacing w:after="0" w:line="240" w:lineRule="auto"/>
        <w:ind w:right="-46"/>
        <w:rPr>
          <w:rFonts w:ascii="Arial" w:hAnsi="Arial" w:cs="Arial"/>
        </w:rPr>
      </w:pPr>
    </w:p>
    <w:p w14:paraId="34D5EB0D" w14:textId="77777777" w:rsidR="0042308F" w:rsidRPr="00677AB0" w:rsidRDefault="0042308F" w:rsidP="0042308F">
      <w:pPr>
        <w:spacing w:after="0" w:line="240" w:lineRule="auto"/>
        <w:ind w:right="-46"/>
        <w:rPr>
          <w:rFonts w:ascii="Arial" w:hAnsi="Arial" w:cs="Arial"/>
          <w:szCs w:val="24"/>
        </w:rPr>
      </w:pPr>
    </w:p>
    <w:p w14:paraId="0DA73215" w14:textId="77777777" w:rsidR="0042308F" w:rsidRPr="00677AB0" w:rsidRDefault="0042308F" w:rsidP="0042308F">
      <w:pPr>
        <w:spacing w:after="0" w:line="240" w:lineRule="auto"/>
        <w:ind w:right="-46"/>
        <w:rPr>
          <w:rFonts w:ascii="Arial" w:hAnsi="Arial" w:cs="Arial"/>
          <w:szCs w:val="24"/>
        </w:rPr>
      </w:pPr>
      <w:r w:rsidRPr="00677AB0">
        <w:rPr>
          <w:rFonts w:ascii="Arial" w:hAnsi="Arial" w:cs="Arial"/>
          <w:sz w:val="20"/>
        </w:rPr>
        <w:t xml:space="preserve">Slika 6. Profil otplate duga </w:t>
      </w:r>
      <w:r w:rsidRPr="00677AB0">
        <w:rPr>
          <w:rFonts w:ascii="Arial" w:hAnsi="Arial" w:cs="Arial"/>
          <w:sz w:val="20"/>
          <w:szCs w:val="20"/>
        </w:rPr>
        <w:t>Federacije BiH</w:t>
      </w:r>
      <w:r w:rsidRPr="00677AB0">
        <w:rPr>
          <w:rFonts w:ascii="Arial" w:hAnsi="Arial" w:cs="Arial"/>
        </w:rPr>
        <w:t xml:space="preserve"> </w:t>
      </w:r>
      <w:r w:rsidRPr="00677AB0">
        <w:rPr>
          <w:rFonts w:ascii="Arial" w:hAnsi="Arial" w:cs="Arial"/>
          <w:sz w:val="20"/>
        </w:rPr>
        <w:t xml:space="preserve">prema IMF-u, na dan </w:t>
      </w:r>
      <w:r>
        <w:rPr>
          <w:rFonts w:ascii="Arial" w:hAnsi="Arial" w:cs="Arial"/>
          <w:sz w:val="20"/>
        </w:rPr>
        <w:t>31. 12. 2023.</w:t>
      </w:r>
      <w:r w:rsidRPr="00677AB0">
        <w:rPr>
          <w:rFonts w:ascii="Arial" w:hAnsi="Arial" w:cs="Arial"/>
          <w:sz w:val="20"/>
        </w:rPr>
        <w:t xml:space="preserve">   (mil. KM)  </w:t>
      </w:r>
      <w:r w:rsidRPr="00677AB0">
        <w:rPr>
          <w:rFonts w:ascii="Arial" w:hAnsi="Arial" w:cs="Arial"/>
          <w:szCs w:val="24"/>
        </w:rPr>
        <w:t xml:space="preserve"> </w:t>
      </w:r>
    </w:p>
    <w:p w14:paraId="623919BB" w14:textId="77777777" w:rsidR="0042308F" w:rsidRPr="00677AB0" w:rsidRDefault="0042308F" w:rsidP="0042308F">
      <w:pPr>
        <w:pStyle w:val="NoSpacing"/>
        <w:rPr>
          <w:rFonts w:ascii="Arial" w:hAnsi="Arial" w:cs="Arial"/>
          <w:szCs w:val="24"/>
          <w:lang w:val="hr-HR"/>
        </w:rPr>
      </w:pPr>
      <w:r w:rsidRPr="00677AB0">
        <w:rPr>
          <w:noProof/>
          <w:lang w:val="hr-HR" w:eastAsia="hr-HR"/>
        </w:rPr>
        <w:drawing>
          <wp:inline distT="0" distB="0" distL="0" distR="0" wp14:anchorId="40D7B7B6" wp14:editId="2EAF8DEC">
            <wp:extent cx="5759450" cy="1906437"/>
            <wp:effectExtent l="0" t="0" r="12700" b="17780"/>
            <wp:docPr id="9" name="Chart 9">
              <a:extLst xmlns:a="http://schemas.openxmlformats.org/drawingml/2006/main">
                <a:ext uri="{FF2B5EF4-FFF2-40B4-BE49-F238E27FC236}">
                  <a16:creationId xmlns:a16="http://schemas.microsoft.com/office/drawing/2014/main" id="{058A1AEC-5CDA-4ED0-80CD-20565EBBF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9D0D6D" w14:textId="77777777" w:rsidR="0042308F" w:rsidRPr="00677AB0" w:rsidRDefault="0042308F" w:rsidP="0042308F">
      <w:pPr>
        <w:pStyle w:val="NoSpacing"/>
        <w:rPr>
          <w:rFonts w:ascii="Arial" w:hAnsi="Arial" w:cs="Arial"/>
          <w:szCs w:val="24"/>
          <w:lang w:val="hr-HR"/>
        </w:rPr>
      </w:pPr>
    </w:p>
    <w:p w14:paraId="7B18D70D" w14:textId="77777777" w:rsidR="0042308F" w:rsidRPr="00677AB0" w:rsidRDefault="0042308F" w:rsidP="0042308F">
      <w:pPr>
        <w:pStyle w:val="NoSpacing"/>
        <w:rPr>
          <w:rFonts w:ascii="Arial" w:hAnsi="Arial" w:cs="Arial"/>
          <w:szCs w:val="24"/>
          <w:lang w:val="hr-HR"/>
        </w:rPr>
      </w:pPr>
      <w:r w:rsidRPr="00677AB0">
        <w:rPr>
          <w:rFonts w:ascii="Arial" w:hAnsi="Arial" w:cs="Arial"/>
          <w:szCs w:val="24"/>
          <w:lang w:val="hr-HR"/>
        </w:rPr>
        <w:t xml:space="preserve">   </w:t>
      </w:r>
    </w:p>
    <w:p w14:paraId="02FF005E"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99" w:name="_Toc172282247"/>
      <w:r w:rsidRPr="00677AB0">
        <w:rPr>
          <w:rFonts w:ascii="Arial" w:hAnsi="Arial" w:cs="Arial"/>
          <w:b w:val="0"/>
          <w:color w:val="auto"/>
          <w:sz w:val="24"/>
          <w:szCs w:val="24"/>
        </w:rPr>
        <w:t>Kamatni rizik</w:t>
      </w:r>
      <w:bookmarkEnd w:id="99"/>
    </w:p>
    <w:p w14:paraId="0BBDC655" w14:textId="77777777" w:rsidR="0042308F" w:rsidRPr="00677AB0" w:rsidRDefault="0042308F" w:rsidP="0042308F">
      <w:pPr>
        <w:pStyle w:val="NoSpacing"/>
        <w:tabs>
          <w:tab w:val="left" w:pos="2145"/>
        </w:tabs>
        <w:jc w:val="both"/>
        <w:rPr>
          <w:rFonts w:ascii="Arial" w:hAnsi="Arial" w:cs="Arial"/>
          <w:b/>
          <w:color w:val="538135" w:themeColor="accent6" w:themeShade="BF"/>
          <w:sz w:val="16"/>
          <w:szCs w:val="16"/>
          <w:lang w:val="hr-HR"/>
        </w:rPr>
      </w:pPr>
    </w:p>
    <w:p w14:paraId="0A6E567E"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rPr>
      </w:pPr>
      <w:r w:rsidRPr="00677AB0">
        <w:rPr>
          <w:rFonts w:ascii="Arial" w:hAnsi="Arial" w:cs="Arial"/>
          <w:bCs/>
          <w:sz w:val="22"/>
          <w:szCs w:val="22"/>
        </w:rPr>
        <w:t>U</w:t>
      </w:r>
      <w:r w:rsidR="00C8169A">
        <w:rPr>
          <w:rFonts w:ascii="Arial" w:hAnsi="Arial" w:cs="Arial"/>
          <w:bCs/>
          <w:sz w:val="22"/>
          <w:szCs w:val="22"/>
        </w:rPr>
        <w:t>djel</w:t>
      </w:r>
      <w:r w:rsidRPr="00677AB0">
        <w:rPr>
          <w:rFonts w:ascii="Arial" w:hAnsi="Arial" w:cs="Arial"/>
          <w:bCs/>
          <w:sz w:val="22"/>
          <w:szCs w:val="22"/>
        </w:rPr>
        <w:t xml:space="preserve"> </w:t>
      </w:r>
      <w:r>
        <w:rPr>
          <w:rFonts w:ascii="Arial" w:hAnsi="Arial" w:cs="Arial"/>
          <w:bCs/>
          <w:sz w:val="22"/>
          <w:szCs w:val="22"/>
        </w:rPr>
        <w:t>portfelja</w:t>
      </w:r>
      <w:r w:rsidRPr="00677AB0">
        <w:rPr>
          <w:rFonts w:ascii="Arial" w:hAnsi="Arial" w:cs="Arial"/>
          <w:bCs/>
          <w:sz w:val="22"/>
          <w:szCs w:val="22"/>
        </w:rPr>
        <w:t xml:space="preserve"> duga koji se refiksira unutar jedne godine iznosi 44,88% i </w:t>
      </w:r>
      <w:r w:rsidR="00C8169A" w:rsidRPr="00677AB0">
        <w:rPr>
          <w:rFonts w:ascii="Arial" w:hAnsi="Arial" w:cs="Arial"/>
          <w:bCs/>
          <w:sz w:val="22"/>
          <w:szCs w:val="22"/>
        </w:rPr>
        <w:t>rezultat</w:t>
      </w:r>
      <w:r w:rsidR="00C8169A">
        <w:rPr>
          <w:rFonts w:ascii="Arial" w:hAnsi="Arial" w:cs="Arial"/>
          <w:bCs/>
          <w:sz w:val="22"/>
          <w:szCs w:val="22"/>
        </w:rPr>
        <w:t xml:space="preserve"> je činjenice da</w:t>
      </w:r>
      <w:r w:rsidRPr="00677AB0">
        <w:rPr>
          <w:rFonts w:ascii="Arial" w:hAnsi="Arial" w:cs="Arial"/>
          <w:bCs/>
          <w:sz w:val="22"/>
          <w:szCs w:val="22"/>
        </w:rPr>
        <w:t xml:space="preserve"> je oko 4</w:t>
      </w:r>
      <w:r w:rsidR="00C8169A">
        <w:rPr>
          <w:rFonts w:ascii="Arial" w:hAnsi="Arial" w:cs="Arial"/>
          <w:bCs/>
          <w:sz w:val="22"/>
          <w:szCs w:val="22"/>
        </w:rPr>
        <w:t>4,31% vanjskog duga ugovoreno s</w:t>
      </w:r>
      <w:r w:rsidRPr="00677AB0">
        <w:rPr>
          <w:rFonts w:ascii="Arial" w:hAnsi="Arial" w:cs="Arial"/>
          <w:bCs/>
          <w:sz w:val="22"/>
          <w:szCs w:val="22"/>
        </w:rPr>
        <w:t xml:space="preserve"> varijabilnom kamatnom stopom, dok je sav </w:t>
      </w:r>
      <w:r w:rsidR="007D084A">
        <w:rPr>
          <w:rFonts w:ascii="Arial" w:hAnsi="Arial" w:cs="Arial"/>
          <w:bCs/>
          <w:sz w:val="22"/>
          <w:szCs w:val="22"/>
        </w:rPr>
        <w:t>unutarnji</w:t>
      </w:r>
      <w:r w:rsidR="00C8169A">
        <w:rPr>
          <w:rFonts w:ascii="Arial" w:hAnsi="Arial" w:cs="Arial"/>
          <w:bCs/>
          <w:sz w:val="22"/>
          <w:szCs w:val="22"/>
        </w:rPr>
        <w:t xml:space="preserve"> dug ugovoren s</w:t>
      </w:r>
      <w:r w:rsidRPr="00677AB0">
        <w:rPr>
          <w:rFonts w:ascii="Arial" w:hAnsi="Arial" w:cs="Arial"/>
          <w:bCs/>
          <w:sz w:val="22"/>
          <w:szCs w:val="22"/>
        </w:rPr>
        <w:t xml:space="preserve"> fiksnom kamatnom stopom. </w:t>
      </w:r>
      <w:r w:rsidR="007D084A">
        <w:rPr>
          <w:rFonts w:ascii="Arial" w:hAnsi="Arial" w:cs="Arial"/>
          <w:bCs/>
          <w:sz w:val="22"/>
          <w:szCs w:val="22"/>
        </w:rPr>
        <w:t>Unutarnji</w:t>
      </w:r>
      <w:r w:rsidRPr="00677AB0">
        <w:rPr>
          <w:rFonts w:ascii="Arial" w:hAnsi="Arial" w:cs="Arial"/>
          <w:bCs/>
          <w:sz w:val="22"/>
          <w:szCs w:val="22"/>
        </w:rPr>
        <w:t xml:space="preserve"> </w:t>
      </w:r>
      <w:r w:rsidRPr="00677AB0">
        <w:rPr>
          <w:rFonts w:ascii="Arial" w:hAnsi="Arial" w:cs="Arial"/>
          <w:bCs/>
          <w:sz w:val="22"/>
          <w:szCs w:val="22"/>
        </w:rPr>
        <w:lastRenderedPageBreak/>
        <w:t>dug koji se refiksira unutar jedne godine iznosi 18,49% u odnosu na ukupan dug što je povećanje od skoro 3%.</w:t>
      </w:r>
    </w:p>
    <w:p w14:paraId="45F8DF4E"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highlight w:val="yellow"/>
        </w:rPr>
      </w:pPr>
    </w:p>
    <w:p w14:paraId="779B7F1D"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rPr>
      </w:pPr>
      <w:r w:rsidRPr="00677AB0">
        <w:rPr>
          <w:rFonts w:ascii="Arial" w:hAnsi="Arial" w:cs="Arial"/>
          <w:bCs/>
          <w:sz w:val="22"/>
          <w:szCs w:val="22"/>
        </w:rPr>
        <w:t xml:space="preserve">Prosječno vrijeme refiksiranja </w:t>
      </w:r>
      <w:r>
        <w:rPr>
          <w:rFonts w:ascii="Arial" w:hAnsi="Arial" w:cs="Arial"/>
          <w:bCs/>
          <w:sz w:val="22"/>
          <w:szCs w:val="22"/>
        </w:rPr>
        <w:t>portfelja</w:t>
      </w:r>
      <w:r w:rsidRPr="00677AB0">
        <w:rPr>
          <w:rFonts w:ascii="Arial" w:hAnsi="Arial" w:cs="Arial"/>
          <w:bCs/>
          <w:sz w:val="22"/>
          <w:szCs w:val="22"/>
        </w:rPr>
        <w:t xml:space="preserve"> duga Federacije BiH iznosi 4,15 godina, odnosno 4,2 godina za vanjski dug, dok za </w:t>
      </w:r>
      <w:r w:rsidR="007D084A">
        <w:rPr>
          <w:rFonts w:ascii="Arial" w:hAnsi="Arial" w:cs="Arial"/>
          <w:bCs/>
          <w:sz w:val="22"/>
          <w:szCs w:val="22"/>
        </w:rPr>
        <w:t>unutarnji</w:t>
      </w:r>
      <w:r w:rsidRPr="00677AB0">
        <w:rPr>
          <w:rFonts w:ascii="Arial" w:hAnsi="Arial" w:cs="Arial"/>
          <w:bCs/>
          <w:sz w:val="22"/>
          <w:szCs w:val="22"/>
        </w:rPr>
        <w:t xml:space="preserve"> dug iznosi 3,9 godina.</w:t>
      </w:r>
      <w:r w:rsidRPr="00677AB0">
        <w:rPr>
          <w:rFonts w:ascii="Arial" w:hAnsi="Arial" w:cs="Arial"/>
          <w:sz w:val="22"/>
          <w:szCs w:val="22"/>
        </w:rPr>
        <w:t xml:space="preserve"> </w:t>
      </w:r>
      <w:r w:rsidRPr="00677AB0">
        <w:rPr>
          <w:rFonts w:ascii="Arial" w:hAnsi="Arial" w:cs="Arial"/>
          <w:bCs/>
          <w:sz w:val="22"/>
          <w:szCs w:val="22"/>
        </w:rPr>
        <w:t xml:space="preserve"> </w:t>
      </w:r>
    </w:p>
    <w:p w14:paraId="2368754C"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rPr>
      </w:pPr>
    </w:p>
    <w:p w14:paraId="79689E87"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00" w:name="_Toc172282248"/>
      <w:r w:rsidRPr="00677AB0">
        <w:rPr>
          <w:rFonts w:ascii="Arial" w:hAnsi="Arial" w:cs="Arial"/>
          <w:b w:val="0"/>
          <w:color w:val="auto"/>
          <w:sz w:val="24"/>
          <w:szCs w:val="24"/>
        </w:rPr>
        <w:t xml:space="preserve">Valutni rizik </w:t>
      </w:r>
      <w:r>
        <w:rPr>
          <w:rFonts w:ascii="Arial" w:hAnsi="Arial" w:cs="Arial"/>
          <w:b w:val="0"/>
          <w:color w:val="auto"/>
          <w:sz w:val="24"/>
          <w:szCs w:val="24"/>
        </w:rPr>
        <w:t>portfelja</w:t>
      </w:r>
      <w:r w:rsidRPr="00677AB0">
        <w:rPr>
          <w:rFonts w:ascii="Arial" w:hAnsi="Arial" w:cs="Arial"/>
          <w:b w:val="0"/>
          <w:color w:val="auto"/>
          <w:sz w:val="24"/>
          <w:szCs w:val="24"/>
        </w:rPr>
        <w:t xml:space="preserve"> duga Federacije BiH</w:t>
      </w:r>
      <w:bookmarkEnd w:id="100"/>
    </w:p>
    <w:p w14:paraId="3D968A8B" w14:textId="77777777" w:rsidR="0042308F" w:rsidRPr="00677AB0" w:rsidRDefault="0042308F" w:rsidP="0042308F">
      <w:pPr>
        <w:pStyle w:val="NoSpacing"/>
        <w:jc w:val="both"/>
        <w:rPr>
          <w:rFonts w:ascii="Arial" w:hAnsi="Arial" w:cs="Arial"/>
          <w:lang w:val="hr-HR"/>
        </w:rPr>
      </w:pPr>
    </w:p>
    <w:p w14:paraId="534DC6BE"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rPr>
      </w:pPr>
      <w:r w:rsidRPr="00677AB0">
        <w:rPr>
          <w:rFonts w:ascii="Arial" w:hAnsi="Arial" w:cs="Arial"/>
          <w:bCs/>
          <w:sz w:val="22"/>
          <w:szCs w:val="22"/>
        </w:rPr>
        <w:t xml:space="preserve">Najzastupljenije valute u </w:t>
      </w:r>
      <w:r>
        <w:rPr>
          <w:rFonts w:ascii="Arial" w:hAnsi="Arial" w:cs="Arial"/>
          <w:bCs/>
          <w:sz w:val="22"/>
          <w:szCs w:val="22"/>
        </w:rPr>
        <w:t>portfelju</w:t>
      </w:r>
      <w:r w:rsidRPr="00677AB0">
        <w:rPr>
          <w:rFonts w:ascii="Arial" w:hAnsi="Arial" w:cs="Arial"/>
          <w:bCs/>
          <w:sz w:val="22"/>
          <w:szCs w:val="22"/>
        </w:rPr>
        <w:t xml:space="preserve"> duga Federacije BiH su EUR (57,27%), SDR (17,45%), KM (15,16%) i USD (9,78%). Dekompozicijom SDR-a, </w:t>
      </w:r>
      <w:r w:rsidR="00D40F05">
        <w:rPr>
          <w:rFonts w:ascii="Arial" w:hAnsi="Arial" w:cs="Arial"/>
          <w:bCs/>
          <w:sz w:val="22"/>
          <w:szCs w:val="22"/>
        </w:rPr>
        <w:t>udjel</w:t>
      </w:r>
      <w:r w:rsidRPr="00677AB0">
        <w:rPr>
          <w:rFonts w:ascii="Arial" w:hAnsi="Arial" w:cs="Arial"/>
          <w:bCs/>
          <w:sz w:val="22"/>
          <w:szCs w:val="22"/>
        </w:rPr>
        <w:t xml:space="preserve"> EUR valute raste na 62,38% ukupnog duga, a u</w:t>
      </w:r>
      <w:r w:rsidR="00D40F05">
        <w:rPr>
          <w:rFonts w:ascii="Arial" w:hAnsi="Arial" w:cs="Arial"/>
          <w:bCs/>
          <w:sz w:val="22"/>
          <w:szCs w:val="22"/>
        </w:rPr>
        <w:t>djel</w:t>
      </w:r>
      <w:r w:rsidRPr="00677AB0">
        <w:rPr>
          <w:rFonts w:ascii="Arial" w:hAnsi="Arial" w:cs="Arial"/>
          <w:bCs/>
          <w:sz w:val="22"/>
          <w:szCs w:val="22"/>
        </w:rPr>
        <w:t xml:space="preserve"> USD na 17,35% (Slika 7.). </w:t>
      </w:r>
    </w:p>
    <w:p w14:paraId="69CE5577"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highlight w:val="yellow"/>
        </w:rPr>
      </w:pPr>
    </w:p>
    <w:p w14:paraId="2BB1AC65"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highlight w:val="yellow"/>
        </w:rPr>
      </w:pPr>
    </w:p>
    <w:p w14:paraId="5A2F6353" w14:textId="77777777" w:rsidR="0042308F" w:rsidRPr="00677AB0" w:rsidRDefault="0042308F" w:rsidP="0042308F">
      <w:pPr>
        <w:pStyle w:val="ParagraphNumbering"/>
        <w:numPr>
          <w:ilvl w:val="0"/>
          <w:numId w:val="0"/>
        </w:numPr>
        <w:spacing w:after="0" w:line="276" w:lineRule="auto"/>
        <w:ind w:firstLine="284"/>
        <w:jc w:val="both"/>
        <w:rPr>
          <w:rFonts w:ascii="Arial" w:hAnsi="Arial" w:cs="Arial"/>
          <w:bCs/>
          <w:sz w:val="22"/>
          <w:szCs w:val="22"/>
          <w:highlight w:val="yellow"/>
        </w:rPr>
      </w:pPr>
    </w:p>
    <w:p w14:paraId="67024FAD" w14:textId="77777777" w:rsidR="0096172C" w:rsidRDefault="0096172C">
      <w:pPr>
        <w:spacing w:after="160" w:line="259" w:lineRule="auto"/>
        <w:rPr>
          <w:rFonts w:ascii="Arial" w:hAnsi="Arial" w:cs="Arial"/>
          <w:sz w:val="20"/>
          <w:szCs w:val="20"/>
        </w:rPr>
      </w:pPr>
      <w:r>
        <w:rPr>
          <w:rFonts w:ascii="Arial" w:hAnsi="Arial" w:cs="Arial"/>
          <w:sz w:val="20"/>
          <w:szCs w:val="20"/>
        </w:rPr>
        <w:br w:type="page"/>
      </w:r>
    </w:p>
    <w:p w14:paraId="5EB78899" w14:textId="77777777" w:rsidR="0042308F" w:rsidRPr="00677AB0" w:rsidRDefault="0042308F" w:rsidP="0042308F">
      <w:pPr>
        <w:pStyle w:val="NoSpacing"/>
        <w:spacing w:line="276" w:lineRule="auto"/>
        <w:jc w:val="both"/>
        <w:rPr>
          <w:rFonts w:ascii="Arial" w:hAnsi="Arial" w:cs="Arial"/>
          <w:sz w:val="20"/>
          <w:lang w:val="hr-HR"/>
        </w:rPr>
      </w:pPr>
      <w:r w:rsidRPr="00677AB0">
        <w:rPr>
          <w:rFonts w:ascii="Arial" w:hAnsi="Arial" w:cs="Arial"/>
          <w:sz w:val="20"/>
          <w:szCs w:val="20"/>
          <w:lang w:val="hr-HR"/>
        </w:rPr>
        <w:lastRenderedPageBreak/>
        <w:t xml:space="preserve">Slika 7. Valutna struktura ukupnog duga Federacije BiH prema stanju na dan </w:t>
      </w:r>
      <w:r>
        <w:rPr>
          <w:rFonts w:ascii="Arial" w:hAnsi="Arial" w:cs="Arial"/>
          <w:sz w:val="20"/>
          <w:szCs w:val="20"/>
          <w:lang w:val="hr-HR"/>
        </w:rPr>
        <w:t>31. 12. 2023.</w:t>
      </w:r>
      <w:r w:rsidRPr="00677AB0">
        <w:rPr>
          <w:rFonts w:ascii="Arial" w:hAnsi="Arial" w:cs="Arial"/>
          <w:sz w:val="20"/>
          <w:szCs w:val="20"/>
          <w:lang w:val="hr-HR"/>
        </w:rPr>
        <w:t>, prije i poslije dekompozicije SDR-a.</w:t>
      </w:r>
    </w:p>
    <w:p w14:paraId="42002CE0" w14:textId="77777777" w:rsidR="0042308F" w:rsidRPr="00677AB0" w:rsidRDefault="0042308F" w:rsidP="0042308F">
      <w:pPr>
        <w:pStyle w:val="NoSpacing"/>
        <w:spacing w:line="276" w:lineRule="auto"/>
        <w:jc w:val="center"/>
        <w:rPr>
          <w:rFonts w:ascii="Arial" w:hAnsi="Arial" w:cs="Arial"/>
          <w:szCs w:val="24"/>
          <w:lang w:val="hr-HR"/>
        </w:rPr>
      </w:pPr>
      <w:r w:rsidRPr="00677AB0">
        <w:rPr>
          <w:noProof/>
          <w:lang w:val="hr-HR" w:eastAsia="hr-HR"/>
        </w:rPr>
        <w:drawing>
          <wp:inline distT="0" distB="0" distL="0" distR="0" wp14:anchorId="1FE4512E" wp14:editId="0E1C2AEC">
            <wp:extent cx="2903220" cy="1787525"/>
            <wp:effectExtent l="0" t="0" r="11430" b="3175"/>
            <wp:docPr id="2" name="Chart 2">
              <a:extLst xmlns:a="http://schemas.openxmlformats.org/drawingml/2006/main">
                <a:ext uri="{FF2B5EF4-FFF2-40B4-BE49-F238E27FC236}">
                  <a16:creationId xmlns:a16="http://schemas.microsoft.com/office/drawing/2014/main" id="{371783FE-65F0-45AB-87F7-9BE275C087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77AB0">
        <w:rPr>
          <w:noProof/>
          <w:lang w:val="hr-HR" w:eastAsia="hr-HR"/>
        </w:rPr>
        <w:drawing>
          <wp:inline distT="0" distB="0" distL="0" distR="0" wp14:anchorId="66BB271A" wp14:editId="14B9C53B">
            <wp:extent cx="2791480" cy="1787525"/>
            <wp:effectExtent l="0" t="0" r="8890" b="3175"/>
            <wp:docPr id="3" name="Chart 3">
              <a:extLst xmlns:a="http://schemas.openxmlformats.org/drawingml/2006/main">
                <a:ext uri="{FF2B5EF4-FFF2-40B4-BE49-F238E27FC236}">
                  <a16:creationId xmlns:a16="http://schemas.microsoft.com/office/drawing/2014/main" id="{63981D29-C96E-4292-86D8-F1F4D5922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C6584E" w14:textId="77777777" w:rsidR="0042308F" w:rsidRPr="00677AB0" w:rsidRDefault="0042308F" w:rsidP="0042308F">
      <w:pPr>
        <w:pStyle w:val="NoSpacing"/>
        <w:spacing w:line="276" w:lineRule="auto"/>
        <w:jc w:val="both"/>
        <w:rPr>
          <w:rFonts w:ascii="Arial" w:hAnsi="Arial" w:cs="Arial"/>
          <w:sz w:val="24"/>
          <w:szCs w:val="24"/>
          <w:lang w:val="hr-HR"/>
        </w:rPr>
      </w:pPr>
    </w:p>
    <w:p w14:paraId="23367464" w14:textId="77777777" w:rsidR="0042308F" w:rsidRDefault="0042308F" w:rsidP="00F674D4">
      <w:pPr>
        <w:pStyle w:val="NoSpacing"/>
        <w:spacing w:line="276" w:lineRule="auto"/>
        <w:jc w:val="both"/>
        <w:rPr>
          <w:rFonts w:ascii="Arial" w:hAnsi="Arial" w:cs="Arial"/>
          <w:bCs/>
          <w:lang w:val="hr-HR"/>
        </w:rPr>
      </w:pPr>
      <w:r w:rsidRPr="00677AB0">
        <w:rPr>
          <w:rFonts w:ascii="Arial" w:hAnsi="Arial" w:cs="Arial"/>
          <w:bCs/>
          <w:lang w:val="hr-HR"/>
        </w:rPr>
        <w:t xml:space="preserve">Valutni rizik </w:t>
      </w:r>
      <w:r>
        <w:rPr>
          <w:rFonts w:ascii="Arial" w:hAnsi="Arial" w:cs="Arial"/>
          <w:bCs/>
          <w:lang w:val="hr-HR"/>
        </w:rPr>
        <w:t>portfelja</w:t>
      </w:r>
      <w:r w:rsidRPr="00677AB0">
        <w:rPr>
          <w:rFonts w:ascii="Arial" w:hAnsi="Arial" w:cs="Arial"/>
          <w:bCs/>
          <w:lang w:val="hr-HR"/>
        </w:rPr>
        <w:t xml:space="preserve"> vanjskog duga Federacije BiH je relativno velik. Nešto preko 27% vanjskog duga je osjetljivo na promjene deviznih </w:t>
      </w:r>
      <w:r w:rsidR="00D40F05">
        <w:rPr>
          <w:rFonts w:ascii="Arial" w:hAnsi="Arial" w:cs="Arial"/>
          <w:bCs/>
          <w:lang w:val="hr-HR"/>
        </w:rPr>
        <w:t>tečajeva</w:t>
      </w:r>
      <w:r w:rsidRPr="00677AB0">
        <w:rPr>
          <w:rFonts w:ascii="Arial" w:hAnsi="Arial" w:cs="Arial"/>
          <w:bCs/>
          <w:lang w:val="hr-HR"/>
        </w:rPr>
        <w:t xml:space="preserve"> uzimajući u obzir njegovu valutnu strukturu (EUR – 57,27%, SDR – 17,45% i USD – 9,78%), u kojoj, nakon dekompozicije SDR-a, u</w:t>
      </w:r>
      <w:r w:rsidR="00D40F05">
        <w:rPr>
          <w:rFonts w:ascii="Arial" w:hAnsi="Arial" w:cs="Arial"/>
          <w:bCs/>
          <w:lang w:val="hr-HR"/>
        </w:rPr>
        <w:t>djel</w:t>
      </w:r>
      <w:r w:rsidRPr="00677AB0">
        <w:rPr>
          <w:rFonts w:ascii="Arial" w:hAnsi="Arial" w:cs="Arial"/>
          <w:bCs/>
          <w:lang w:val="hr-HR"/>
        </w:rPr>
        <w:t xml:space="preserve"> EUR valute u ukupnom vanjskom dugu iznosi 62,38%.</w:t>
      </w:r>
    </w:p>
    <w:p w14:paraId="7B1BE1D0" w14:textId="77777777" w:rsidR="00935B9D" w:rsidRDefault="00935B9D" w:rsidP="00F674D4">
      <w:pPr>
        <w:pStyle w:val="NoSpacing"/>
        <w:spacing w:line="276" w:lineRule="auto"/>
        <w:jc w:val="both"/>
        <w:rPr>
          <w:rFonts w:ascii="Arial" w:hAnsi="Arial" w:cs="Arial"/>
          <w:bCs/>
          <w:lang w:val="hr-HR"/>
        </w:rPr>
      </w:pPr>
    </w:p>
    <w:p w14:paraId="77B2DF52" w14:textId="77777777" w:rsidR="00F674D4" w:rsidRPr="00F674D4" w:rsidRDefault="00F674D4" w:rsidP="00F674D4">
      <w:pPr>
        <w:pStyle w:val="NoSpacing"/>
        <w:spacing w:line="276" w:lineRule="auto"/>
        <w:jc w:val="both"/>
        <w:rPr>
          <w:rFonts w:ascii="Arial" w:hAnsi="Arial" w:cs="Arial"/>
          <w:sz w:val="24"/>
          <w:szCs w:val="24"/>
          <w:lang w:val="hr-HR"/>
        </w:rPr>
      </w:pPr>
    </w:p>
    <w:p w14:paraId="242E493F" w14:textId="77777777" w:rsidR="0042308F" w:rsidRPr="00677AB0" w:rsidRDefault="0042308F" w:rsidP="0042308F">
      <w:pPr>
        <w:pStyle w:val="Heading1"/>
        <w:numPr>
          <w:ilvl w:val="0"/>
          <w:numId w:val="1"/>
        </w:numPr>
        <w:spacing w:before="0"/>
        <w:ind w:left="567" w:hanging="425"/>
        <w:rPr>
          <w:rFonts w:ascii="Arial" w:hAnsi="Arial" w:cs="Arial"/>
          <w:b w:val="0"/>
          <w:color w:val="auto"/>
        </w:rPr>
      </w:pPr>
      <w:bookmarkStart w:id="101" w:name="_Toc172282249"/>
      <w:r w:rsidRPr="00677AB0">
        <w:rPr>
          <w:rFonts w:ascii="Arial" w:hAnsi="Arial" w:cs="Arial"/>
          <w:b w:val="0"/>
          <w:color w:val="auto"/>
        </w:rPr>
        <w:t>MAKROEKONOMSKI OKVIR</w:t>
      </w:r>
      <w:bookmarkEnd w:id="101"/>
      <w:r w:rsidRPr="00677AB0">
        <w:rPr>
          <w:rFonts w:ascii="Arial" w:hAnsi="Arial" w:cs="Arial"/>
          <w:b w:val="0"/>
          <w:color w:val="auto"/>
        </w:rPr>
        <w:t xml:space="preserve"> </w:t>
      </w:r>
    </w:p>
    <w:p w14:paraId="1EBCC47D" w14:textId="77777777" w:rsidR="0042308F" w:rsidRPr="00677AB0" w:rsidRDefault="0042308F" w:rsidP="0042308F">
      <w:pPr>
        <w:pStyle w:val="NoSpacing"/>
        <w:rPr>
          <w:rFonts w:ascii="Arial" w:hAnsi="Arial" w:cs="Arial"/>
          <w:color w:val="538135" w:themeColor="accent6" w:themeShade="BF"/>
          <w:lang w:val="hr-HR"/>
        </w:rPr>
      </w:pPr>
    </w:p>
    <w:p w14:paraId="4ACAB7A4" w14:textId="77777777" w:rsidR="0042308F" w:rsidRPr="00677AB0" w:rsidRDefault="0042308F" w:rsidP="0042308F">
      <w:pPr>
        <w:ind w:firstLine="420"/>
        <w:jc w:val="both"/>
        <w:rPr>
          <w:rFonts w:ascii="Arial" w:hAnsi="Arial" w:cs="Arial"/>
        </w:rPr>
      </w:pPr>
      <w:r w:rsidRPr="00677AB0">
        <w:rPr>
          <w:rFonts w:ascii="Arial" w:hAnsi="Arial" w:cs="Arial"/>
        </w:rPr>
        <w:t>Globalna ekonomska aktivnost u 2023. godini pokazala se otpornijom no što se prvobitno očekivalo, posebno u prvom dijelu godine. Međutim, uslijed složene geopolitičke situacije i no</w:t>
      </w:r>
      <w:r w:rsidRPr="00677AB0">
        <w:rPr>
          <w:rFonts w:ascii="Arial" w:hAnsi="Arial" w:cs="Arial"/>
        </w:rPr>
        <w:lastRenderedPageBreak/>
        <w:t>vih ekonomskih izazova, znakovi usporavanja globalne ekonomske aktivnosti postali su izrazitiji u drugom dijelu godine. Također, slabljenje inflatornih pritisaka brže od očekivanog obilježilo je globalnu ekonomiju u 2023. godini. Globalni rast u 2023. g</w:t>
      </w:r>
      <w:r w:rsidR="00D40F05">
        <w:rPr>
          <w:rFonts w:ascii="Arial" w:hAnsi="Arial" w:cs="Arial"/>
        </w:rPr>
        <w:t>odini procijenjen je na 3,1%, s</w:t>
      </w:r>
      <w:r w:rsidRPr="00677AB0">
        <w:rPr>
          <w:rFonts w:ascii="Arial" w:hAnsi="Arial" w:cs="Arial"/>
        </w:rPr>
        <w:t xml:space="preserve"> projekcijama 3,1% i 3,2% u 2024. i 2025. godini, respektivno. </w:t>
      </w:r>
    </w:p>
    <w:p w14:paraId="5DF3EC50" w14:textId="77777777" w:rsidR="0042308F" w:rsidRPr="00677AB0" w:rsidRDefault="0042308F" w:rsidP="0042308F">
      <w:pPr>
        <w:ind w:firstLine="420"/>
        <w:jc w:val="both"/>
        <w:rPr>
          <w:rFonts w:ascii="Arial" w:hAnsi="Arial" w:cs="Arial"/>
        </w:rPr>
      </w:pPr>
      <w:r w:rsidRPr="00677AB0">
        <w:rPr>
          <w:rFonts w:ascii="Arial" w:hAnsi="Arial" w:cs="Arial"/>
        </w:rPr>
        <w:t xml:space="preserve">Prema izvješću Svjetske banke iz proljeća 2024. godine zemlje Zapadnog Balkana su u 2023. godini ostvarile ekonomski rast od 2,6% što je blago usporavanje u odnosu na ostvareni rast od 3,4% iz 2022. godine  </w:t>
      </w:r>
    </w:p>
    <w:p w14:paraId="71BD9BD1" w14:textId="77777777" w:rsidR="0042308F" w:rsidRPr="00677AB0" w:rsidRDefault="0042308F" w:rsidP="0042308F">
      <w:pPr>
        <w:spacing w:after="0"/>
        <w:jc w:val="center"/>
        <w:rPr>
          <w:rFonts w:ascii="Arial" w:hAnsi="Arial" w:cs="Arial"/>
          <w:sz w:val="20"/>
          <w:szCs w:val="20"/>
        </w:rPr>
      </w:pPr>
      <w:r w:rsidRPr="00677AB0">
        <w:rPr>
          <w:rFonts w:ascii="Arial" w:hAnsi="Arial" w:cs="Arial"/>
          <w:sz w:val="20"/>
          <w:szCs w:val="20"/>
        </w:rPr>
        <w:t>Pregled rasta realnog BDP-a u zemljama Zapadnog Balkana</w:t>
      </w:r>
    </w:p>
    <w:tbl>
      <w:tblPr>
        <w:tblStyle w:val="GridTable4-Accent111"/>
        <w:tblW w:w="0" w:type="auto"/>
        <w:tblLayout w:type="fixed"/>
        <w:tblLook w:val="04A0" w:firstRow="1" w:lastRow="0" w:firstColumn="1" w:lastColumn="0" w:noHBand="0" w:noVBand="1"/>
      </w:tblPr>
      <w:tblGrid>
        <w:gridCol w:w="3815"/>
        <w:gridCol w:w="1369"/>
        <w:gridCol w:w="1292"/>
        <w:gridCol w:w="1292"/>
        <w:gridCol w:w="1292"/>
      </w:tblGrid>
      <w:tr w:rsidR="0096172C" w:rsidRPr="0096172C" w14:paraId="71FB3A8D" w14:textId="77777777" w:rsidTr="006D49E9">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815" w:type="dxa"/>
            <w:noWrap/>
            <w:hideMark/>
          </w:tcPr>
          <w:p w14:paraId="120F8A34" w14:textId="77777777" w:rsidR="0096172C" w:rsidRPr="0096172C" w:rsidRDefault="0096172C" w:rsidP="006D49E9">
            <w:pPr>
              <w:spacing w:after="0"/>
              <w:jc w:val="center"/>
              <w:rPr>
                <w:rFonts w:ascii="Arial Narrow" w:eastAsia="Times New Roman" w:hAnsi="Arial Narrow" w:cs="Calibri"/>
                <w:color w:val="000000"/>
              </w:rPr>
            </w:pPr>
            <w:r w:rsidRPr="0096172C">
              <w:rPr>
                <w:rFonts w:ascii="Arial Narrow" w:eastAsia="Times New Roman" w:hAnsi="Arial Narrow" w:cs="Calibri"/>
                <w:color w:val="000000"/>
              </w:rPr>
              <w:t>Projekcije</w:t>
            </w:r>
          </w:p>
        </w:tc>
        <w:tc>
          <w:tcPr>
            <w:tcW w:w="1369" w:type="dxa"/>
          </w:tcPr>
          <w:p w14:paraId="7935A84E" w14:textId="77777777" w:rsidR="0096172C" w:rsidRPr="0096172C" w:rsidRDefault="0096172C" w:rsidP="006D49E9">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2023e</w:t>
            </w:r>
          </w:p>
        </w:tc>
        <w:tc>
          <w:tcPr>
            <w:tcW w:w="1292" w:type="dxa"/>
          </w:tcPr>
          <w:p w14:paraId="1A86BA1D" w14:textId="77777777" w:rsidR="0096172C" w:rsidRPr="0096172C" w:rsidRDefault="0096172C" w:rsidP="006D49E9">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2024f</w:t>
            </w:r>
          </w:p>
        </w:tc>
        <w:tc>
          <w:tcPr>
            <w:tcW w:w="1292" w:type="dxa"/>
          </w:tcPr>
          <w:p w14:paraId="3D9EB517" w14:textId="77777777" w:rsidR="0096172C" w:rsidRPr="0096172C" w:rsidRDefault="0096172C" w:rsidP="006D49E9">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2025f</w:t>
            </w:r>
          </w:p>
        </w:tc>
        <w:tc>
          <w:tcPr>
            <w:tcW w:w="1292" w:type="dxa"/>
            <w:noWrap/>
          </w:tcPr>
          <w:p w14:paraId="0C9602EF" w14:textId="77777777" w:rsidR="0096172C" w:rsidRPr="0096172C" w:rsidRDefault="0096172C" w:rsidP="006D49E9">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2026f</w:t>
            </w:r>
          </w:p>
        </w:tc>
      </w:tr>
      <w:tr w:rsidR="0096172C" w:rsidRPr="0096172C" w14:paraId="1FEE260B" w14:textId="77777777" w:rsidTr="006D49E9">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4E02281C" w14:textId="77777777" w:rsidR="0096172C" w:rsidRPr="0096172C" w:rsidRDefault="0096172C" w:rsidP="006D49E9">
            <w:pPr>
              <w:spacing w:after="0"/>
              <w:rPr>
                <w:rFonts w:ascii="Arial Narrow" w:eastAsia="Times New Roman" w:hAnsi="Arial Narrow" w:cs="Calibri"/>
                <w:color w:val="000000"/>
              </w:rPr>
            </w:pPr>
            <w:r w:rsidRPr="0096172C">
              <w:rPr>
                <w:rFonts w:ascii="Arial Narrow" w:eastAsia="Times New Roman" w:hAnsi="Arial Narrow" w:cs="Calibri"/>
                <w:color w:val="000000"/>
              </w:rPr>
              <w:t>Albanija</w:t>
            </w:r>
          </w:p>
        </w:tc>
        <w:tc>
          <w:tcPr>
            <w:tcW w:w="1369" w:type="dxa"/>
          </w:tcPr>
          <w:p w14:paraId="43C9A1CC"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3,3</w:t>
            </w:r>
          </w:p>
        </w:tc>
        <w:tc>
          <w:tcPr>
            <w:tcW w:w="1292" w:type="dxa"/>
          </w:tcPr>
          <w:p w14:paraId="2950F0F8"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3,3</w:t>
            </w:r>
          </w:p>
        </w:tc>
        <w:tc>
          <w:tcPr>
            <w:tcW w:w="1292" w:type="dxa"/>
          </w:tcPr>
          <w:p w14:paraId="2139161D"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3,4</w:t>
            </w:r>
          </w:p>
        </w:tc>
        <w:tc>
          <w:tcPr>
            <w:tcW w:w="1292" w:type="dxa"/>
            <w:noWrap/>
          </w:tcPr>
          <w:p w14:paraId="26121CF8"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3,5</w:t>
            </w:r>
          </w:p>
        </w:tc>
      </w:tr>
      <w:tr w:rsidR="0096172C" w:rsidRPr="0096172C" w14:paraId="357FD259" w14:textId="77777777" w:rsidTr="006D49E9">
        <w:trPr>
          <w:trHeight w:val="20"/>
        </w:trPr>
        <w:tc>
          <w:tcPr>
            <w:cnfStyle w:val="001000000000" w:firstRow="0" w:lastRow="0" w:firstColumn="1" w:lastColumn="0" w:oddVBand="0" w:evenVBand="0" w:oddHBand="0" w:evenHBand="0" w:firstRowFirstColumn="0" w:firstRowLastColumn="0" w:lastRowFirstColumn="0" w:lastRowLastColumn="0"/>
            <w:tcW w:w="3815" w:type="dxa"/>
            <w:noWrap/>
            <w:hideMark/>
          </w:tcPr>
          <w:p w14:paraId="0E364692" w14:textId="77777777" w:rsidR="0096172C" w:rsidRPr="0096172C" w:rsidRDefault="0096172C" w:rsidP="006D49E9">
            <w:pPr>
              <w:spacing w:after="0"/>
              <w:rPr>
                <w:rFonts w:ascii="Arial Narrow" w:eastAsia="Times New Roman" w:hAnsi="Arial Narrow" w:cs="Calibri"/>
                <w:color w:val="000000"/>
              </w:rPr>
            </w:pPr>
            <w:r w:rsidRPr="0096172C">
              <w:rPr>
                <w:rFonts w:ascii="Arial Narrow" w:eastAsia="Times New Roman" w:hAnsi="Arial Narrow" w:cs="Calibri"/>
                <w:color w:val="000000"/>
              </w:rPr>
              <w:t>BiH</w:t>
            </w:r>
          </w:p>
        </w:tc>
        <w:tc>
          <w:tcPr>
            <w:tcW w:w="1369" w:type="dxa"/>
          </w:tcPr>
          <w:p w14:paraId="533E08F5"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1,9</w:t>
            </w:r>
          </w:p>
        </w:tc>
        <w:tc>
          <w:tcPr>
            <w:tcW w:w="1292" w:type="dxa"/>
          </w:tcPr>
          <w:p w14:paraId="0DEA8882"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2,6</w:t>
            </w:r>
          </w:p>
        </w:tc>
        <w:tc>
          <w:tcPr>
            <w:tcW w:w="1292" w:type="dxa"/>
          </w:tcPr>
          <w:p w14:paraId="79838D1C"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3,3</w:t>
            </w:r>
          </w:p>
        </w:tc>
        <w:tc>
          <w:tcPr>
            <w:tcW w:w="1292" w:type="dxa"/>
            <w:noWrap/>
          </w:tcPr>
          <w:p w14:paraId="46C9599E"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4,0</w:t>
            </w:r>
          </w:p>
        </w:tc>
      </w:tr>
      <w:tr w:rsidR="0096172C" w:rsidRPr="0096172C" w14:paraId="5941E5AF" w14:textId="77777777" w:rsidTr="006D49E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15" w:type="dxa"/>
            <w:noWrap/>
            <w:hideMark/>
          </w:tcPr>
          <w:p w14:paraId="03B572E8" w14:textId="77777777" w:rsidR="0096172C" w:rsidRPr="0096172C" w:rsidRDefault="0096172C" w:rsidP="006D49E9">
            <w:pPr>
              <w:spacing w:after="0"/>
              <w:rPr>
                <w:rFonts w:ascii="Arial Narrow" w:eastAsia="Times New Roman" w:hAnsi="Arial Narrow" w:cs="Calibri"/>
                <w:color w:val="000000"/>
              </w:rPr>
            </w:pPr>
            <w:r w:rsidRPr="0096172C">
              <w:rPr>
                <w:rFonts w:ascii="Arial Narrow" w:eastAsia="Times New Roman" w:hAnsi="Arial Narrow" w:cs="Calibri"/>
                <w:color w:val="000000"/>
              </w:rPr>
              <w:t>Kosovo</w:t>
            </w:r>
          </w:p>
        </w:tc>
        <w:tc>
          <w:tcPr>
            <w:tcW w:w="1369" w:type="dxa"/>
          </w:tcPr>
          <w:p w14:paraId="6305E833"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3,1</w:t>
            </w:r>
          </w:p>
        </w:tc>
        <w:tc>
          <w:tcPr>
            <w:tcW w:w="1292" w:type="dxa"/>
          </w:tcPr>
          <w:p w14:paraId="74A9D606"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3,7</w:t>
            </w:r>
          </w:p>
        </w:tc>
        <w:tc>
          <w:tcPr>
            <w:tcW w:w="1292" w:type="dxa"/>
          </w:tcPr>
          <w:p w14:paraId="32849ACB"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3,9</w:t>
            </w:r>
          </w:p>
        </w:tc>
        <w:tc>
          <w:tcPr>
            <w:tcW w:w="1292" w:type="dxa"/>
            <w:noWrap/>
          </w:tcPr>
          <w:p w14:paraId="243325E7"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3,9</w:t>
            </w:r>
          </w:p>
        </w:tc>
      </w:tr>
      <w:tr w:rsidR="0096172C" w:rsidRPr="0096172C" w14:paraId="3EDD5C9A" w14:textId="77777777" w:rsidTr="006D49E9">
        <w:trPr>
          <w:trHeight w:val="20"/>
        </w:trPr>
        <w:tc>
          <w:tcPr>
            <w:cnfStyle w:val="001000000000" w:firstRow="0" w:lastRow="0" w:firstColumn="1" w:lastColumn="0" w:oddVBand="0" w:evenVBand="0" w:oddHBand="0" w:evenHBand="0" w:firstRowFirstColumn="0" w:firstRowLastColumn="0" w:lastRowFirstColumn="0" w:lastRowLastColumn="0"/>
            <w:tcW w:w="3815" w:type="dxa"/>
            <w:noWrap/>
            <w:hideMark/>
          </w:tcPr>
          <w:p w14:paraId="50155173" w14:textId="77777777" w:rsidR="0096172C" w:rsidRPr="0096172C" w:rsidRDefault="0096172C" w:rsidP="006D49E9">
            <w:pPr>
              <w:spacing w:after="0"/>
              <w:rPr>
                <w:rFonts w:ascii="Arial Narrow" w:eastAsia="Times New Roman" w:hAnsi="Arial Narrow" w:cs="Calibri"/>
                <w:color w:val="000000"/>
              </w:rPr>
            </w:pPr>
            <w:r w:rsidRPr="0096172C">
              <w:rPr>
                <w:rFonts w:ascii="Arial Narrow" w:eastAsia="Times New Roman" w:hAnsi="Arial Narrow" w:cs="Calibri"/>
                <w:color w:val="000000"/>
              </w:rPr>
              <w:t>Crna Gora</w:t>
            </w:r>
          </w:p>
        </w:tc>
        <w:tc>
          <w:tcPr>
            <w:tcW w:w="1369" w:type="dxa"/>
          </w:tcPr>
          <w:p w14:paraId="5CE291AD"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6,0</w:t>
            </w:r>
          </w:p>
        </w:tc>
        <w:tc>
          <w:tcPr>
            <w:tcW w:w="1292" w:type="dxa"/>
          </w:tcPr>
          <w:p w14:paraId="7AFB7F13"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3,4</w:t>
            </w:r>
          </w:p>
        </w:tc>
        <w:tc>
          <w:tcPr>
            <w:tcW w:w="1292" w:type="dxa"/>
          </w:tcPr>
          <w:p w14:paraId="1D46E4F4"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2,8</w:t>
            </w:r>
          </w:p>
        </w:tc>
        <w:tc>
          <w:tcPr>
            <w:tcW w:w="1292" w:type="dxa"/>
            <w:noWrap/>
          </w:tcPr>
          <w:p w14:paraId="43CA3198"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3,0</w:t>
            </w:r>
          </w:p>
        </w:tc>
      </w:tr>
      <w:tr w:rsidR="0096172C" w:rsidRPr="0096172C" w14:paraId="54CCD376" w14:textId="77777777" w:rsidTr="006D49E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15" w:type="dxa"/>
            <w:noWrap/>
            <w:hideMark/>
          </w:tcPr>
          <w:p w14:paraId="4D364541" w14:textId="77777777" w:rsidR="0096172C" w:rsidRPr="0096172C" w:rsidRDefault="0096172C" w:rsidP="006D49E9">
            <w:pPr>
              <w:spacing w:after="0"/>
              <w:rPr>
                <w:rFonts w:ascii="Arial Narrow" w:eastAsia="Times New Roman" w:hAnsi="Arial Narrow" w:cs="Calibri"/>
                <w:color w:val="000000"/>
              </w:rPr>
            </w:pPr>
            <w:r w:rsidRPr="0096172C">
              <w:rPr>
                <w:rFonts w:ascii="Arial Narrow" w:eastAsia="Times New Roman" w:hAnsi="Arial Narrow" w:cs="Calibri"/>
                <w:color w:val="000000"/>
              </w:rPr>
              <w:t>Sjeverna Makedonija</w:t>
            </w:r>
          </w:p>
        </w:tc>
        <w:tc>
          <w:tcPr>
            <w:tcW w:w="1369" w:type="dxa"/>
          </w:tcPr>
          <w:p w14:paraId="360BA921"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1,0</w:t>
            </w:r>
          </w:p>
        </w:tc>
        <w:tc>
          <w:tcPr>
            <w:tcW w:w="1292" w:type="dxa"/>
          </w:tcPr>
          <w:p w14:paraId="78641AA5"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2,5</w:t>
            </w:r>
          </w:p>
        </w:tc>
        <w:tc>
          <w:tcPr>
            <w:tcW w:w="1292" w:type="dxa"/>
          </w:tcPr>
          <w:p w14:paraId="335F2CF8"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2,9</w:t>
            </w:r>
          </w:p>
        </w:tc>
        <w:tc>
          <w:tcPr>
            <w:tcW w:w="1292" w:type="dxa"/>
            <w:noWrap/>
          </w:tcPr>
          <w:p w14:paraId="654CF7D7" w14:textId="77777777" w:rsidR="0096172C" w:rsidRPr="0096172C" w:rsidRDefault="0096172C" w:rsidP="006D49E9">
            <w:pPr>
              <w:spacing w:after="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3,0</w:t>
            </w:r>
          </w:p>
        </w:tc>
      </w:tr>
      <w:tr w:rsidR="0096172C" w:rsidRPr="0096172C" w14:paraId="001EF952" w14:textId="77777777" w:rsidTr="006D49E9">
        <w:trPr>
          <w:trHeight w:val="20"/>
        </w:trPr>
        <w:tc>
          <w:tcPr>
            <w:cnfStyle w:val="001000000000" w:firstRow="0" w:lastRow="0" w:firstColumn="1" w:lastColumn="0" w:oddVBand="0" w:evenVBand="0" w:oddHBand="0" w:evenHBand="0" w:firstRowFirstColumn="0" w:firstRowLastColumn="0" w:lastRowFirstColumn="0" w:lastRowLastColumn="0"/>
            <w:tcW w:w="3815" w:type="dxa"/>
            <w:noWrap/>
            <w:hideMark/>
          </w:tcPr>
          <w:p w14:paraId="50D94655" w14:textId="77777777" w:rsidR="0096172C" w:rsidRPr="0096172C" w:rsidRDefault="0096172C" w:rsidP="006D49E9">
            <w:pPr>
              <w:spacing w:after="0"/>
              <w:rPr>
                <w:rFonts w:ascii="Arial Narrow" w:eastAsia="Times New Roman" w:hAnsi="Arial Narrow" w:cs="Calibri"/>
                <w:color w:val="000000"/>
              </w:rPr>
            </w:pPr>
            <w:r w:rsidRPr="0096172C">
              <w:rPr>
                <w:rFonts w:ascii="Arial Narrow" w:eastAsia="Times New Roman" w:hAnsi="Arial Narrow" w:cs="Calibri"/>
                <w:color w:val="000000"/>
              </w:rPr>
              <w:t>Srbija</w:t>
            </w:r>
          </w:p>
        </w:tc>
        <w:tc>
          <w:tcPr>
            <w:tcW w:w="1369" w:type="dxa"/>
          </w:tcPr>
          <w:p w14:paraId="3A6C1D5F"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2,5</w:t>
            </w:r>
          </w:p>
        </w:tc>
        <w:tc>
          <w:tcPr>
            <w:tcW w:w="1292" w:type="dxa"/>
          </w:tcPr>
          <w:p w14:paraId="60AF8DF7"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3,5</w:t>
            </w:r>
          </w:p>
        </w:tc>
        <w:tc>
          <w:tcPr>
            <w:tcW w:w="1292" w:type="dxa"/>
          </w:tcPr>
          <w:p w14:paraId="49E62F5F"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3,8</w:t>
            </w:r>
          </w:p>
        </w:tc>
        <w:tc>
          <w:tcPr>
            <w:tcW w:w="1292" w:type="dxa"/>
            <w:noWrap/>
          </w:tcPr>
          <w:p w14:paraId="1EB425E8" w14:textId="77777777" w:rsidR="0096172C" w:rsidRPr="0096172C" w:rsidRDefault="0096172C" w:rsidP="006D49E9">
            <w:pPr>
              <w:spacing w:after="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sidRPr="0096172C">
              <w:rPr>
                <w:rFonts w:ascii="Arial Narrow" w:eastAsia="Times New Roman" w:hAnsi="Arial Narrow" w:cs="Calibri"/>
                <w:color w:val="000000"/>
              </w:rPr>
              <w:t>4,0</w:t>
            </w:r>
          </w:p>
        </w:tc>
      </w:tr>
    </w:tbl>
    <w:p w14:paraId="3F4F6F91" w14:textId="77777777" w:rsidR="0042308F" w:rsidRPr="00677AB0" w:rsidRDefault="0042308F" w:rsidP="0042308F">
      <w:pPr>
        <w:jc w:val="center"/>
        <w:rPr>
          <w:rFonts w:ascii="Arial" w:hAnsi="Arial" w:cs="Arial"/>
          <w:sz w:val="18"/>
        </w:rPr>
      </w:pPr>
      <w:r w:rsidRPr="00677AB0">
        <w:rPr>
          <w:rFonts w:ascii="Arial" w:hAnsi="Arial" w:cs="Arial"/>
          <w:sz w:val="18"/>
        </w:rPr>
        <w:t>Izvor: Svjetska banka, Redovni ekonomski izvještaj, proljeće 2024</w:t>
      </w:r>
    </w:p>
    <w:p w14:paraId="6577F108" w14:textId="77777777" w:rsidR="0042308F" w:rsidRPr="00677AB0" w:rsidRDefault="0042308F" w:rsidP="0042308F">
      <w:pPr>
        <w:ind w:firstLine="420"/>
        <w:jc w:val="both"/>
        <w:rPr>
          <w:rFonts w:ascii="Arial" w:hAnsi="Arial" w:cs="Arial"/>
        </w:rPr>
      </w:pPr>
      <w:r w:rsidRPr="00677AB0">
        <w:rPr>
          <w:rFonts w:ascii="Arial" w:hAnsi="Arial" w:cs="Arial"/>
        </w:rPr>
        <w:t xml:space="preserve"> Nakon snažnih inflacijskih udara u 2022. godini</w:t>
      </w:r>
      <w:r w:rsidR="0037268C">
        <w:rPr>
          <w:rFonts w:ascii="Arial" w:hAnsi="Arial" w:cs="Arial"/>
        </w:rPr>
        <w:t>,</w:t>
      </w:r>
      <w:r w:rsidRPr="00677AB0">
        <w:rPr>
          <w:rFonts w:ascii="Arial" w:hAnsi="Arial" w:cs="Arial"/>
        </w:rPr>
        <w:t xml:space="preserve"> a prema izvješ</w:t>
      </w:r>
      <w:r w:rsidR="0037268C">
        <w:rPr>
          <w:rFonts w:ascii="Arial" w:hAnsi="Arial" w:cs="Arial"/>
        </w:rPr>
        <w:t>ć</w:t>
      </w:r>
      <w:r w:rsidRPr="00677AB0">
        <w:rPr>
          <w:rFonts w:ascii="Arial" w:hAnsi="Arial" w:cs="Arial"/>
        </w:rPr>
        <w:t>ima Federalnog zavoda za statistiku</w:t>
      </w:r>
      <w:r w:rsidR="0037268C">
        <w:rPr>
          <w:rFonts w:ascii="Arial" w:hAnsi="Arial" w:cs="Arial"/>
        </w:rPr>
        <w:t>,</w:t>
      </w:r>
      <w:r w:rsidRPr="00677AB0">
        <w:rPr>
          <w:rFonts w:ascii="Arial" w:hAnsi="Arial" w:cs="Arial"/>
        </w:rPr>
        <w:t xml:space="preserve"> inflacija potrošačkih cijena u FBiH bilježi znatno usporavanje. U </w:t>
      </w:r>
      <w:r w:rsidR="00120771">
        <w:rPr>
          <w:rFonts w:ascii="Arial" w:hAnsi="Arial" w:cs="Arial"/>
        </w:rPr>
        <w:t>siječnju</w:t>
      </w:r>
      <w:r w:rsidRPr="00677AB0">
        <w:rPr>
          <w:rFonts w:ascii="Arial" w:hAnsi="Arial" w:cs="Arial"/>
        </w:rPr>
        <w:t xml:space="preserve"> 2023. godine inflacija potrošačkih cijena na godišnj</w:t>
      </w:r>
      <w:r w:rsidR="00120771">
        <w:rPr>
          <w:rFonts w:ascii="Arial" w:hAnsi="Arial" w:cs="Arial"/>
        </w:rPr>
        <w:t xml:space="preserve">oj razini </w:t>
      </w:r>
      <w:r w:rsidRPr="00677AB0">
        <w:rPr>
          <w:rFonts w:ascii="Arial" w:hAnsi="Arial" w:cs="Arial"/>
        </w:rPr>
        <w:t xml:space="preserve">iznosila je </w:t>
      </w:r>
      <w:r w:rsidRPr="00677AB0">
        <w:rPr>
          <w:rFonts w:ascii="Arial" w:hAnsi="Arial" w:cs="Arial"/>
        </w:rPr>
        <w:lastRenderedPageBreak/>
        <w:t xml:space="preserve">14,7%, a u </w:t>
      </w:r>
      <w:r w:rsidR="00120771">
        <w:rPr>
          <w:rFonts w:ascii="Arial" w:hAnsi="Arial" w:cs="Arial"/>
        </w:rPr>
        <w:t>prosincu</w:t>
      </w:r>
      <w:r w:rsidRPr="00677AB0">
        <w:rPr>
          <w:rFonts w:ascii="Arial" w:hAnsi="Arial" w:cs="Arial"/>
        </w:rPr>
        <w:t xml:space="preserve"> iste godine 0,8%. Prosječna godišnja inflacija u Federaciji BiH u 2023. godini iznosila je 5,1% te se </w:t>
      </w:r>
      <w:r w:rsidRPr="00677AB0">
        <w:t xml:space="preserve"> </w:t>
      </w:r>
      <w:r w:rsidRPr="00677AB0">
        <w:rPr>
          <w:rFonts w:ascii="Arial" w:hAnsi="Arial" w:cs="Arial"/>
        </w:rPr>
        <w:t>očekuje daljnje usporavanje inflacije potrošačkih cijena.</w:t>
      </w:r>
    </w:p>
    <w:p w14:paraId="4566A296" w14:textId="77777777" w:rsidR="0042308F" w:rsidRPr="00677AB0" w:rsidRDefault="0042308F" w:rsidP="0042308F">
      <w:pPr>
        <w:ind w:firstLine="420"/>
        <w:jc w:val="both"/>
        <w:rPr>
          <w:rFonts w:ascii="Arial" w:hAnsi="Arial" w:cs="Arial"/>
        </w:rPr>
      </w:pPr>
      <w:r w:rsidRPr="00677AB0">
        <w:rPr>
          <w:rFonts w:ascii="Arial" w:hAnsi="Arial" w:cs="Arial"/>
        </w:rPr>
        <w:t>Srednjoročni izgledi za ekonomije Zapadnog Balkana su pozitivni, pod uvjetom provođenja strukturnih reformi te ubrzanja procesa zelene tranzicije i ulaganja u oblast en</w:t>
      </w:r>
      <w:r w:rsidR="00120771">
        <w:rPr>
          <w:rFonts w:ascii="Arial" w:hAnsi="Arial" w:cs="Arial"/>
        </w:rPr>
        <w:t>ergetske efikasnosti u skladu s</w:t>
      </w:r>
      <w:r w:rsidRPr="00677AB0">
        <w:rPr>
          <w:rFonts w:ascii="Arial" w:hAnsi="Arial" w:cs="Arial"/>
        </w:rPr>
        <w:t xml:space="preserve"> Zelenom agendom za Zapadni Balkan. </w:t>
      </w:r>
    </w:p>
    <w:p w14:paraId="0D7836CD" w14:textId="77777777" w:rsidR="0042308F" w:rsidRPr="00677AB0" w:rsidRDefault="0042308F" w:rsidP="0042308F">
      <w:pPr>
        <w:ind w:firstLine="420"/>
        <w:jc w:val="both"/>
        <w:rPr>
          <w:rFonts w:ascii="Arial" w:hAnsi="Arial" w:cs="Arial"/>
        </w:rPr>
      </w:pPr>
      <w:r w:rsidRPr="00677AB0">
        <w:rPr>
          <w:rFonts w:ascii="Arial" w:hAnsi="Arial" w:cs="Arial"/>
        </w:rPr>
        <w:t>Rast u Bosni i Hercegovini pokazao se viši od očekivanog pa je prema prvim procjenama Agencije za statistiku</w:t>
      </w:r>
      <w:r w:rsidRPr="00677AB0">
        <w:rPr>
          <w:rStyle w:val="FootnoteReference"/>
          <w:rFonts w:ascii="Arial" w:hAnsi="Arial" w:cs="Arial"/>
        </w:rPr>
        <w:footnoteReference w:id="5"/>
      </w:r>
      <w:r w:rsidRPr="00677AB0">
        <w:rPr>
          <w:rFonts w:ascii="Arial" w:hAnsi="Arial" w:cs="Arial"/>
        </w:rPr>
        <w:t>, Bosna i Hercegovina je u 2023. godini ostvarila realni BDP prema rashodovnom pristupu u visini od 38,33 mlrd. KM, odnosno godišnji rast od 1,7.</w:t>
      </w:r>
      <w:r w:rsidRPr="00677AB0">
        <w:rPr>
          <w:rFonts w:ascii="Arial" w:hAnsi="Arial" w:cs="Arial"/>
          <w:color w:val="000000"/>
          <w:sz w:val="23"/>
          <w:szCs w:val="23"/>
        </w:rPr>
        <w:t xml:space="preserve"> </w:t>
      </w:r>
      <w:r w:rsidRPr="00677AB0">
        <w:rPr>
          <w:rFonts w:ascii="Arial" w:hAnsi="Arial" w:cs="Arial"/>
        </w:rPr>
        <w:t>Analiza rashodnih kategorija BDP–a BiH za 2023. godinu ukazuje da je uporište ekonomskog rasta BiH predstavljala državna potrošnja od 1,7% i bruto investicije od 1,2%. Ukupan o</w:t>
      </w:r>
      <w:r w:rsidR="00457D97">
        <w:rPr>
          <w:rFonts w:ascii="Arial" w:hAnsi="Arial" w:cs="Arial"/>
        </w:rPr>
        <w:t>pseg</w:t>
      </w:r>
      <w:r w:rsidRPr="00677AB0">
        <w:rPr>
          <w:rFonts w:ascii="Arial" w:hAnsi="Arial" w:cs="Arial"/>
        </w:rPr>
        <w:t xml:space="preserve"> vanjskotrgovinske razmjene bilježi pad (ukupan izvoz pao je za 3,2%, a uvoz za 2,4%) što je rezultat </w:t>
      </w:r>
      <w:r w:rsidRPr="00677AB0">
        <w:rPr>
          <w:rFonts w:ascii="Arial" w:hAnsi="Arial" w:cs="Arial"/>
        </w:rPr>
        <w:lastRenderedPageBreak/>
        <w:t xml:space="preserve">nepovoljnih geopolitičkih zbivanja, loše pozicije naših najznačajnijih trgovinskih partnera, te posljedično tome i smanjenja inozemne potražnje.  </w:t>
      </w:r>
    </w:p>
    <w:p w14:paraId="57DB15F0" w14:textId="77777777" w:rsidR="0042308F" w:rsidRPr="00677AB0" w:rsidRDefault="0042308F" w:rsidP="0042308F">
      <w:pPr>
        <w:ind w:firstLine="420"/>
        <w:jc w:val="both"/>
        <w:rPr>
          <w:rFonts w:ascii="Arial" w:hAnsi="Arial" w:cs="Arial"/>
        </w:rPr>
      </w:pPr>
      <w:r w:rsidRPr="00677AB0">
        <w:rPr>
          <w:rFonts w:ascii="Arial" w:hAnsi="Arial" w:cs="Arial"/>
        </w:rPr>
        <w:t xml:space="preserve">Daljnje kretanje </w:t>
      </w:r>
      <w:r w:rsidR="00457D97">
        <w:rPr>
          <w:rFonts w:ascii="Arial" w:hAnsi="Arial" w:cs="Arial"/>
        </w:rPr>
        <w:t>gospodarske</w:t>
      </w:r>
      <w:r w:rsidRPr="00677AB0">
        <w:rPr>
          <w:rFonts w:ascii="Arial" w:hAnsi="Arial" w:cs="Arial"/>
        </w:rPr>
        <w:t xml:space="preserve"> aktivnosti u zemlji kao i u okruženju, te </w:t>
      </w:r>
      <w:r w:rsidR="00457D97" w:rsidRPr="00677AB0">
        <w:rPr>
          <w:rFonts w:ascii="Arial" w:hAnsi="Arial" w:cs="Arial"/>
        </w:rPr>
        <w:t>usuglašavanje</w:t>
      </w:r>
      <w:r w:rsidRPr="00677AB0">
        <w:rPr>
          <w:rFonts w:ascii="Arial" w:hAnsi="Arial" w:cs="Arial"/>
        </w:rPr>
        <w:t xml:space="preserve"> zakonske regulative u </w:t>
      </w:r>
      <w:r w:rsidR="00457D97">
        <w:rPr>
          <w:rFonts w:ascii="Arial" w:hAnsi="Arial" w:cs="Arial"/>
        </w:rPr>
        <w:t>oblasti zelene energije u BiH s</w:t>
      </w:r>
      <w:r w:rsidRPr="00677AB0">
        <w:rPr>
          <w:rFonts w:ascii="Arial" w:hAnsi="Arial" w:cs="Arial"/>
        </w:rPr>
        <w:t xml:space="preserve"> važećim propisima zemalja Europske unije, predstavljat će glavnu odrednicu kretanja vanjskotrgovinske razmjene u Bosni i Hercegovini i u Federaciji BiH u narednom srednjoročnom razdoblju. Uz povećanje izvozne tražnje, te proširenje proizvodne baze i podizanja konkurentnosti bosanskohercegovačkih proizvoda moguće je očekivati povećanje izvoza u srednjoročnom </w:t>
      </w:r>
      <w:r w:rsidR="006E2C23">
        <w:rPr>
          <w:rFonts w:ascii="Arial" w:hAnsi="Arial" w:cs="Arial"/>
        </w:rPr>
        <w:t>razdoblju</w:t>
      </w:r>
      <w:r w:rsidRPr="00677AB0">
        <w:rPr>
          <w:rFonts w:ascii="Arial" w:hAnsi="Arial" w:cs="Arial"/>
        </w:rPr>
        <w:t xml:space="preserve">. Sa druge strane, povećanje ekonomske aktivnosti u zemlji te time i domaće tražnje trebalo bi utjecati </w:t>
      </w:r>
      <w:r w:rsidR="006E2C23">
        <w:rPr>
          <w:rFonts w:ascii="Arial" w:hAnsi="Arial" w:cs="Arial"/>
        </w:rPr>
        <w:t xml:space="preserve">na </w:t>
      </w:r>
      <w:r w:rsidRPr="00677AB0">
        <w:rPr>
          <w:rFonts w:ascii="Arial" w:hAnsi="Arial" w:cs="Arial"/>
        </w:rPr>
        <w:t xml:space="preserve">rast uvoza u Bosnu i Hercegovinu i Federaciju BiH. Vrlo bitno je naglasiti i izazove koji se odnose na vanjskotrgovinsku razmjenu u narednom </w:t>
      </w:r>
      <w:r w:rsidR="006E2C23">
        <w:rPr>
          <w:rFonts w:ascii="Arial" w:hAnsi="Arial" w:cs="Arial"/>
        </w:rPr>
        <w:t>razdoblju</w:t>
      </w:r>
      <w:r w:rsidRPr="00677AB0">
        <w:rPr>
          <w:rFonts w:ascii="Arial" w:hAnsi="Arial" w:cs="Arial"/>
        </w:rPr>
        <w:t>, a uključ</w:t>
      </w:r>
      <w:r w:rsidR="00C73F9B">
        <w:rPr>
          <w:rFonts w:ascii="Arial" w:hAnsi="Arial" w:cs="Arial"/>
        </w:rPr>
        <w:t>uju uvođenje CBAM-</w:t>
      </w:r>
      <w:r w:rsidRPr="00677AB0">
        <w:rPr>
          <w:rFonts w:ascii="Arial" w:hAnsi="Arial" w:cs="Arial"/>
        </w:rPr>
        <w:t>a (engl. Carbon Border Adjustment Mechanism), uvozne takse na pojedine proizvode iz zemalja koje nemaju odgovarajuće klimatske politike. Stoga, ukoliko se p</w:t>
      </w:r>
      <w:r w:rsidR="006E2C23">
        <w:rPr>
          <w:rFonts w:ascii="Arial" w:hAnsi="Arial" w:cs="Arial"/>
        </w:rPr>
        <w:t>o</w:t>
      </w:r>
      <w:r w:rsidRPr="00677AB0">
        <w:rPr>
          <w:rFonts w:ascii="Arial" w:hAnsi="Arial" w:cs="Arial"/>
        </w:rPr>
        <w:t xml:space="preserve">duzmu odgovarajuće aktivnosti s ciljem postizanja </w:t>
      </w:r>
      <w:r w:rsidRPr="0099055F">
        <w:rPr>
          <w:rFonts w:ascii="Arial" w:hAnsi="Arial" w:cs="Arial"/>
        </w:rPr>
        <w:t>niskougljičnog</w:t>
      </w:r>
      <w:r w:rsidRPr="00677AB0">
        <w:rPr>
          <w:rFonts w:ascii="Arial" w:hAnsi="Arial" w:cs="Arial"/>
        </w:rPr>
        <w:t xml:space="preserve"> emisij</w:t>
      </w:r>
      <w:r w:rsidRPr="00677AB0">
        <w:rPr>
          <w:rFonts w:ascii="Arial" w:hAnsi="Arial" w:cs="Arial"/>
        </w:rPr>
        <w:lastRenderedPageBreak/>
        <w:t xml:space="preserve">skog razvoja i dekarbonizacije, očekivano je jačanje konkurentske pozicije bosanskohercegovačkih proizvoda na tržištu Europske unije u srednjoročnom </w:t>
      </w:r>
      <w:r w:rsidR="006E2C23">
        <w:rPr>
          <w:rFonts w:ascii="Arial" w:hAnsi="Arial" w:cs="Arial"/>
        </w:rPr>
        <w:t>razdoblju</w:t>
      </w:r>
      <w:r w:rsidRPr="00677AB0">
        <w:rPr>
          <w:rFonts w:ascii="Arial" w:hAnsi="Arial" w:cs="Arial"/>
        </w:rPr>
        <w:t>.</w:t>
      </w:r>
      <w:r w:rsidR="006E2C23">
        <w:rPr>
          <w:rFonts w:ascii="Arial" w:hAnsi="Arial" w:cs="Arial"/>
        </w:rPr>
        <w:t xml:space="preserve"> </w:t>
      </w:r>
    </w:p>
    <w:p w14:paraId="0AE56C43" w14:textId="77777777" w:rsidR="0042308F" w:rsidRPr="00677AB0" w:rsidRDefault="0042308F" w:rsidP="0042308F">
      <w:pPr>
        <w:ind w:firstLine="420"/>
        <w:jc w:val="both"/>
        <w:rPr>
          <w:rFonts w:ascii="Arial" w:hAnsi="Arial" w:cs="Arial"/>
        </w:rPr>
      </w:pPr>
      <w:r w:rsidRPr="00677AB0">
        <w:rPr>
          <w:rFonts w:ascii="Arial" w:hAnsi="Arial" w:cs="Arial"/>
        </w:rPr>
        <w:t xml:space="preserve">Projekcije rasta BDP - a koje je sačinilo Federalno ministarstvo </w:t>
      </w:r>
      <w:r>
        <w:rPr>
          <w:rFonts w:ascii="Arial" w:hAnsi="Arial" w:cs="Arial"/>
        </w:rPr>
        <w:t>financ</w:t>
      </w:r>
      <w:r w:rsidRPr="00677AB0">
        <w:rPr>
          <w:rFonts w:ascii="Arial" w:hAnsi="Arial" w:cs="Arial"/>
        </w:rPr>
        <w:t xml:space="preserve">ija temelje se na projekcijama Direkcije za ekonomsko planiranje pri Vijeću ministara BiH iz </w:t>
      </w:r>
      <w:r w:rsidR="006E2C23">
        <w:rPr>
          <w:rFonts w:ascii="Arial" w:hAnsi="Arial" w:cs="Arial"/>
        </w:rPr>
        <w:t>ožujk</w:t>
      </w:r>
      <w:r w:rsidRPr="00677AB0">
        <w:rPr>
          <w:rFonts w:ascii="Arial" w:hAnsi="Arial" w:cs="Arial"/>
        </w:rPr>
        <w:t xml:space="preserve">a 2024. godine i projekcijama međunarodnih institucija (MMF-a i Svjetske banke iz </w:t>
      </w:r>
      <w:r w:rsidR="006E2C23">
        <w:rPr>
          <w:rFonts w:ascii="Arial" w:hAnsi="Arial" w:cs="Arial"/>
        </w:rPr>
        <w:t>travnja</w:t>
      </w:r>
      <w:r w:rsidRPr="00677AB0">
        <w:rPr>
          <w:rFonts w:ascii="Arial" w:hAnsi="Arial" w:cs="Arial"/>
        </w:rPr>
        <w:t xml:space="preserve">, Europske komisije iz </w:t>
      </w:r>
      <w:r w:rsidR="006E2C23">
        <w:rPr>
          <w:rFonts w:ascii="Arial" w:hAnsi="Arial" w:cs="Arial"/>
        </w:rPr>
        <w:t>veljače 2024. godine</w:t>
      </w:r>
      <w:r w:rsidRPr="00677AB0">
        <w:rPr>
          <w:rFonts w:ascii="Arial" w:hAnsi="Arial" w:cs="Arial"/>
        </w:rPr>
        <w:t>).</w:t>
      </w:r>
    </w:p>
    <w:p w14:paraId="1E76F22D" w14:textId="77777777" w:rsidR="0042308F" w:rsidRPr="00677AB0" w:rsidRDefault="00153015" w:rsidP="0042308F">
      <w:pPr>
        <w:spacing w:after="0"/>
        <w:ind w:firstLine="420"/>
        <w:jc w:val="both"/>
        <w:rPr>
          <w:rFonts w:ascii="Arial" w:hAnsi="Arial" w:cs="Arial"/>
          <w:sz w:val="20"/>
          <w:szCs w:val="20"/>
        </w:rPr>
      </w:pPr>
      <w:r>
        <w:rPr>
          <w:rFonts w:ascii="Arial" w:hAnsi="Arial" w:cs="Arial"/>
          <w:sz w:val="20"/>
          <w:szCs w:val="20"/>
        </w:rPr>
        <w:t>Tablica</w:t>
      </w:r>
      <w:r w:rsidR="0042308F" w:rsidRPr="00677AB0">
        <w:rPr>
          <w:rFonts w:ascii="Arial" w:hAnsi="Arial" w:cs="Arial"/>
          <w:sz w:val="20"/>
          <w:szCs w:val="20"/>
        </w:rPr>
        <w:t xml:space="preserve"> 6. BDP FBiH; procjena za 2023.</w:t>
      </w:r>
      <w:r w:rsidR="006E2C23">
        <w:rPr>
          <w:rFonts w:ascii="Arial" w:hAnsi="Arial" w:cs="Arial"/>
          <w:sz w:val="20"/>
          <w:szCs w:val="20"/>
        </w:rPr>
        <w:t xml:space="preserve"> i projekcije za razdoblje 2024 – 2027. godine</w:t>
      </w:r>
    </w:p>
    <w:tbl>
      <w:tblPr>
        <w:tblStyle w:val="GridTable4-Accent113"/>
        <w:tblW w:w="8530" w:type="dxa"/>
        <w:tblLook w:val="04A0" w:firstRow="1" w:lastRow="0" w:firstColumn="1" w:lastColumn="0" w:noHBand="0" w:noVBand="1"/>
      </w:tblPr>
      <w:tblGrid>
        <w:gridCol w:w="2948"/>
        <w:gridCol w:w="829"/>
        <w:gridCol w:w="952"/>
        <w:gridCol w:w="952"/>
        <w:gridCol w:w="952"/>
        <w:gridCol w:w="952"/>
        <w:gridCol w:w="952"/>
      </w:tblGrid>
      <w:tr w:rsidR="00935B9D" w:rsidRPr="00677AB0" w14:paraId="6D4E895B" w14:textId="77777777" w:rsidTr="00935B9D">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948" w:type="dxa"/>
            <w:noWrap/>
            <w:hideMark/>
          </w:tcPr>
          <w:p w14:paraId="543565CA" w14:textId="77777777" w:rsidR="00935B9D" w:rsidRPr="00677AB0" w:rsidRDefault="00935B9D" w:rsidP="009064F8">
            <w:pPr>
              <w:spacing w:after="0"/>
              <w:rPr>
                <w:rFonts w:ascii="Calibri" w:eastAsia="Times New Roman" w:hAnsi="Calibri" w:cs="Calibri"/>
                <w:color w:val="000000"/>
                <w:lang w:eastAsia="hr-BA"/>
              </w:rPr>
            </w:pPr>
            <w:r w:rsidRPr="00677AB0">
              <w:rPr>
                <w:rFonts w:ascii="Calibri" w:eastAsia="Times New Roman" w:hAnsi="Calibri" w:cs="Calibri"/>
                <w:color w:val="000000"/>
                <w:lang w:eastAsia="hr-BA"/>
              </w:rPr>
              <w:t>Indikator</w:t>
            </w:r>
          </w:p>
        </w:tc>
        <w:tc>
          <w:tcPr>
            <w:tcW w:w="822" w:type="dxa"/>
            <w:noWrap/>
            <w:hideMark/>
          </w:tcPr>
          <w:p w14:paraId="1F8ECE20" w14:textId="77777777" w:rsidR="00935B9D" w:rsidRPr="00677AB0" w:rsidRDefault="00935B9D" w:rsidP="009064F8">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2022</w:t>
            </w:r>
          </w:p>
        </w:tc>
        <w:tc>
          <w:tcPr>
            <w:tcW w:w="952" w:type="dxa"/>
            <w:noWrap/>
            <w:hideMark/>
          </w:tcPr>
          <w:p w14:paraId="44867000" w14:textId="77777777" w:rsidR="00935B9D" w:rsidRPr="00677AB0" w:rsidRDefault="00935B9D" w:rsidP="009064F8">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2023</w:t>
            </w:r>
          </w:p>
        </w:tc>
        <w:tc>
          <w:tcPr>
            <w:tcW w:w="952" w:type="dxa"/>
            <w:noWrap/>
            <w:hideMark/>
          </w:tcPr>
          <w:p w14:paraId="748389B0" w14:textId="77777777" w:rsidR="00935B9D" w:rsidRPr="00677AB0" w:rsidRDefault="00935B9D" w:rsidP="009064F8">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2024</w:t>
            </w:r>
          </w:p>
        </w:tc>
        <w:tc>
          <w:tcPr>
            <w:tcW w:w="952" w:type="dxa"/>
            <w:noWrap/>
            <w:hideMark/>
          </w:tcPr>
          <w:p w14:paraId="75460F08" w14:textId="77777777" w:rsidR="00935B9D" w:rsidRPr="00677AB0" w:rsidRDefault="00935B9D" w:rsidP="009064F8">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2025</w:t>
            </w:r>
          </w:p>
        </w:tc>
        <w:tc>
          <w:tcPr>
            <w:tcW w:w="952" w:type="dxa"/>
            <w:noWrap/>
            <w:hideMark/>
          </w:tcPr>
          <w:p w14:paraId="1BBBADE7" w14:textId="77777777" w:rsidR="00935B9D" w:rsidRPr="00677AB0" w:rsidRDefault="00935B9D" w:rsidP="009064F8">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2026</w:t>
            </w:r>
          </w:p>
        </w:tc>
        <w:tc>
          <w:tcPr>
            <w:tcW w:w="952" w:type="dxa"/>
            <w:noWrap/>
            <w:hideMark/>
          </w:tcPr>
          <w:p w14:paraId="0A0B4479" w14:textId="77777777" w:rsidR="00935B9D" w:rsidRPr="00677AB0" w:rsidRDefault="00935B9D" w:rsidP="009064F8">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2027</w:t>
            </w:r>
          </w:p>
        </w:tc>
      </w:tr>
      <w:tr w:rsidR="00935B9D" w:rsidRPr="00677AB0" w14:paraId="541FB83D" w14:textId="77777777" w:rsidTr="00935B9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948" w:type="dxa"/>
            <w:noWrap/>
            <w:hideMark/>
          </w:tcPr>
          <w:p w14:paraId="78F8591F" w14:textId="77777777" w:rsidR="00935B9D" w:rsidRPr="00677AB0" w:rsidRDefault="00935B9D" w:rsidP="009064F8">
            <w:pPr>
              <w:spacing w:after="0"/>
              <w:rPr>
                <w:rFonts w:ascii="Calibri" w:eastAsia="Times New Roman" w:hAnsi="Calibri" w:cs="Calibri"/>
                <w:color w:val="000000"/>
                <w:lang w:eastAsia="hr-BA"/>
              </w:rPr>
            </w:pPr>
            <w:r w:rsidRPr="00677AB0">
              <w:rPr>
                <w:rFonts w:ascii="Calibri" w:eastAsia="Times New Roman" w:hAnsi="Calibri" w:cs="Calibri"/>
                <w:color w:val="000000"/>
                <w:lang w:eastAsia="hr-BA"/>
              </w:rPr>
              <w:t>Nominalni BDP u mil. KM</w:t>
            </w:r>
          </w:p>
        </w:tc>
        <w:tc>
          <w:tcPr>
            <w:tcW w:w="822" w:type="dxa"/>
            <w:noWrap/>
            <w:hideMark/>
          </w:tcPr>
          <w:p w14:paraId="6A7FFE35"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29,462</w:t>
            </w:r>
          </w:p>
        </w:tc>
        <w:tc>
          <w:tcPr>
            <w:tcW w:w="952" w:type="dxa"/>
            <w:noWrap/>
            <w:hideMark/>
          </w:tcPr>
          <w:p w14:paraId="4B483283"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31,809</w:t>
            </w:r>
          </w:p>
        </w:tc>
        <w:tc>
          <w:tcPr>
            <w:tcW w:w="952" w:type="dxa"/>
            <w:noWrap/>
            <w:hideMark/>
          </w:tcPr>
          <w:p w14:paraId="2BC69DB6"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33,356</w:t>
            </w:r>
          </w:p>
        </w:tc>
        <w:tc>
          <w:tcPr>
            <w:tcW w:w="952" w:type="dxa"/>
            <w:noWrap/>
            <w:hideMark/>
          </w:tcPr>
          <w:p w14:paraId="7D9D2BF3"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35,079</w:t>
            </w:r>
          </w:p>
        </w:tc>
        <w:tc>
          <w:tcPr>
            <w:tcW w:w="952" w:type="dxa"/>
            <w:noWrap/>
            <w:hideMark/>
          </w:tcPr>
          <w:p w14:paraId="11AC0B82"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36,908</w:t>
            </w:r>
          </w:p>
        </w:tc>
        <w:tc>
          <w:tcPr>
            <w:tcW w:w="952" w:type="dxa"/>
            <w:noWrap/>
            <w:hideMark/>
          </w:tcPr>
          <w:p w14:paraId="10422204"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38,817</w:t>
            </w:r>
          </w:p>
        </w:tc>
      </w:tr>
      <w:tr w:rsidR="00935B9D" w:rsidRPr="00677AB0" w14:paraId="6B4A130C" w14:textId="77777777" w:rsidTr="00935B9D">
        <w:trPr>
          <w:trHeight w:val="249"/>
        </w:trPr>
        <w:tc>
          <w:tcPr>
            <w:cnfStyle w:val="001000000000" w:firstRow="0" w:lastRow="0" w:firstColumn="1" w:lastColumn="0" w:oddVBand="0" w:evenVBand="0" w:oddHBand="0" w:evenHBand="0" w:firstRowFirstColumn="0" w:firstRowLastColumn="0" w:lastRowFirstColumn="0" w:lastRowLastColumn="0"/>
            <w:tcW w:w="2948" w:type="dxa"/>
            <w:noWrap/>
            <w:hideMark/>
          </w:tcPr>
          <w:p w14:paraId="5FEBCC42" w14:textId="77777777" w:rsidR="00935B9D" w:rsidRPr="00677AB0" w:rsidRDefault="00935B9D" w:rsidP="009064F8">
            <w:pPr>
              <w:spacing w:after="0"/>
              <w:rPr>
                <w:rFonts w:ascii="Calibri" w:eastAsia="Times New Roman" w:hAnsi="Calibri" w:cs="Calibri"/>
                <w:color w:val="000000"/>
                <w:lang w:eastAsia="hr-BA"/>
              </w:rPr>
            </w:pPr>
            <w:r w:rsidRPr="00677AB0">
              <w:rPr>
                <w:rFonts w:ascii="Calibri" w:eastAsia="Times New Roman" w:hAnsi="Calibri" w:cs="Calibri"/>
                <w:color w:val="000000"/>
                <w:lang w:eastAsia="hr-BA"/>
              </w:rPr>
              <w:t>Nominalni rast %</w:t>
            </w:r>
          </w:p>
        </w:tc>
        <w:tc>
          <w:tcPr>
            <w:tcW w:w="822" w:type="dxa"/>
            <w:noWrap/>
            <w:hideMark/>
          </w:tcPr>
          <w:p w14:paraId="7407E07B"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16.8</w:t>
            </w:r>
          </w:p>
        </w:tc>
        <w:tc>
          <w:tcPr>
            <w:tcW w:w="952" w:type="dxa"/>
            <w:noWrap/>
            <w:hideMark/>
          </w:tcPr>
          <w:p w14:paraId="6D3BCD16"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7.9</w:t>
            </w:r>
          </w:p>
        </w:tc>
        <w:tc>
          <w:tcPr>
            <w:tcW w:w="952" w:type="dxa"/>
            <w:noWrap/>
            <w:hideMark/>
          </w:tcPr>
          <w:p w14:paraId="2A37AF51"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4.9</w:t>
            </w:r>
          </w:p>
        </w:tc>
        <w:tc>
          <w:tcPr>
            <w:tcW w:w="952" w:type="dxa"/>
            <w:noWrap/>
            <w:hideMark/>
          </w:tcPr>
          <w:p w14:paraId="354D86AD"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5.1</w:t>
            </w:r>
          </w:p>
        </w:tc>
        <w:tc>
          <w:tcPr>
            <w:tcW w:w="952" w:type="dxa"/>
            <w:noWrap/>
            <w:hideMark/>
          </w:tcPr>
          <w:p w14:paraId="7A3462ED"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5.2</w:t>
            </w:r>
          </w:p>
        </w:tc>
        <w:tc>
          <w:tcPr>
            <w:tcW w:w="952" w:type="dxa"/>
            <w:noWrap/>
            <w:hideMark/>
          </w:tcPr>
          <w:p w14:paraId="46C41442"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5.2</w:t>
            </w:r>
          </w:p>
        </w:tc>
      </w:tr>
      <w:tr w:rsidR="00935B9D" w:rsidRPr="00677AB0" w14:paraId="6BAEB2CC" w14:textId="77777777" w:rsidTr="00935B9D">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948" w:type="dxa"/>
            <w:noWrap/>
            <w:hideMark/>
          </w:tcPr>
          <w:p w14:paraId="13C9A2DB" w14:textId="77777777" w:rsidR="00935B9D" w:rsidRPr="00677AB0" w:rsidRDefault="00935B9D" w:rsidP="009064F8">
            <w:pPr>
              <w:spacing w:after="0"/>
              <w:rPr>
                <w:rFonts w:ascii="Calibri" w:eastAsia="Times New Roman" w:hAnsi="Calibri" w:cs="Calibri"/>
                <w:color w:val="000000"/>
                <w:lang w:eastAsia="hr-BA"/>
              </w:rPr>
            </w:pPr>
            <w:r w:rsidRPr="00677AB0">
              <w:rPr>
                <w:rFonts w:ascii="Calibri" w:eastAsia="Times New Roman" w:hAnsi="Calibri" w:cs="Calibri"/>
                <w:color w:val="000000"/>
                <w:lang w:eastAsia="hr-BA"/>
              </w:rPr>
              <w:t>Realni BDP u mil. KM</w:t>
            </w:r>
          </w:p>
        </w:tc>
        <w:tc>
          <w:tcPr>
            <w:tcW w:w="822" w:type="dxa"/>
            <w:noWrap/>
            <w:hideMark/>
          </w:tcPr>
          <w:p w14:paraId="397969D3"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26,275</w:t>
            </w:r>
          </w:p>
        </w:tc>
        <w:tc>
          <w:tcPr>
            <w:tcW w:w="952" w:type="dxa"/>
            <w:noWrap/>
            <w:hideMark/>
          </w:tcPr>
          <w:p w14:paraId="01DD9B53"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30,003</w:t>
            </w:r>
          </w:p>
        </w:tc>
        <w:tc>
          <w:tcPr>
            <w:tcW w:w="952" w:type="dxa"/>
            <w:noWrap/>
            <w:hideMark/>
          </w:tcPr>
          <w:p w14:paraId="2D9C6032"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32,497</w:t>
            </w:r>
          </w:p>
        </w:tc>
        <w:tc>
          <w:tcPr>
            <w:tcW w:w="952" w:type="dxa"/>
            <w:noWrap/>
            <w:hideMark/>
          </w:tcPr>
          <w:p w14:paraId="63233BFA"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34,334</w:t>
            </w:r>
          </w:p>
        </w:tc>
        <w:tc>
          <w:tcPr>
            <w:tcW w:w="952" w:type="dxa"/>
            <w:noWrap/>
            <w:hideMark/>
          </w:tcPr>
          <w:p w14:paraId="59C0C02F"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36,124</w:t>
            </w:r>
          </w:p>
        </w:tc>
        <w:tc>
          <w:tcPr>
            <w:tcW w:w="952" w:type="dxa"/>
            <w:noWrap/>
            <w:hideMark/>
          </w:tcPr>
          <w:p w14:paraId="5299A729" w14:textId="77777777" w:rsidR="00935B9D" w:rsidRPr="00677AB0" w:rsidRDefault="00935B9D" w:rsidP="009064F8">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38,057</w:t>
            </w:r>
          </w:p>
        </w:tc>
      </w:tr>
      <w:tr w:rsidR="00935B9D" w:rsidRPr="00677AB0" w14:paraId="4B73815A" w14:textId="77777777" w:rsidTr="00935B9D">
        <w:trPr>
          <w:trHeight w:val="103"/>
        </w:trPr>
        <w:tc>
          <w:tcPr>
            <w:cnfStyle w:val="001000000000" w:firstRow="0" w:lastRow="0" w:firstColumn="1" w:lastColumn="0" w:oddVBand="0" w:evenVBand="0" w:oddHBand="0" w:evenHBand="0" w:firstRowFirstColumn="0" w:firstRowLastColumn="0" w:lastRowFirstColumn="0" w:lastRowLastColumn="0"/>
            <w:tcW w:w="2948" w:type="dxa"/>
            <w:noWrap/>
            <w:hideMark/>
          </w:tcPr>
          <w:p w14:paraId="280E3352" w14:textId="77777777" w:rsidR="00935B9D" w:rsidRPr="00677AB0" w:rsidRDefault="00935B9D" w:rsidP="009064F8">
            <w:pPr>
              <w:spacing w:after="0"/>
              <w:rPr>
                <w:rFonts w:ascii="Calibri" w:eastAsia="Times New Roman" w:hAnsi="Calibri" w:cs="Calibri"/>
                <w:color w:val="000000"/>
                <w:lang w:eastAsia="hr-BA"/>
              </w:rPr>
            </w:pPr>
            <w:r w:rsidRPr="00677AB0">
              <w:rPr>
                <w:rFonts w:ascii="Calibri" w:eastAsia="Times New Roman" w:hAnsi="Calibri" w:cs="Calibri"/>
                <w:color w:val="000000"/>
                <w:lang w:eastAsia="hr-BA"/>
              </w:rPr>
              <w:t>Realni rast %</w:t>
            </w:r>
          </w:p>
        </w:tc>
        <w:tc>
          <w:tcPr>
            <w:tcW w:w="822" w:type="dxa"/>
            <w:noWrap/>
            <w:hideMark/>
          </w:tcPr>
          <w:p w14:paraId="43D3AA54"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4.1</w:t>
            </w:r>
          </w:p>
        </w:tc>
        <w:tc>
          <w:tcPr>
            <w:tcW w:w="952" w:type="dxa"/>
            <w:noWrap/>
            <w:hideMark/>
          </w:tcPr>
          <w:p w14:paraId="2A3A34AE"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1.8</w:t>
            </w:r>
          </w:p>
        </w:tc>
        <w:tc>
          <w:tcPr>
            <w:tcW w:w="952" w:type="dxa"/>
            <w:noWrap/>
            <w:hideMark/>
          </w:tcPr>
          <w:p w14:paraId="1603BAB9"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2.2</w:t>
            </w:r>
          </w:p>
        </w:tc>
        <w:tc>
          <w:tcPr>
            <w:tcW w:w="952" w:type="dxa"/>
            <w:noWrap/>
            <w:hideMark/>
          </w:tcPr>
          <w:p w14:paraId="281F17EF"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2.9</w:t>
            </w:r>
          </w:p>
        </w:tc>
        <w:tc>
          <w:tcPr>
            <w:tcW w:w="952" w:type="dxa"/>
            <w:noWrap/>
            <w:hideMark/>
          </w:tcPr>
          <w:p w14:paraId="4BE605AA"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w:t>
            </w:r>
          </w:p>
        </w:tc>
        <w:tc>
          <w:tcPr>
            <w:tcW w:w="952" w:type="dxa"/>
            <w:noWrap/>
            <w:hideMark/>
          </w:tcPr>
          <w:p w14:paraId="52741C6E" w14:textId="77777777" w:rsidR="00935B9D" w:rsidRPr="00677AB0" w:rsidRDefault="00935B9D" w:rsidP="009064F8">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BA"/>
              </w:rPr>
            </w:pPr>
            <w:r w:rsidRPr="00677AB0">
              <w:rPr>
                <w:rFonts w:ascii="Calibri" w:eastAsia="Times New Roman" w:hAnsi="Calibri" w:cs="Calibri"/>
                <w:color w:val="000000"/>
                <w:lang w:eastAsia="hr-BA"/>
              </w:rPr>
              <w:t>3.1</w:t>
            </w:r>
          </w:p>
        </w:tc>
      </w:tr>
    </w:tbl>
    <w:p w14:paraId="5E53E06A" w14:textId="77777777" w:rsidR="009064F8" w:rsidRDefault="009064F8" w:rsidP="0096172C">
      <w:pPr>
        <w:spacing w:after="0"/>
        <w:ind w:firstLine="420"/>
        <w:jc w:val="both"/>
        <w:rPr>
          <w:rFonts w:ascii="Arial" w:hAnsi="Arial" w:cs="Arial"/>
        </w:rPr>
      </w:pPr>
    </w:p>
    <w:p w14:paraId="293627EC" w14:textId="40F3A6D4" w:rsidR="0042308F" w:rsidRPr="00677AB0" w:rsidRDefault="0042308F" w:rsidP="0096172C">
      <w:pPr>
        <w:spacing w:after="0"/>
        <w:ind w:firstLine="420"/>
        <w:jc w:val="both"/>
        <w:rPr>
          <w:rFonts w:ascii="Arial" w:hAnsi="Arial" w:cs="Arial"/>
        </w:rPr>
      </w:pPr>
      <w:r w:rsidRPr="00677AB0">
        <w:rPr>
          <w:rFonts w:ascii="Arial" w:hAnsi="Arial" w:cs="Arial"/>
        </w:rPr>
        <w:t xml:space="preserve">Na </w:t>
      </w:r>
      <w:r w:rsidR="00153015">
        <w:rPr>
          <w:rFonts w:ascii="Arial" w:hAnsi="Arial" w:cs="Arial"/>
        </w:rPr>
        <w:t>uvjet</w:t>
      </w:r>
      <w:r w:rsidRPr="00677AB0">
        <w:rPr>
          <w:rFonts w:ascii="Arial" w:hAnsi="Arial" w:cs="Arial"/>
        </w:rPr>
        <w:t xml:space="preserve">e </w:t>
      </w:r>
      <w:r>
        <w:rPr>
          <w:rFonts w:ascii="Arial" w:hAnsi="Arial" w:cs="Arial"/>
        </w:rPr>
        <w:t>financ</w:t>
      </w:r>
      <w:r w:rsidRPr="00677AB0">
        <w:rPr>
          <w:rFonts w:ascii="Arial" w:hAnsi="Arial" w:cs="Arial"/>
        </w:rPr>
        <w:t xml:space="preserve">iranja na vanjskom tržištu značajno utječe globalni kreditni rejting države </w:t>
      </w:r>
      <w:r w:rsidRPr="009064F8">
        <w:rPr>
          <w:rFonts w:ascii="Arial" w:hAnsi="Arial" w:cs="Arial"/>
        </w:rPr>
        <w:t xml:space="preserve">koji </w:t>
      </w:r>
      <w:r w:rsidRPr="00677AB0">
        <w:rPr>
          <w:rFonts w:ascii="Arial" w:hAnsi="Arial" w:cs="Arial"/>
        </w:rPr>
        <w:t xml:space="preserve">svrstava Bosnu i Hercegovinu u skupinu zemalja s visokim </w:t>
      </w:r>
      <w:r w:rsidR="003747A5" w:rsidRPr="00677AB0">
        <w:rPr>
          <w:rFonts w:ascii="Arial" w:hAnsi="Arial" w:cs="Arial"/>
        </w:rPr>
        <w:t>kreditnim</w:t>
      </w:r>
      <w:r w:rsidRPr="00677AB0">
        <w:rPr>
          <w:rFonts w:ascii="Arial" w:hAnsi="Arial" w:cs="Arial"/>
        </w:rPr>
        <w:t xml:space="preserve"> rizikom iako je najnovija ocjena agencije Standard &amp; Poor's povećala kreditni rejting (ranije bio B/pozitivni izgledi). </w:t>
      </w:r>
      <w:r w:rsidR="003747A5">
        <w:rPr>
          <w:rFonts w:ascii="Arial" w:hAnsi="Arial" w:cs="Arial"/>
        </w:rPr>
        <w:t xml:space="preserve"> </w:t>
      </w:r>
    </w:p>
    <w:p w14:paraId="1DA6547D" w14:textId="77777777" w:rsidR="00935B9D" w:rsidRDefault="00935B9D" w:rsidP="0096172C">
      <w:pPr>
        <w:spacing w:after="0"/>
        <w:ind w:firstLine="420"/>
        <w:jc w:val="both"/>
        <w:rPr>
          <w:rFonts w:ascii="Arial" w:hAnsi="Arial" w:cs="Arial"/>
        </w:rPr>
      </w:pPr>
    </w:p>
    <w:p w14:paraId="11040B64" w14:textId="77777777" w:rsidR="0042308F" w:rsidRPr="00677AB0" w:rsidRDefault="0042308F" w:rsidP="0096172C">
      <w:pPr>
        <w:spacing w:after="0"/>
        <w:ind w:firstLine="420"/>
        <w:jc w:val="both"/>
        <w:rPr>
          <w:rFonts w:ascii="Arial" w:hAnsi="Arial" w:cs="Arial"/>
        </w:rPr>
      </w:pPr>
      <w:r w:rsidRPr="00677AB0">
        <w:rPr>
          <w:rFonts w:ascii="Arial" w:hAnsi="Arial" w:cs="Arial"/>
        </w:rPr>
        <w:t xml:space="preserve">Dvije najveće globalne agencije za kreditni rejting Moody`s i Standard &amp; Poor`s dodijelile su prvi kreditni rejting Federaciji </w:t>
      </w:r>
      <w:r w:rsidRPr="00677AB0">
        <w:rPr>
          <w:rFonts w:ascii="Arial" w:hAnsi="Arial" w:cs="Arial"/>
        </w:rPr>
        <w:lastRenderedPageBreak/>
        <w:t>BiH, na inicijativu Federalnog ministarstva financija/</w:t>
      </w:r>
      <w:r>
        <w:rPr>
          <w:rFonts w:ascii="Arial" w:hAnsi="Arial" w:cs="Arial"/>
        </w:rPr>
        <w:t>finan</w:t>
      </w:r>
      <w:r w:rsidR="003747A5">
        <w:rPr>
          <w:rFonts w:ascii="Arial" w:hAnsi="Arial" w:cs="Arial"/>
        </w:rPr>
        <w:t>s</w:t>
      </w:r>
      <w:r w:rsidRPr="00677AB0">
        <w:rPr>
          <w:rFonts w:ascii="Arial" w:hAnsi="Arial" w:cs="Arial"/>
        </w:rPr>
        <w:t>ija. Nakon što je 14. 5. 2024. Moody`s dodijelio ocjenu Federaciji BiH - B3, sa stabilnim izgledima, 27. 5. 2024. i agencija Standard &amp; Poor`s potvrdila je stabilne izglede Federacije BiH uz ocjenu B+/B. Obje agencije su Federaciji BiH dodijelile kreditni rejting istovjetan aktualnom suverenom kreditnom rejtingu Bosne i Hercegovine. U objavljenim izvješ</w:t>
      </w:r>
      <w:r w:rsidR="00743A0A">
        <w:rPr>
          <w:rFonts w:ascii="Arial" w:hAnsi="Arial" w:cs="Arial"/>
        </w:rPr>
        <w:t>ć</w:t>
      </w:r>
      <w:r w:rsidRPr="00677AB0">
        <w:rPr>
          <w:rFonts w:ascii="Arial" w:hAnsi="Arial" w:cs="Arial"/>
        </w:rPr>
        <w:t>ima obje agencije navode kako stabilni izgledi odražavaju kapacitet Federacije BiH da očuva svoju solidnu financijsku poziciju sa sličn</w:t>
      </w:r>
      <w:r w:rsidR="00743A0A">
        <w:rPr>
          <w:rFonts w:ascii="Arial" w:hAnsi="Arial" w:cs="Arial"/>
        </w:rPr>
        <w:t>o</w:t>
      </w:r>
      <w:r w:rsidRPr="00677AB0">
        <w:rPr>
          <w:rFonts w:ascii="Arial" w:hAnsi="Arial" w:cs="Arial"/>
        </w:rPr>
        <w:t xml:space="preserve">m </w:t>
      </w:r>
      <w:r w:rsidR="00743A0A">
        <w:rPr>
          <w:rFonts w:ascii="Arial" w:hAnsi="Arial" w:cs="Arial"/>
        </w:rPr>
        <w:t>razinom</w:t>
      </w:r>
      <w:r w:rsidRPr="00677AB0">
        <w:rPr>
          <w:rFonts w:ascii="Arial" w:hAnsi="Arial" w:cs="Arial"/>
        </w:rPr>
        <w:t xml:space="preserve"> duga u naredne dvije godine, te očekuju da će ekonomski oporavak podržati rast fiskalnih prihoda i da će inflacija prestati vršiti pritisak na operativnu potrošnju. Pored toga, ključni faktori koji su utjecali na ocjenu kreditnog rejtinga Federacije BiH su dobra interna pozicija likvidnosti Federacije BiH, njen pristup domaćem kratkoročnom financiranju i grupi međunarodnih kreditora koji bi trebali osigurati dovoljnu likvidnost za</w:t>
      </w:r>
      <w:r w:rsidR="0096172C">
        <w:rPr>
          <w:rFonts w:ascii="Arial" w:hAnsi="Arial" w:cs="Arial"/>
        </w:rPr>
        <w:t xml:space="preserve"> pokriće godišnje otplate duga.</w:t>
      </w:r>
    </w:p>
    <w:p w14:paraId="6335B5D8" w14:textId="77777777" w:rsidR="00935B9D" w:rsidRDefault="00935B9D" w:rsidP="0042308F">
      <w:pPr>
        <w:spacing w:after="0" w:line="240" w:lineRule="auto"/>
        <w:ind w:firstLine="720"/>
        <w:jc w:val="both"/>
        <w:rPr>
          <w:rFonts w:ascii="Arial" w:hAnsi="Arial" w:cs="Arial"/>
          <w:bCs/>
        </w:rPr>
      </w:pPr>
    </w:p>
    <w:p w14:paraId="1E8E1A5A" w14:textId="77777777" w:rsidR="0042308F" w:rsidRPr="00677AB0" w:rsidRDefault="0042308F" w:rsidP="0042308F">
      <w:pPr>
        <w:spacing w:after="0" w:line="240" w:lineRule="auto"/>
        <w:ind w:firstLine="720"/>
        <w:jc w:val="both"/>
        <w:rPr>
          <w:rFonts w:ascii="Arial" w:eastAsia="SimSun" w:hAnsi="Arial" w:cs="Arial"/>
        </w:rPr>
      </w:pPr>
      <w:r w:rsidRPr="00677AB0">
        <w:rPr>
          <w:rFonts w:ascii="Arial" w:hAnsi="Arial" w:cs="Arial"/>
          <w:bCs/>
        </w:rPr>
        <w:fldChar w:fldCharType="begin"/>
      </w:r>
      <w:r w:rsidRPr="00677AB0">
        <w:rPr>
          <w:rFonts w:ascii="Arial" w:hAnsi="Arial" w:cs="Arial"/>
          <w:bCs/>
        </w:rPr>
        <w:instrText xml:space="preserve"> TC "</w:instrText>
      </w:r>
      <w:bookmarkStart w:id="102" w:name="_Toc378596787"/>
      <w:bookmarkStart w:id="103" w:name="_Toc395874948"/>
      <w:r w:rsidRPr="00677AB0">
        <w:rPr>
          <w:rFonts w:ascii="Arial" w:hAnsi="Arial" w:cs="Arial"/>
          <w:bCs/>
        </w:rPr>
        <w:instrText>6. Macroeconomic Risks and Implications for Debt Management Strategies</w:instrText>
      </w:r>
      <w:bookmarkEnd w:id="102"/>
      <w:bookmarkEnd w:id="103"/>
      <w:r w:rsidRPr="00677AB0">
        <w:rPr>
          <w:rFonts w:ascii="Arial" w:hAnsi="Arial" w:cs="Arial"/>
          <w:bCs/>
        </w:rPr>
        <w:instrText xml:space="preserve">"\f B </w:instrText>
      </w:r>
      <w:r w:rsidRPr="00677AB0">
        <w:rPr>
          <w:rFonts w:ascii="Arial" w:hAnsi="Arial" w:cs="Arial"/>
          <w:bCs/>
        </w:rPr>
        <w:fldChar w:fldCharType="end"/>
      </w:r>
      <w:r w:rsidRPr="00677AB0">
        <w:rPr>
          <w:rFonts w:ascii="Arial" w:hAnsi="Arial" w:cs="Arial"/>
          <w:bCs/>
        </w:rPr>
        <w:t xml:space="preserve">Makroekonomski rizici i implikacije po strategiju upravljanja dugom su najjači u smislu stalno prisutne i rastuće geopolitičke napetosti koja dugoročno dovodi do </w:t>
      </w:r>
      <w:r w:rsidRPr="00677AB0">
        <w:rPr>
          <w:rFonts w:ascii="Arial" w:eastAsia="SimSun" w:hAnsi="Arial" w:cs="Arial"/>
        </w:rPr>
        <w:t xml:space="preserve">rasta cijena energenata i </w:t>
      </w:r>
      <w:r w:rsidRPr="00677AB0">
        <w:rPr>
          <w:rFonts w:ascii="Arial" w:eastAsia="SimSun" w:hAnsi="Arial" w:cs="Arial"/>
        </w:rPr>
        <w:lastRenderedPageBreak/>
        <w:t xml:space="preserve">drugih sirovina kao i eventualna kašnjenja u reformskim procesima kojima je krajnji cilj </w:t>
      </w:r>
      <w:r w:rsidR="00743A0A" w:rsidRPr="00677AB0">
        <w:rPr>
          <w:rFonts w:ascii="Arial" w:eastAsia="SimSun" w:hAnsi="Arial" w:cs="Arial"/>
        </w:rPr>
        <w:t>dobivanje</w:t>
      </w:r>
      <w:r w:rsidRPr="00677AB0">
        <w:rPr>
          <w:rFonts w:ascii="Arial" w:eastAsia="SimSun" w:hAnsi="Arial" w:cs="Arial"/>
        </w:rPr>
        <w:t xml:space="preserve"> punog </w:t>
      </w:r>
      <w:r w:rsidRPr="0099055F">
        <w:rPr>
          <w:rFonts w:ascii="Arial" w:eastAsia="SimSun" w:hAnsi="Arial" w:cs="Arial"/>
        </w:rPr>
        <w:t>kandidatskog</w:t>
      </w:r>
      <w:r w:rsidRPr="00677AB0">
        <w:rPr>
          <w:rFonts w:ascii="Arial" w:eastAsia="SimSun" w:hAnsi="Arial" w:cs="Arial"/>
        </w:rPr>
        <w:t xml:space="preserve"> statusa u približavanju E</w:t>
      </w:r>
      <w:r w:rsidR="00743A0A">
        <w:rPr>
          <w:rFonts w:ascii="Arial" w:eastAsia="SimSun" w:hAnsi="Arial" w:cs="Arial"/>
        </w:rPr>
        <w:t>u</w:t>
      </w:r>
      <w:r w:rsidRPr="00677AB0">
        <w:rPr>
          <w:rFonts w:ascii="Arial" w:eastAsia="SimSun" w:hAnsi="Arial" w:cs="Arial"/>
        </w:rPr>
        <w:t>ropskoj uniji.</w:t>
      </w:r>
    </w:p>
    <w:p w14:paraId="4C95C457" w14:textId="77777777" w:rsidR="0042308F" w:rsidRPr="00677AB0" w:rsidRDefault="0042308F" w:rsidP="0042308F">
      <w:pPr>
        <w:spacing w:after="0" w:line="240" w:lineRule="auto"/>
        <w:jc w:val="both"/>
        <w:rPr>
          <w:rFonts w:ascii="Arial" w:eastAsia="SimSun" w:hAnsi="Arial" w:cs="Arial"/>
        </w:rPr>
      </w:pPr>
    </w:p>
    <w:p w14:paraId="289A08AF" w14:textId="77777777" w:rsidR="0042308F" w:rsidRPr="00677AB0" w:rsidRDefault="0042308F" w:rsidP="0042308F">
      <w:pPr>
        <w:spacing w:after="0" w:line="240" w:lineRule="auto"/>
        <w:jc w:val="both"/>
        <w:rPr>
          <w:rFonts w:ascii="Arial" w:eastAsia="SimSun" w:hAnsi="Arial" w:cs="Arial"/>
        </w:rPr>
      </w:pPr>
      <w:r w:rsidRPr="00677AB0">
        <w:rPr>
          <w:rFonts w:ascii="Arial" w:eastAsia="SimSun" w:hAnsi="Arial" w:cs="Arial"/>
        </w:rPr>
        <w:tab/>
      </w:r>
      <w:r w:rsidR="00153015">
        <w:rPr>
          <w:rFonts w:ascii="Arial" w:eastAsia="SimSun" w:hAnsi="Arial" w:cs="Arial"/>
        </w:rPr>
        <w:t>Tablica</w:t>
      </w:r>
      <w:r w:rsidRPr="00677AB0">
        <w:rPr>
          <w:rFonts w:ascii="Arial" w:eastAsia="SimSun" w:hAnsi="Arial" w:cs="Arial"/>
        </w:rPr>
        <w:t xml:space="preserve"> 7. Makroekonomski rizici i implikacije po strategiju upravljanja dugom</w:t>
      </w:r>
    </w:p>
    <w:tbl>
      <w:tblPr>
        <w:tblStyle w:val="GridTable4-Accent11"/>
        <w:tblW w:w="0" w:type="auto"/>
        <w:jc w:val="center"/>
        <w:tblLook w:val="04A0" w:firstRow="1" w:lastRow="0" w:firstColumn="1" w:lastColumn="0" w:noHBand="0" w:noVBand="1"/>
      </w:tblPr>
      <w:tblGrid>
        <w:gridCol w:w="2456"/>
        <w:gridCol w:w="1036"/>
        <w:gridCol w:w="5568"/>
      </w:tblGrid>
      <w:tr w:rsidR="0042308F" w:rsidRPr="00677AB0" w14:paraId="030A9514" w14:textId="77777777" w:rsidTr="00935B9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vAlign w:val="center"/>
          </w:tcPr>
          <w:p w14:paraId="384BFB90" w14:textId="77777777" w:rsidR="0042308F" w:rsidRPr="00677AB0" w:rsidRDefault="0042308F" w:rsidP="00D71297">
            <w:pPr>
              <w:keepNext/>
              <w:spacing w:after="0"/>
              <w:rPr>
                <w:rFonts w:ascii="Arial" w:eastAsia="SimSun" w:hAnsi="Arial" w:cs="Arial"/>
                <w:b w:val="0"/>
                <w:i/>
                <w:color w:val="auto"/>
                <w:sz w:val="20"/>
                <w:szCs w:val="20"/>
              </w:rPr>
            </w:pPr>
            <w:r w:rsidRPr="00677AB0">
              <w:rPr>
                <w:rFonts w:ascii="Arial" w:eastAsia="SimSun" w:hAnsi="Arial" w:cs="Arial"/>
                <w:b w:val="0"/>
                <w:i/>
                <w:color w:val="auto"/>
                <w:sz w:val="20"/>
                <w:szCs w:val="20"/>
              </w:rPr>
              <w:t xml:space="preserve">Realni sektor </w:t>
            </w:r>
          </w:p>
        </w:tc>
        <w:tc>
          <w:tcPr>
            <w:tcW w:w="0" w:type="auto"/>
            <w:shd w:val="clear" w:color="auto" w:fill="DEEAF6" w:themeFill="accent1" w:themeFillTint="33"/>
            <w:vAlign w:val="center"/>
          </w:tcPr>
          <w:p w14:paraId="55FEA2EC" w14:textId="77777777" w:rsidR="0042308F" w:rsidRPr="00677AB0" w:rsidRDefault="0042308F" w:rsidP="00D71297">
            <w:pPr>
              <w:keepNext/>
              <w:spacing w:after="0"/>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20"/>
                <w:szCs w:val="20"/>
              </w:rPr>
            </w:pPr>
          </w:p>
        </w:tc>
        <w:tc>
          <w:tcPr>
            <w:tcW w:w="0" w:type="auto"/>
            <w:shd w:val="clear" w:color="auto" w:fill="DEEAF6" w:themeFill="accent1" w:themeFillTint="33"/>
            <w:vAlign w:val="center"/>
          </w:tcPr>
          <w:p w14:paraId="24BD08E2" w14:textId="77777777" w:rsidR="0042308F" w:rsidRPr="00677AB0" w:rsidRDefault="0042308F" w:rsidP="00D71297">
            <w:pPr>
              <w:keepNext/>
              <w:spacing w:after="0"/>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20"/>
                <w:szCs w:val="20"/>
              </w:rPr>
            </w:pPr>
          </w:p>
        </w:tc>
      </w:tr>
      <w:tr w:rsidR="0042308F" w:rsidRPr="00677AB0" w14:paraId="3353553F" w14:textId="77777777" w:rsidTr="00935B9D">
        <w:trPr>
          <w:cnfStyle w:val="000000100000" w:firstRow="0" w:lastRow="0" w:firstColumn="0" w:lastColumn="0" w:oddVBand="0" w:evenVBand="0" w:oddHBand="1" w:evenHBand="0" w:firstRowFirstColumn="0" w:firstRowLastColumn="0" w:lastRowFirstColumn="0" w:lastRowLastColumn="0"/>
          <w:trHeight w:val="79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805E4FA" w14:textId="77777777" w:rsidR="0042308F" w:rsidRPr="00677AB0" w:rsidRDefault="0042308F" w:rsidP="00D71297">
            <w:pPr>
              <w:pStyle w:val="ListParagraph"/>
              <w:keepNext/>
              <w:numPr>
                <w:ilvl w:val="0"/>
                <w:numId w:val="30"/>
              </w:numPr>
              <w:spacing w:after="0" w:line="240" w:lineRule="auto"/>
              <w:rPr>
                <w:rFonts w:ascii="Arial" w:eastAsia="SimSun" w:hAnsi="Arial" w:cs="Arial"/>
                <w:b w:val="0"/>
                <w:bCs w:val="0"/>
                <w:sz w:val="20"/>
                <w:szCs w:val="20"/>
              </w:rPr>
            </w:pPr>
            <w:r w:rsidRPr="00677AB0">
              <w:rPr>
                <w:rFonts w:ascii="Arial" w:eastAsia="SimSun" w:hAnsi="Arial" w:cs="Arial"/>
                <w:b w:val="0"/>
                <w:bCs w:val="0"/>
                <w:sz w:val="20"/>
                <w:szCs w:val="20"/>
              </w:rPr>
              <w:t>Rast</w:t>
            </w:r>
          </w:p>
        </w:tc>
        <w:tc>
          <w:tcPr>
            <w:tcW w:w="0" w:type="auto"/>
            <w:shd w:val="clear" w:color="auto" w:fill="auto"/>
            <w:vAlign w:val="center"/>
          </w:tcPr>
          <w:p w14:paraId="252E13F4" w14:textId="77777777" w:rsidR="0042308F" w:rsidRPr="00677AB0" w:rsidRDefault="0042308F" w:rsidP="00D71297">
            <w:pPr>
              <w:keepNext/>
              <w:spacing w:after="0"/>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 do visoka</w:t>
            </w:r>
          </w:p>
        </w:tc>
        <w:tc>
          <w:tcPr>
            <w:tcW w:w="0" w:type="auto"/>
            <w:shd w:val="clear" w:color="auto" w:fill="auto"/>
            <w:vAlign w:val="center"/>
          </w:tcPr>
          <w:p w14:paraId="73C04CE8" w14:textId="77777777" w:rsidR="0042308F" w:rsidRPr="00677AB0" w:rsidRDefault="0042308F" w:rsidP="00D71297">
            <w:pPr>
              <w:keepNext/>
              <w:spacing w:after="0"/>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Slaba vanjska potražnja ili veća financijska nestabilnost bi mogli smanjiti potencijal za rast, što bi dovelo do poteškoća u fiskalnoj politici i rezultiralo većim zaduživanjem.  </w:t>
            </w:r>
          </w:p>
        </w:tc>
      </w:tr>
      <w:tr w:rsidR="0042308F" w:rsidRPr="00677AB0" w14:paraId="7BCBAE80" w14:textId="77777777" w:rsidTr="00935B9D">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EEAF6" w:themeFill="accent1" w:themeFillTint="33"/>
            <w:vAlign w:val="center"/>
          </w:tcPr>
          <w:p w14:paraId="1EFA1A32" w14:textId="77777777" w:rsidR="0042308F" w:rsidRPr="00677AB0" w:rsidRDefault="0042308F" w:rsidP="00D71297">
            <w:pPr>
              <w:keepNext/>
              <w:spacing w:after="0"/>
              <w:rPr>
                <w:rFonts w:ascii="Arial" w:eastAsia="SimSun" w:hAnsi="Arial" w:cs="Arial"/>
                <w:b w:val="0"/>
                <w:bCs w:val="0"/>
                <w:color w:val="538135" w:themeColor="accent6" w:themeShade="BF"/>
                <w:sz w:val="20"/>
                <w:szCs w:val="20"/>
              </w:rPr>
            </w:pPr>
            <w:r w:rsidRPr="00677AB0">
              <w:rPr>
                <w:rFonts w:ascii="Arial" w:eastAsia="SimSun" w:hAnsi="Arial" w:cs="Arial"/>
                <w:b w:val="0"/>
                <w:bCs w:val="0"/>
                <w:i/>
                <w:sz w:val="20"/>
                <w:szCs w:val="20"/>
              </w:rPr>
              <w:t>Fiskalni sektor</w:t>
            </w:r>
            <w:r w:rsidRPr="00677AB0">
              <w:rPr>
                <w:rFonts w:ascii="Arial" w:eastAsia="SimSun" w:hAnsi="Arial" w:cs="Arial"/>
                <w:b w:val="0"/>
                <w:bCs w:val="0"/>
                <w:sz w:val="20"/>
                <w:szCs w:val="20"/>
              </w:rPr>
              <w:t xml:space="preserve"> </w:t>
            </w:r>
          </w:p>
        </w:tc>
      </w:tr>
      <w:tr w:rsidR="0042308F" w:rsidRPr="00677AB0" w14:paraId="764C49FB" w14:textId="77777777" w:rsidTr="00935B9D">
        <w:trPr>
          <w:cnfStyle w:val="000000100000" w:firstRow="0" w:lastRow="0" w:firstColumn="0" w:lastColumn="0" w:oddVBand="0" w:evenVBand="0" w:oddHBand="1" w:evenHBand="0" w:firstRowFirstColumn="0" w:firstRowLastColumn="0" w:lastRowFirstColumn="0" w:lastRowLastColumn="0"/>
          <w:trHeight w:val="158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FF2697F" w14:textId="77777777" w:rsidR="0042308F" w:rsidRPr="00677AB0" w:rsidRDefault="0042308F" w:rsidP="00D71297">
            <w:pPr>
              <w:pStyle w:val="ListParagraph"/>
              <w:keepNext/>
              <w:numPr>
                <w:ilvl w:val="0"/>
                <w:numId w:val="30"/>
              </w:numPr>
              <w:spacing w:after="0" w:line="240" w:lineRule="auto"/>
              <w:rPr>
                <w:rFonts w:ascii="Arial" w:eastAsia="SimSun" w:hAnsi="Arial" w:cs="Arial"/>
                <w:b w:val="0"/>
                <w:bCs w:val="0"/>
                <w:sz w:val="20"/>
                <w:szCs w:val="20"/>
              </w:rPr>
            </w:pPr>
            <w:r w:rsidRPr="00677AB0">
              <w:rPr>
                <w:rFonts w:ascii="Arial" w:eastAsia="SimSun" w:hAnsi="Arial" w:cs="Arial"/>
                <w:b w:val="0"/>
                <w:bCs w:val="0"/>
                <w:sz w:val="20"/>
                <w:szCs w:val="20"/>
              </w:rPr>
              <w:t xml:space="preserve">Održivost duga </w:t>
            </w:r>
          </w:p>
        </w:tc>
        <w:tc>
          <w:tcPr>
            <w:tcW w:w="0" w:type="auto"/>
            <w:shd w:val="clear" w:color="auto" w:fill="auto"/>
            <w:vAlign w:val="center"/>
          </w:tcPr>
          <w:p w14:paraId="21C616DD" w14:textId="77777777" w:rsidR="0042308F" w:rsidRPr="00677AB0" w:rsidRDefault="0042308F" w:rsidP="00D71297">
            <w:pPr>
              <w:keepNext/>
              <w:spacing w:after="0"/>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w:t>
            </w:r>
          </w:p>
        </w:tc>
        <w:tc>
          <w:tcPr>
            <w:tcW w:w="0" w:type="auto"/>
            <w:shd w:val="clear" w:color="auto" w:fill="auto"/>
            <w:vAlign w:val="center"/>
          </w:tcPr>
          <w:p w14:paraId="4767DB13" w14:textId="77777777" w:rsidR="0042308F" w:rsidRPr="00677AB0" w:rsidRDefault="0042308F" w:rsidP="00D71297">
            <w:pPr>
              <w:keepNext/>
              <w:spacing w:after="0"/>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Pritisak na rastuće rashode i kapitalne investicije bi povećao </w:t>
            </w:r>
            <w:r>
              <w:rPr>
                <w:rFonts w:ascii="Arial" w:eastAsia="SimSun" w:hAnsi="Arial" w:cs="Arial"/>
                <w:sz w:val="20"/>
                <w:szCs w:val="20"/>
              </w:rPr>
              <w:t>financ</w:t>
            </w:r>
            <w:r w:rsidRPr="00677AB0">
              <w:rPr>
                <w:rFonts w:ascii="Arial" w:eastAsia="SimSun" w:hAnsi="Arial" w:cs="Arial"/>
                <w:sz w:val="20"/>
                <w:szCs w:val="20"/>
              </w:rPr>
              <w:t>ijske potrebe. Potencijalne obaveze, bilo iz bankarskog sektora ili državnih p</w:t>
            </w:r>
            <w:r w:rsidR="00935B9D">
              <w:rPr>
                <w:rFonts w:ascii="Arial" w:eastAsia="SimSun" w:hAnsi="Arial" w:cs="Arial"/>
                <w:sz w:val="20"/>
                <w:szCs w:val="20"/>
              </w:rPr>
              <w:t>o</w:t>
            </w:r>
            <w:r w:rsidRPr="00677AB0">
              <w:rPr>
                <w:rFonts w:ascii="Arial" w:eastAsia="SimSun" w:hAnsi="Arial" w:cs="Arial"/>
                <w:sz w:val="20"/>
                <w:szCs w:val="20"/>
              </w:rPr>
              <w:t xml:space="preserve">duzeća, mogle bi dovesti do povećanja bruto </w:t>
            </w:r>
            <w:r>
              <w:rPr>
                <w:rFonts w:ascii="Arial" w:eastAsia="SimSun" w:hAnsi="Arial" w:cs="Arial"/>
                <w:sz w:val="20"/>
                <w:szCs w:val="20"/>
              </w:rPr>
              <w:t>financ</w:t>
            </w:r>
            <w:r w:rsidRPr="00677AB0">
              <w:rPr>
                <w:rFonts w:ascii="Arial" w:eastAsia="SimSun" w:hAnsi="Arial" w:cs="Arial"/>
                <w:sz w:val="20"/>
                <w:szCs w:val="20"/>
              </w:rPr>
              <w:t xml:space="preserve">ijskih potreba i troškova </w:t>
            </w:r>
            <w:r>
              <w:rPr>
                <w:rFonts w:ascii="Arial" w:eastAsia="SimSun" w:hAnsi="Arial" w:cs="Arial"/>
                <w:sz w:val="20"/>
                <w:szCs w:val="20"/>
              </w:rPr>
              <w:t>financ</w:t>
            </w:r>
            <w:r w:rsidRPr="00677AB0">
              <w:rPr>
                <w:rFonts w:ascii="Arial" w:eastAsia="SimSun" w:hAnsi="Arial" w:cs="Arial"/>
                <w:sz w:val="20"/>
                <w:szCs w:val="20"/>
              </w:rPr>
              <w:t>iranja i pogoršanja fiskaln</w:t>
            </w:r>
            <w:r w:rsidR="00935B9D">
              <w:rPr>
                <w:rFonts w:ascii="Arial" w:eastAsia="SimSun" w:hAnsi="Arial" w:cs="Arial"/>
                <w:sz w:val="20"/>
                <w:szCs w:val="20"/>
              </w:rPr>
              <w:t>e</w:t>
            </w:r>
            <w:r w:rsidRPr="00677AB0">
              <w:rPr>
                <w:rFonts w:ascii="Arial" w:eastAsia="SimSun" w:hAnsi="Arial" w:cs="Arial"/>
                <w:sz w:val="20"/>
                <w:szCs w:val="20"/>
              </w:rPr>
              <w:t xml:space="preserve"> bilan</w:t>
            </w:r>
            <w:r w:rsidR="00935B9D">
              <w:rPr>
                <w:rFonts w:ascii="Arial" w:eastAsia="SimSun" w:hAnsi="Arial" w:cs="Arial"/>
                <w:sz w:val="20"/>
                <w:szCs w:val="20"/>
              </w:rPr>
              <w:t>ce</w:t>
            </w:r>
            <w:r w:rsidRPr="00677AB0">
              <w:rPr>
                <w:rFonts w:ascii="Arial" w:eastAsia="SimSun" w:hAnsi="Arial" w:cs="Arial"/>
                <w:sz w:val="20"/>
                <w:szCs w:val="20"/>
              </w:rPr>
              <w:t xml:space="preserve">, što bi moglo rezultirati većim domaćim i vanjskim zaduženjem. </w:t>
            </w:r>
          </w:p>
        </w:tc>
      </w:tr>
      <w:tr w:rsidR="0042308F" w:rsidRPr="00677AB0" w14:paraId="2940F107" w14:textId="77777777" w:rsidTr="00935B9D">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EEAF6" w:themeFill="accent1" w:themeFillTint="33"/>
            <w:vAlign w:val="center"/>
          </w:tcPr>
          <w:p w14:paraId="67BF1978" w14:textId="77777777" w:rsidR="0042308F" w:rsidRPr="00677AB0" w:rsidRDefault="0042308F" w:rsidP="00D71297">
            <w:pPr>
              <w:keepNext/>
              <w:spacing w:after="0"/>
              <w:rPr>
                <w:rFonts w:ascii="Arial" w:eastAsia="SimSun" w:hAnsi="Arial" w:cs="Arial"/>
                <w:b w:val="0"/>
                <w:bCs w:val="0"/>
                <w:color w:val="538135" w:themeColor="accent6" w:themeShade="BF"/>
                <w:sz w:val="20"/>
                <w:szCs w:val="20"/>
              </w:rPr>
            </w:pPr>
            <w:r w:rsidRPr="00677AB0">
              <w:rPr>
                <w:rFonts w:ascii="Arial" w:eastAsia="SimSun" w:hAnsi="Arial" w:cs="Arial"/>
                <w:b w:val="0"/>
                <w:bCs w:val="0"/>
                <w:i/>
                <w:sz w:val="20"/>
                <w:szCs w:val="20"/>
              </w:rPr>
              <w:t>Platn</w:t>
            </w:r>
            <w:r w:rsidR="00935B9D">
              <w:rPr>
                <w:rFonts w:ascii="Arial" w:eastAsia="SimSun" w:hAnsi="Arial" w:cs="Arial"/>
                <w:b w:val="0"/>
                <w:bCs w:val="0"/>
                <w:i/>
                <w:sz w:val="20"/>
                <w:szCs w:val="20"/>
              </w:rPr>
              <w:t>a</w:t>
            </w:r>
            <w:r w:rsidRPr="00677AB0">
              <w:rPr>
                <w:rFonts w:ascii="Arial" w:eastAsia="SimSun" w:hAnsi="Arial" w:cs="Arial"/>
                <w:b w:val="0"/>
                <w:bCs w:val="0"/>
                <w:i/>
                <w:sz w:val="20"/>
                <w:szCs w:val="20"/>
              </w:rPr>
              <w:t xml:space="preserve"> bilan</w:t>
            </w:r>
            <w:r w:rsidR="00935B9D">
              <w:rPr>
                <w:rFonts w:ascii="Arial" w:eastAsia="SimSun" w:hAnsi="Arial" w:cs="Arial"/>
                <w:b w:val="0"/>
                <w:bCs w:val="0"/>
                <w:i/>
                <w:sz w:val="20"/>
                <w:szCs w:val="20"/>
              </w:rPr>
              <w:t>ca</w:t>
            </w:r>
          </w:p>
        </w:tc>
      </w:tr>
      <w:tr w:rsidR="0042308F" w:rsidRPr="00677AB0" w14:paraId="215064CB" w14:textId="77777777" w:rsidTr="00935B9D">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B6B6A9E" w14:textId="77777777" w:rsidR="0042308F" w:rsidRPr="00677AB0" w:rsidRDefault="0042308F" w:rsidP="00D71297">
            <w:pPr>
              <w:pStyle w:val="ListParagraph"/>
              <w:keepNext/>
              <w:numPr>
                <w:ilvl w:val="0"/>
                <w:numId w:val="30"/>
              </w:numPr>
              <w:spacing w:after="0" w:line="240" w:lineRule="auto"/>
              <w:rPr>
                <w:rFonts w:ascii="Arial" w:eastAsia="SimSun" w:hAnsi="Arial" w:cs="Arial"/>
                <w:b w:val="0"/>
                <w:bCs w:val="0"/>
                <w:sz w:val="20"/>
                <w:szCs w:val="20"/>
              </w:rPr>
            </w:pPr>
            <w:r w:rsidRPr="00677AB0">
              <w:rPr>
                <w:rFonts w:ascii="Arial" w:eastAsia="SimSun" w:hAnsi="Arial" w:cs="Arial"/>
                <w:b w:val="0"/>
                <w:bCs w:val="0"/>
                <w:sz w:val="20"/>
                <w:szCs w:val="20"/>
              </w:rPr>
              <w:t>Vanjska potražnja/</w:t>
            </w:r>
            <w:r w:rsidR="00935B9D">
              <w:rPr>
                <w:rFonts w:ascii="Arial" w:eastAsia="SimSun" w:hAnsi="Arial" w:cs="Arial"/>
                <w:b w:val="0"/>
                <w:bCs w:val="0"/>
                <w:sz w:val="20"/>
                <w:szCs w:val="20"/>
              </w:rPr>
              <w:t>tečaj</w:t>
            </w:r>
            <w:r w:rsidRPr="00677AB0">
              <w:rPr>
                <w:rFonts w:ascii="Arial" w:eastAsia="SimSun" w:hAnsi="Arial" w:cs="Arial"/>
                <w:b w:val="0"/>
                <w:bCs w:val="0"/>
                <w:sz w:val="20"/>
                <w:szCs w:val="20"/>
              </w:rPr>
              <w:t xml:space="preserve">    valuta</w:t>
            </w:r>
          </w:p>
        </w:tc>
        <w:tc>
          <w:tcPr>
            <w:tcW w:w="0" w:type="auto"/>
            <w:shd w:val="clear" w:color="auto" w:fill="auto"/>
            <w:vAlign w:val="center"/>
          </w:tcPr>
          <w:p w14:paraId="22E5F768" w14:textId="77777777" w:rsidR="0042308F" w:rsidRPr="00677AB0" w:rsidRDefault="0042308F" w:rsidP="00D71297">
            <w:pPr>
              <w:keepNext/>
              <w:spacing w:after="0"/>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 do visoka</w:t>
            </w:r>
          </w:p>
        </w:tc>
        <w:tc>
          <w:tcPr>
            <w:tcW w:w="0" w:type="auto"/>
            <w:shd w:val="clear" w:color="auto" w:fill="auto"/>
            <w:vAlign w:val="center"/>
          </w:tcPr>
          <w:p w14:paraId="6B51199C" w14:textId="77777777" w:rsidR="0042308F" w:rsidRPr="00677AB0" w:rsidRDefault="0042308F" w:rsidP="00D71297">
            <w:pPr>
              <w:keepNext/>
              <w:spacing w:after="0"/>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Spor globalni rast, posebno u EU, može smanjiti izvoz i strane direktne investicije, dovodeći do pritiska na devizne rezerve, što bi s obzirom na aranžman valutnog odbora, moglo utjecati i na veće vanjsko zaduživanje. </w:t>
            </w:r>
          </w:p>
        </w:tc>
      </w:tr>
      <w:tr w:rsidR="0042308F" w:rsidRPr="00677AB0" w14:paraId="00740A8D" w14:textId="77777777" w:rsidTr="00935B9D">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EEAF6" w:themeFill="accent1" w:themeFillTint="33"/>
            <w:vAlign w:val="center"/>
          </w:tcPr>
          <w:p w14:paraId="2437819C" w14:textId="77777777" w:rsidR="0042308F" w:rsidRPr="00677AB0" w:rsidRDefault="0042308F" w:rsidP="00D71297">
            <w:pPr>
              <w:keepNext/>
              <w:spacing w:after="0"/>
              <w:rPr>
                <w:rFonts w:ascii="Arial" w:eastAsia="SimSun" w:hAnsi="Arial" w:cs="Arial"/>
                <w:b w:val="0"/>
                <w:bCs w:val="0"/>
                <w:color w:val="538135" w:themeColor="accent6" w:themeShade="BF"/>
                <w:sz w:val="20"/>
                <w:szCs w:val="20"/>
              </w:rPr>
            </w:pPr>
            <w:r w:rsidRPr="00677AB0">
              <w:rPr>
                <w:rFonts w:ascii="Arial" w:eastAsia="SimSun" w:hAnsi="Arial" w:cs="Arial"/>
                <w:b w:val="0"/>
                <w:bCs w:val="0"/>
                <w:i/>
                <w:sz w:val="20"/>
                <w:szCs w:val="20"/>
              </w:rPr>
              <w:t xml:space="preserve">Inflacija </w:t>
            </w:r>
          </w:p>
        </w:tc>
      </w:tr>
      <w:tr w:rsidR="0042308F" w:rsidRPr="00677AB0" w14:paraId="357A56F8" w14:textId="77777777" w:rsidTr="00935B9D">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EC584A2" w14:textId="77777777" w:rsidR="0042308F" w:rsidRPr="00677AB0" w:rsidRDefault="0042308F" w:rsidP="00D71297">
            <w:pPr>
              <w:pStyle w:val="ListParagraph"/>
              <w:keepNext/>
              <w:numPr>
                <w:ilvl w:val="0"/>
                <w:numId w:val="30"/>
              </w:numPr>
              <w:spacing w:after="0" w:line="240" w:lineRule="auto"/>
              <w:rPr>
                <w:rFonts w:ascii="Arial" w:eastAsia="SimSun" w:hAnsi="Arial" w:cs="Arial"/>
                <w:b w:val="0"/>
                <w:bCs w:val="0"/>
                <w:sz w:val="20"/>
                <w:szCs w:val="20"/>
              </w:rPr>
            </w:pPr>
            <w:r w:rsidRPr="00677AB0">
              <w:rPr>
                <w:rFonts w:ascii="Arial" w:eastAsia="SimSun" w:hAnsi="Arial" w:cs="Arial"/>
                <w:b w:val="0"/>
                <w:bCs w:val="0"/>
                <w:sz w:val="20"/>
                <w:szCs w:val="20"/>
              </w:rPr>
              <w:t>Cijene roba/</w:t>
            </w:r>
            <w:r w:rsidR="00935B9D">
              <w:rPr>
                <w:rFonts w:ascii="Arial" w:eastAsia="SimSun" w:hAnsi="Arial" w:cs="Arial"/>
                <w:b w:val="0"/>
                <w:bCs w:val="0"/>
                <w:sz w:val="20"/>
                <w:szCs w:val="20"/>
              </w:rPr>
              <w:t>tečaj</w:t>
            </w:r>
            <w:r w:rsidRPr="00677AB0">
              <w:rPr>
                <w:rFonts w:ascii="Arial" w:eastAsia="SimSun" w:hAnsi="Arial" w:cs="Arial"/>
                <w:b w:val="0"/>
                <w:bCs w:val="0"/>
                <w:sz w:val="20"/>
                <w:szCs w:val="20"/>
              </w:rPr>
              <w:t xml:space="preserve"> valuta</w:t>
            </w:r>
          </w:p>
        </w:tc>
        <w:tc>
          <w:tcPr>
            <w:tcW w:w="0" w:type="auto"/>
            <w:shd w:val="clear" w:color="auto" w:fill="auto"/>
            <w:vAlign w:val="center"/>
          </w:tcPr>
          <w:p w14:paraId="7A7E2AA4" w14:textId="77777777" w:rsidR="0042308F" w:rsidRPr="00677AB0" w:rsidRDefault="0042308F" w:rsidP="00D71297">
            <w:pPr>
              <w:keepNext/>
              <w:spacing w:after="0"/>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 do mala</w:t>
            </w:r>
          </w:p>
        </w:tc>
        <w:tc>
          <w:tcPr>
            <w:tcW w:w="0" w:type="auto"/>
            <w:shd w:val="clear" w:color="auto" w:fill="auto"/>
            <w:vAlign w:val="center"/>
          </w:tcPr>
          <w:p w14:paraId="5536E19E" w14:textId="77777777" w:rsidR="0042308F" w:rsidRPr="00677AB0" w:rsidRDefault="0042308F" w:rsidP="00D71297">
            <w:pPr>
              <w:keepNext/>
              <w:spacing w:after="0"/>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color w:val="538135" w:themeColor="accent6" w:themeShade="BF"/>
                <w:sz w:val="20"/>
                <w:szCs w:val="20"/>
              </w:rPr>
            </w:pPr>
            <w:r w:rsidRPr="00677AB0">
              <w:rPr>
                <w:rFonts w:ascii="Arial" w:eastAsia="SimSun" w:hAnsi="Arial" w:cs="Arial"/>
                <w:sz w:val="20"/>
                <w:szCs w:val="20"/>
              </w:rPr>
              <w:t xml:space="preserve">Na rast cijena najveći utjecaj će imati rast cijena energenata, te rast cijena hrane, pića i komunalija. Veća inflacija bi mogla povećati troškove servisiranja duga. </w:t>
            </w:r>
          </w:p>
        </w:tc>
      </w:tr>
      <w:tr w:rsidR="0042308F" w:rsidRPr="00677AB0" w14:paraId="627B926F" w14:textId="77777777" w:rsidTr="00935B9D">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EEAF6" w:themeFill="accent1" w:themeFillTint="33"/>
            <w:vAlign w:val="center"/>
          </w:tcPr>
          <w:p w14:paraId="31674980" w14:textId="77777777" w:rsidR="0042308F" w:rsidRPr="00677AB0" w:rsidRDefault="0042308F" w:rsidP="00D71297">
            <w:pPr>
              <w:keepNext/>
              <w:spacing w:after="0"/>
              <w:rPr>
                <w:rFonts w:ascii="Arial" w:eastAsia="SimSun" w:hAnsi="Arial" w:cs="Arial"/>
                <w:b w:val="0"/>
                <w:bCs w:val="0"/>
                <w:color w:val="538135" w:themeColor="accent6" w:themeShade="BF"/>
                <w:sz w:val="20"/>
                <w:szCs w:val="20"/>
              </w:rPr>
            </w:pPr>
            <w:r>
              <w:rPr>
                <w:rFonts w:ascii="Arial" w:eastAsia="SimSun" w:hAnsi="Arial" w:cs="Arial"/>
                <w:b w:val="0"/>
                <w:bCs w:val="0"/>
                <w:i/>
                <w:sz w:val="20"/>
                <w:szCs w:val="20"/>
              </w:rPr>
              <w:t>Financ</w:t>
            </w:r>
            <w:r w:rsidRPr="00677AB0">
              <w:rPr>
                <w:rFonts w:ascii="Arial" w:eastAsia="SimSun" w:hAnsi="Arial" w:cs="Arial"/>
                <w:b w:val="0"/>
                <w:bCs w:val="0"/>
                <w:i/>
                <w:sz w:val="20"/>
                <w:szCs w:val="20"/>
              </w:rPr>
              <w:t xml:space="preserve">ijski </w:t>
            </w:r>
            <w:r w:rsidR="00935B9D">
              <w:rPr>
                <w:rFonts w:ascii="Arial" w:eastAsia="SimSun" w:hAnsi="Arial" w:cs="Arial"/>
                <w:b w:val="0"/>
                <w:bCs w:val="0"/>
                <w:i/>
                <w:sz w:val="20"/>
                <w:szCs w:val="20"/>
              </w:rPr>
              <w:t>sustav</w:t>
            </w:r>
            <w:r w:rsidRPr="00677AB0">
              <w:rPr>
                <w:rFonts w:ascii="Arial" w:eastAsia="SimSun" w:hAnsi="Arial" w:cs="Arial"/>
                <w:b w:val="0"/>
                <w:bCs w:val="0"/>
                <w:sz w:val="20"/>
                <w:szCs w:val="20"/>
              </w:rPr>
              <w:t xml:space="preserve"> </w:t>
            </w:r>
          </w:p>
        </w:tc>
      </w:tr>
      <w:tr w:rsidR="0042308F" w:rsidRPr="00677AB0" w14:paraId="7E29E8D0" w14:textId="77777777" w:rsidTr="00935B9D">
        <w:trPr>
          <w:cnfStyle w:val="000000100000" w:firstRow="0" w:lastRow="0" w:firstColumn="0" w:lastColumn="0" w:oddVBand="0" w:evenVBand="0" w:oddHBand="1" w:evenHBand="0" w:firstRowFirstColumn="0" w:firstRowLastColumn="0" w:lastRowFirstColumn="0" w:lastRowLastColumn="0"/>
          <w:trHeight w:val="107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9AD8B7C" w14:textId="77777777" w:rsidR="0042308F" w:rsidRPr="00677AB0" w:rsidRDefault="0042308F" w:rsidP="00D71297">
            <w:pPr>
              <w:pStyle w:val="ListParagraph"/>
              <w:keepNext/>
              <w:numPr>
                <w:ilvl w:val="0"/>
                <w:numId w:val="30"/>
              </w:numPr>
              <w:spacing w:after="0" w:line="240" w:lineRule="auto"/>
              <w:rPr>
                <w:rFonts w:ascii="Arial" w:eastAsia="SimSun" w:hAnsi="Arial" w:cs="Arial"/>
                <w:b w:val="0"/>
                <w:bCs w:val="0"/>
                <w:sz w:val="20"/>
                <w:szCs w:val="20"/>
              </w:rPr>
            </w:pPr>
            <w:r w:rsidRPr="00677AB0">
              <w:rPr>
                <w:rFonts w:ascii="Arial" w:eastAsia="SimSun" w:hAnsi="Arial" w:cs="Arial"/>
                <w:b w:val="0"/>
                <w:bCs w:val="0"/>
                <w:sz w:val="20"/>
                <w:szCs w:val="20"/>
              </w:rPr>
              <w:t xml:space="preserve">Sveukupno         stanje </w:t>
            </w:r>
          </w:p>
        </w:tc>
        <w:tc>
          <w:tcPr>
            <w:tcW w:w="0" w:type="auto"/>
            <w:shd w:val="clear" w:color="auto" w:fill="auto"/>
            <w:vAlign w:val="center"/>
          </w:tcPr>
          <w:p w14:paraId="51CCE1BF" w14:textId="77777777" w:rsidR="0042308F" w:rsidRPr="00677AB0" w:rsidRDefault="0042308F" w:rsidP="00D71297">
            <w:pPr>
              <w:keepNext/>
              <w:spacing w:after="0"/>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Srednja</w:t>
            </w:r>
          </w:p>
        </w:tc>
        <w:tc>
          <w:tcPr>
            <w:tcW w:w="0" w:type="auto"/>
            <w:shd w:val="clear" w:color="auto" w:fill="auto"/>
            <w:vAlign w:val="center"/>
          </w:tcPr>
          <w:p w14:paraId="3BFD4417" w14:textId="77777777" w:rsidR="0042308F" w:rsidRPr="00677AB0" w:rsidRDefault="0042308F" w:rsidP="00D71297">
            <w:pPr>
              <w:spacing w:after="0"/>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sidRPr="00677AB0">
              <w:rPr>
                <w:rFonts w:ascii="Arial" w:eastAsia="SimSun" w:hAnsi="Arial" w:cs="Arial"/>
                <w:sz w:val="20"/>
                <w:szCs w:val="20"/>
              </w:rPr>
              <w:t xml:space="preserve">Stopa adekvatnosti kapitala </w:t>
            </w:r>
            <w:r w:rsidR="00935B9D">
              <w:rPr>
                <w:rFonts w:ascii="Arial" w:eastAsia="SimSun" w:hAnsi="Arial" w:cs="Arial"/>
                <w:sz w:val="20"/>
                <w:szCs w:val="20"/>
              </w:rPr>
              <w:t>bankovnog sustava</w:t>
            </w:r>
            <w:r w:rsidRPr="00677AB0">
              <w:rPr>
                <w:rFonts w:ascii="Arial" w:eastAsia="SimSun" w:hAnsi="Arial" w:cs="Arial"/>
                <w:sz w:val="20"/>
                <w:szCs w:val="20"/>
              </w:rPr>
              <w:t xml:space="preserve"> je znatno viša od zakonskog minimuma i predstavlja zadovoljavajuću kapitaliziranost ukupnog </w:t>
            </w:r>
            <w:r w:rsidR="00935B9D">
              <w:rPr>
                <w:rFonts w:ascii="Arial" w:eastAsia="SimSun" w:hAnsi="Arial" w:cs="Arial"/>
                <w:sz w:val="20"/>
                <w:szCs w:val="20"/>
              </w:rPr>
              <w:t>sustava</w:t>
            </w:r>
            <w:r w:rsidRPr="00677AB0">
              <w:rPr>
                <w:rFonts w:ascii="Arial" w:eastAsia="SimSun" w:hAnsi="Arial" w:cs="Arial"/>
                <w:sz w:val="20"/>
                <w:szCs w:val="20"/>
              </w:rPr>
              <w:t xml:space="preserve"> za postojeć</w:t>
            </w:r>
            <w:r w:rsidR="00935B9D">
              <w:rPr>
                <w:rFonts w:ascii="Arial" w:eastAsia="SimSun" w:hAnsi="Arial" w:cs="Arial"/>
                <w:sz w:val="20"/>
                <w:szCs w:val="20"/>
              </w:rPr>
              <w:t xml:space="preserve">u razinu </w:t>
            </w:r>
            <w:r w:rsidRPr="00677AB0">
              <w:rPr>
                <w:rFonts w:ascii="Arial" w:eastAsia="SimSun" w:hAnsi="Arial" w:cs="Arial"/>
                <w:sz w:val="20"/>
                <w:szCs w:val="20"/>
              </w:rPr>
              <w:t xml:space="preserve">izloženosti rizicima i jaku osnovu za očuvanje njegove sigurnosti i stabilnosti. </w:t>
            </w:r>
          </w:p>
        </w:tc>
      </w:tr>
    </w:tbl>
    <w:p w14:paraId="28D57830" w14:textId="77777777" w:rsidR="0042308F" w:rsidRPr="00677AB0" w:rsidRDefault="0042308F" w:rsidP="0042308F"/>
    <w:p w14:paraId="20709066" w14:textId="77777777" w:rsidR="0042308F" w:rsidRPr="00677AB0" w:rsidRDefault="0042308F" w:rsidP="0042308F">
      <w:pPr>
        <w:pStyle w:val="Heading1"/>
        <w:numPr>
          <w:ilvl w:val="0"/>
          <w:numId w:val="1"/>
        </w:numPr>
        <w:spacing w:before="0"/>
        <w:ind w:left="567" w:hanging="425"/>
        <w:rPr>
          <w:rFonts w:ascii="Arial" w:hAnsi="Arial" w:cs="Arial"/>
          <w:b w:val="0"/>
          <w:color w:val="auto"/>
        </w:rPr>
      </w:pPr>
      <w:bookmarkStart w:id="104" w:name="_Toc172282250"/>
      <w:r w:rsidRPr="00677AB0">
        <w:rPr>
          <w:rFonts w:ascii="Arial" w:hAnsi="Arial" w:cs="Arial"/>
          <w:b w:val="0"/>
          <w:color w:val="auto"/>
        </w:rPr>
        <w:t xml:space="preserve">IZVORI  </w:t>
      </w:r>
      <w:r>
        <w:rPr>
          <w:rFonts w:ascii="Arial" w:hAnsi="Arial" w:cs="Arial"/>
          <w:b w:val="0"/>
          <w:color w:val="auto"/>
        </w:rPr>
        <w:t>FINANC</w:t>
      </w:r>
      <w:r w:rsidRPr="00677AB0">
        <w:rPr>
          <w:rFonts w:ascii="Arial" w:hAnsi="Arial" w:cs="Arial"/>
          <w:b w:val="0"/>
          <w:color w:val="auto"/>
        </w:rPr>
        <w:t>IRANJA</w:t>
      </w:r>
      <w:bookmarkEnd w:id="104"/>
    </w:p>
    <w:p w14:paraId="19604D0F" w14:textId="77777777" w:rsidR="0042308F" w:rsidRPr="00677AB0" w:rsidRDefault="0042308F" w:rsidP="0042308F"/>
    <w:p w14:paraId="1E78EE2D"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05" w:name="_Toc172282251"/>
      <w:r w:rsidRPr="00677AB0">
        <w:rPr>
          <w:rFonts w:ascii="Arial" w:hAnsi="Arial" w:cs="Arial"/>
          <w:b w:val="0"/>
          <w:color w:val="auto"/>
          <w:sz w:val="24"/>
          <w:szCs w:val="24"/>
        </w:rPr>
        <w:lastRenderedPageBreak/>
        <w:t xml:space="preserve">Vanjski izvori </w:t>
      </w:r>
      <w:r>
        <w:rPr>
          <w:rFonts w:ascii="Arial" w:hAnsi="Arial" w:cs="Arial"/>
          <w:b w:val="0"/>
          <w:color w:val="auto"/>
          <w:sz w:val="24"/>
          <w:szCs w:val="24"/>
        </w:rPr>
        <w:t>financ</w:t>
      </w:r>
      <w:r w:rsidRPr="00677AB0">
        <w:rPr>
          <w:rFonts w:ascii="Arial" w:hAnsi="Arial" w:cs="Arial"/>
          <w:b w:val="0"/>
          <w:color w:val="auto"/>
          <w:sz w:val="24"/>
          <w:szCs w:val="24"/>
        </w:rPr>
        <w:t>iranja</w:t>
      </w:r>
      <w:bookmarkEnd w:id="105"/>
    </w:p>
    <w:p w14:paraId="2055F0E4" w14:textId="77777777" w:rsidR="0042308F" w:rsidRPr="00677AB0" w:rsidRDefault="0042308F" w:rsidP="0042308F">
      <w:pPr>
        <w:spacing w:after="0"/>
      </w:pPr>
    </w:p>
    <w:p w14:paraId="1C072BAE" w14:textId="58883F85" w:rsidR="0042308F" w:rsidRDefault="0042308F" w:rsidP="00935B9D">
      <w:pPr>
        <w:pStyle w:val="NoSpacing"/>
        <w:spacing w:line="276" w:lineRule="auto"/>
        <w:ind w:firstLine="284"/>
        <w:jc w:val="both"/>
        <w:rPr>
          <w:rFonts w:ascii="Arial" w:hAnsi="Arial" w:cs="Arial"/>
          <w:lang w:val="hr-HR"/>
        </w:rPr>
      </w:pPr>
      <w:r w:rsidRPr="00677AB0">
        <w:rPr>
          <w:rFonts w:ascii="Arial" w:hAnsi="Arial" w:cs="Arial"/>
          <w:lang w:val="hr-HR"/>
        </w:rPr>
        <w:t xml:space="preserve">Vanjska </w:t>
      </w:r>
      <w:r>
        <w:rPr>
          <w:rFonts w:ascii="Arial" w:hAnsi="Arial" w:cs="Arial"/>
          <w:lang w:val="hr-HR"/>
        </w:rPr>
        <w:t>financ</w:t>
      </w:r>
      <w:r w:rsidRPr="00677AB0">
        <w:rPr>
          <w:rFonts w:ascii="Arial" w:hAnsi="Arial" w:cs="Arial"/>
          <w:lang w:val="hr-HR"/>
        </w:rPr>
        <w:t xml:space="preserve">ijska sredstva koja Federaciji BiH već stoje na raspolaganju i planira ih </w:t>
      </w:r>
      <w:r w:rsidR="00935B9D" w:rsidRPr="00677AB0">
        <w:rPr>
          <w:rFonts w:ascii="Arial" w:hAnsi="Arial" w:cs="Arial"/>
          <w:lang w:val="hr-HR"/>
        </w:rPr>
        <w:t>angažirati</w:t>
      </w:r>
      <w:r w:rsidRPr="00677AB0">
        <w:rPr>
          <w:rFonts w:ascii="Arial" w:hAnsi="Arial" w:cs="Arial"/>
          <w:lang w:val="hr-HR"/>
        </w:rPr>
        <w:t xml:space="preserve"> u </w:t>
      </w:r>
      <w:r w:rsidR="00935B9D">
        <w:rPr>
          <w:rFonts w:ascii="Arial" w:hAnsi="Arial" w:cs="Arial"/>
          <w:lang w:val="hr-HR"/>
        </w:rPr>
        <w:t>razdoblju</w:t>
      </w:r>
      <w:r w:rsidRPr="00677AB0">
        <w:rPr>
          <w:rFonts w:ascii="Arial" w:hAnsi="Arial" w:cs="Arial"/>
          <w:lang w:val="hr-HR"/>
        </w:rPr>
        <w:t xml:space="preserve"> 2024 – 2026. procjenjuju se na 1.525,35 mil.KM</w:t>
      </w:r>
      <w:r w:rsidRPr="00677AB0">
        <w:rPr>
          <w:rStyle w:val="FootnoteReference"/>
          <w:rFonts w:ascii="Arial" w:hAnsi="Arial" w:cs="Arial"/>
          <w:lang w:val="hr-HR"/>
        </w:rPr>
        <w:footnoteReference w:id="6"/>
      </w:r>
      <w:r w:rsidRPr="00677AB0">
        <w:rPr>
          <w:rFonts w:ascii="Arial" w:hAnsi="Arial" w:cs="Arial"/>
          <w:lang w:val="hr-HR"/>
        </w:rPr>
        <w:t xml:space="preserve"> (861,76 mil. USD</w:t>
      </w:r>
      <w:r w:rsidRPr="00677AB0">
        <w:rPr>
          <w:rStyle w:val="FootnoteReference"/>
          <w:rFonts w:ascii="Arial" w:hAnsi="Arial" w:cs="Arial"/>
          <w:lang w:val="hr-HR"/>
        </w:rPr>
        <w:footnoteReference w:id="7"/>
      </w:r>
      <w:r w:rsidRPr="00677AB0">
        <w:rPr>
          <w:rFonts w:ascii="Arial" w:hAnsi="Arial" w:cs="Arial"/>
          <w:lang w:val="hr-HR"/>
        </w:rPr>
        <w:t>). Uzimajući u obzir ciljeve definirane ovom Strategijom, troškove i rizike ugovaranja zajmova</w:t>
      </w:r>
      <w:r w:rsidR="00935B9D">
        <w:rPr>
          <w:rFonts w:ascii="Arial" w:hAnsi="Arial" w:cs="Arial"/>
          <w:lang w:val="hr-HR"/>
        </w:rPr>
        <w:t>, Federacija BiH će nastaviti s</w:t>
      </w:r>
      <w:r w:rsidRPr="00677AB0">
        <w:rPr>
          <w:rFonts w:ascii="Arial" w:hAnsi="Arial" w:cs="Arial"/>
          <w:lang w:val="hr-HR"/>
        </w:rPr>
        <w:t xml:space="preserve"> politikom maksimiziranja zaduživanja kod međunarodnih </w:t>
      </w:r>
      <w:r>
        <w:rPr>
          <w:rFonts w:ascii="Arial" w:hAnsi="Arial" w:cs="Arial"/>
          <w:lang w:val="hr-HR"/>
        </w:rPr>
        <w:t>financ</w:t>
      </w:r>
      <w:r w:rsidRPr="00677AB0">
        <w:rPr>
          <w:rFonts w:ascii="Arial" w:hAnsi="Arial" w:cs="Arial"/>
          <w:lang w:val="hr-HR"/>
        </w:rPr>
        <w:t xml:space="preserve">ijskih institucija, a procjene ukazuju da bi se većina planiranih potreba za </w:t>
      </w:r>
      <w:r>
        <w:rPr>
          <w:rFonts w:ascii="Arial" w:hAnsi="Arial" w:cs="Arial"/>
          <w:lang w:val="hr-HR"/>
        </w:rPr>
        <w:t>financ</w:t>
      </w:r>
      <w:r w:rsidRPr="00677AB0">
        <w:rPr>
          <w:rFonts w:ascii="Arial" w:hAnsi="Arial" w:cs="Arial"/>
          <w:lang w:val="hr-HR"/>
        </w:rPr>
        <w:t xml:space="preserve">iranjem kapitalnih investicija moglo zadovoljiti </w:t>
      </w:r>
      <w:r>
        <w:rPr>
          <w:rFonts w:ascii="Arial" w:hAnsi="Arial" w:cs="Arial"/>
          <w:lang w:val="hr-HR"/>
        </w:rPr>
        <w:t>financ</w:t>
      </w:r>
      <w:r w:rsidRPr="00677AB0">
        <w:rPr>
          <w:rFonts w:ascii="Arial" w:hAnsi="Arial" w:cs="Arial"/>
          <w:lang w:val="hr-HR"/>
        </w:rPr>
        <w:t>iranjem iz ovih izvora, dok bi se manji dio potreba koji se odnosi na re</w:t>
      </w:r>
      <w:r>
        <w:rPr>
          <w:rFonts w:ascii="Arial" w:hAnsi="Arial" w:cs="Arial"/>
          <w:lang w:val="hr-HR"/>
        </w:rPr>
        <w:t>financ</w:t>
      </w:r>
      <w:r w:rsidRPr="00677AB0">
        <w:rPr>
          <w:rFonts w:ascii="Arial" w:hAnsi="Arial" w:cs="Arial"/>
          <w:lang w:val="hr-HR"/>
        </w:rPr>
        <w:t>iranje dijela postojećeg vanjskog duga trebao pokriti izdanjem obveznica na međunarodnom tržištu kapitala.</w:t>
      </w:r>
    </w:p>
    <w:p w14:paraId="7DF9B2F2" w14:textId="6F52E1C0" w:rsidR="001967B2" w:rsidRDefault="001967B2" w:rsidP="00935B9D">
      <w:pPr>
        <w:pStyle w:val="NoSpacing"/>
        <w:spacing w:line="276" w:lineRule="auto"/>
        <w:ind w:firstLine="284"/>
        <w:jc w:val="both"/>
        <w:rPr>
          <w:rFonts w:ascii="Arial" w:hAnsi="Arial" w:cs="Arial"/>
          <w:lang w:val="hr-HR"/>
        </w:rPr>
      </w:pPr>
    </w:p>
    <w:p w14:paraId="59AB7C0F" w14:textId="77777777" w:rsidR="001967B2" w:rsidRPr="00935B9D" w:rsidRDefault="001967B2" w:rsidP="00935B9D">
      <w:pPr>
        <w:pStyle w:val="NoSpacing"/>
        <w:spacing w:line="276" w:lineRule="auto"/>
        <w:ind w:firstLine="284"/>
        <w:jc w:val="both"/>
        <w:rPr>
          <w:rFonts w:ascii="Arial" w:hAnsi="Arial" w:cs="Arial"/>
          <w:lang w:val="hr-HR"/>
        </w:rPr>
      </w:pPr>
    </w:p>
    <w:p w14:paraId="5A236550" w14:textId="77777777" w:rsidR="0042308F" w:rsidRPr="00677AB0" w:rsidRDefault="00153015" w:rsidP="0042308F">
      <w:pPr>
        <w:pStyle w:val="NoSpacing"/>
        <w:rPr>
          <w:rFonts w:ascii="Arial" w:hAnsi="Arial" w:cs="Arial"/>
          <w:sz w:val="20"/>
          <w:lang w:val="hr-HR"/>
        </w:rPr>
      </w:pPr>
      <w:r>
        <w:rPr>
          <w:rFonts w:ascii="Arial" w:hAnsi="Arial" w:cs="Arial"/>
          <w:sz w:val="20"/>
          <w:lang w:val="hr-HR"/>
        </w:rPr>
        <w:t>Tablica</w:t>
      </w:r>
      <w:r w:rsidR="0042308F" w:rsidRPr="00677AB0">
        <w:rPr>
          <w:rFonts w:ascii="Arial" w:hAnsi="Arial" w:cs="Arial"/>
          <w:sz w:val="20"/>
          <w:lang w:val="hr-HR"/>
        </w:rPr>
        <w:t xml:space="preserve"> 8: Pregled ugovorenih i planiranih vanjskih izvora </w:t>
      </w:r>
      <w:r w:rsidR="0042308F">
        <w:rPr>
          <w:rFonts w:ascii="Arial" w:hAnsi="Arial" w:cs="Arial"/>
          <w:sz w:val="20"/>
          <w:lang w:val="hr-HR"/>
        </w:rPr>
        <w:t>financ</w:t>
      </w:r>
      <w:r w:rsidR="00935B9D">
        <w:rPr>
          <w:rFonts w:ascii="Arial" w:hAnsi="Arial" w:cs="Arial"/>
          <w:sz w:val="20"/>
          <w:lang w:val="hr-HR"/>
        </w:rPr>
        <w:t>iranja u razdoblju</w:t>
      </w:r>
      <w:r w:rsidR="0042308F" w:rsidRPr="00677AB0">
        <w:rPr>
          <w:rFonts w:ascii="Arial" w:hAnsi="Arial" w:cs="Arial"/>
          <w:sz w:val="20"/>
          <w:lang w:val="hr-HR"/>
        </w:rPr>
        <w:t xml:space="preserve"> 2024 – 2026. godina </w:t>
      </w:r>
    </w:p>
    <w:tbl>
      <w:tblPr>
        <w:tblW w:w="5000" w:type="pct"/>
        <w:tblLook w:val="04A0" w:firstRow="1" w:lastRow="0" w:firstColumn="1" w:lastColumn="0" w:noHBand="0" w:noVBand="1"/>
      </w:tblPr>
      <w:tblGrid>
        <w:gridCol w:w="1281"/>
        <w:gridCol w:w="1191"/>
        <w:gridCol w:w="865"/>
        <w:gridCol w:w="865"/>
        <w:gridCol w:w="865"/>
        <w:gridCol w:w="1338"/>
        <w:gridCol w:w="927"/>
        <w:gridCol w:w="1718"/>
      </w:tblGrid>
      <w:tr w:rsidR="0042308F" w:rsidRPr="00677AB0" w14:paraId="550C7D3C" w14:textId="77777777" w:rsidTr="0042308F">
        <w:trPr>
          <w:trHeight w:val="345"/>
        </w:trPr>
        <w:tc>
          <w:tcPr>
            <w:tcW w:w="708" w:type="pct"/>
            <w:vMerge w:val="restart"/>
            <w:tcBorders>
              <w:top w:val="single" w:sz="8" w:space="0" w:color="4F81BD"/>
              <w:left w:val="single" w:sz="8" w:space="0" w:color="4F81BD"/>
              <w:bottom w:val="single" w:sz="8" w:space="0" w:color="4F81BD"/>
              <w:right w:val="single" w:sz="8" w:space="0" w:color="0070C0"/>
            </w:tcBorders>
            <w:shd w:val="clear" w:color="auto" w:fill="auto"/>
            <w:vAlign w:val="center"/>
            <w:hideMark/>
          </w:tcPr>
          <w:p w14:paraId="1AF28342"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Kreditor</w:t>
            </w:r>
          </w:p>
        </w:tc>
        <w:tc>
          <w:tcPr>
            <w:tcW w:w="65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64A2429B"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Kamatna stopa</w:t>
            </w:r>
          </w:p>
        </w:tc>
        <w:tc>
          <w:tcPr>
            <w:tcW w:w="478" w:type="pct"/>
            <w:tcBorders>
              <w:top w:val="single" w:sz="8" w:space="0" w:color="4F81BD"/>
              <w:left w:val="nil"/>
              <w:bottom w:val="single" w:sz="8" w:space="0" w:color="0070C0"/>
              <w:right w:val="single" w:sz="8" w:space="0" w:color="0070C0"/>
            </w:tcBorders>
            <w:shd w:val="clear" w:color="auto" w:fill="auto"/>
            <w:vAlign w:val="center"/>
            <w:hideMark/>
          </w:tcPr>
          <w:p w14:paraId="3FE22706"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Grace</w:t>
            </w:r>
          </w:p>
        </w:tc>
        <w:tc>
          <w:tcPr>
            <w:tcW w:w="47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61FFEE8A"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Rok otplate</w:t>
            </w:r>
          </w:p>
        </w:tc>
        <w:tc>
          <w:tcPr>
            <w:tcW w:w="47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26F0A69"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Valuta</w:t>
            </w:r>
          </w:p>
        </w:tc>
        <w:tc>
          <w:tcPr>
            <w:tcW w:w="739" w:type="pct"/>
            <w:vMerge w:val="restart"/>
            <w:tcBorders>
              <w:top w:val="single" w:sz="8" w:space="0" w:color="4F81BD"/>
              <w:left w:val="nil"/>
              <w:bottom w:val="single" w:sz="8" w:space="0" w:color="4F81BD"/>
              <w:right w:val="single" w:sz="8" w:space="0" w:color="0070C0"/>
            </w:tcBorders>
            <w:shd w:val="clear" w:color="auto" w:fill="auto"/>
            <w:vAlign w:val="center"/>
            <w:hideMark/>
          </w:tcPr>
          <w:p w14:paraId="68EF35A9" w14:textId="77777777" w:rsidR="0042308F" w:rsidRPr="00677AB0" w:rsidRDefault="0042308F" w:rsidP="0042308F">
            <w:pPr>
              <w:spacing w:after="0" w:line="240" w:lineRule="auto"/>
              <w:jc w:val="center"/>
              <w:rPr>
                <w:rFonts w:ascii="Arial" w:eastAsia="Times New Roman" w:hAnsi="Arial" w:cs="Arial"/>
                <w:bCs/>
                <w:sz w:val="16"/>
                <w:szCs w:val="16"/>
              </w:rPr>
            </w:pPr>
            <w:r>
              <w:rPr>
                <w:rFonts w:ascii="Arial" w:eastAsia="Times New Roman" w:hAnsi="Arial" w:cs="Arial"/>
                <w:bCs/>
                <w:sz w:val="16"/>
                <w:szCs w:val="16"/>
              </w:rPr>
              <w:t>Financ</w:t>
            </w:r>
            <w:r w:rsidRPr="00677AB0">
              <w:rPr>
                <w:rFonts w:ascii="Arial" w:eastAsia="Times New Roman" w:hAnsi="Arial" w:cs="Arial"/>
                <w:bCs/>
                <w:sz w:val="16"/>
                <w:szCs w:val="16"/>
              </w:rPr>
              <w:t>iranje mil. USD</w:t>
            </w:r>
          </w:p>
        </w:tc>
        <w:tc>
          <w:tcPr>
            <w:tcW w:w="512"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BEA743A"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w:t>
            </w:r>
          </w:p>
        </w:tc>
        <w:tc>
          <w:tcPr>
            <w:tcW w:w="949" w:type="pct"/>
            <w:vMerge w:val="restart"/>
            <w:tcBorders>
              <w:top w:val="single" w:sz="8" w:space="0" w:color="4F81BD"/>
              <w:left w:val="nil"/>
              <w:bottom w:val="single" w:sz="8" w:space="0" w:color="4F81BD"/>
              <w:right w:val="single" w:sz="8" w:space="0" w:color="4F81BD"/>
            </w:tcBorders>
            <w:shd w:val="clear" w:color="auto" w:fill="auto"/>
            <w:vAlign w:val="center"/>
            <w:hideMark/>
          </w:tcPr>
          <w:p w14:paraId="2C79BB20"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Rizici</w:t>
            </w:r>
          </w:p>
        </w:tc>
      </w:tr>
      <w:tr w:rsidR="0042308F" w:rsidRPr="00677AB0" w14:paraId="0B696538" w14:textId="77777777" w:rsidTr="0042308F">
        <w:trPr>
          <w:trHeight w:val="345"/>
        </w:trPr>
        <w:tc>
          <w:tcPr>
            <w:tcW w:w="708" w:type="pct"/>
            <w:vMerge/>
            <w:tcBorders>
              <w:top w:val="single" w:sz="8" w:space="0" w:color="4F81BD"/>
              <w:left w:val="single" w:sz="8" w:space="0" w:color="4F81BD"/>
              <w:bottom w:val="single" w:sz="8" w:space="0" w:color="4F81BD"/>
              <w:right w:val="single" w:sz="8" w:space="0" w:color="0070C0"/>
            </w:tcBorders>
            <w:vAlign w:val="center"/>
            <w:hideMark/>
          </w:tcPr>
          <w:p w14:paraId="5B2D52FE" w14:textId="77777777" w:rsidR="0042308F" w:rsidRPr="00677AB0" w:rsidRDefault="0042308F" w:rsidP="0042308F">
            <w:pPr>
              <w:spacing w:after="0" w:line="240" w:lineRule="auto"/>
              <w:rPr>
                <w:rFonts w:ascii="Arial" w:eastAsia="Times New Roman" w:hAnsi="Arial" w:cs="Arial"/>
                <w:b/>
                <w:bCs/>
                <w:sz w:val="16"/>
                <w:szCs w:val="16"/>
              </w:rPr>
            </w:pPr>
          </w:p>
        </w:tc>
        <w:tc>
          <w:tcPr>
            <w:tcW w:w="658" w:type="pct"/>
            <w:vMerge/>
            <w:tcBorders>
              <w:top w:val="single" w:sz="8" w:space="0" w:color="4F81BD"/>
              <w:left w:val="single" w:sz="8" w:space="0" w:color="0070C0"/>
              <w:bottom w:val="single" w:sz="8" w:space="0" w:color="4F81BD"/>
              <w:right w:val="single" w:sz="8" w:space="0" w:color="0070C0"/>
            </w:tcBorders>
            <w:vAlign w:val="center"/>
            <w:hideMark/>
          </w:tcPr>
          <w:p w14:paraId="74D5BF33" w14:textId="77777777" w:rsidR="0042308F" w:rsidRPr="00677AB0" w:rsidRDefault="0042308F" w:rsidP="0042308F">
            <w:pPr>
              <w:spacing w:after="0" w:line="240" w:lineRule="auto"/>
              <w:rPr>
                <w:rFonts w:ascii="Arial" w:eastAsia="Times New Roman" w:hAnsi="Arial" w:cs="Arial"/>
                <w:b/>
                <w:bCs/>
                <w:sz w:val="16"/>
                <w:szCs w:val="16"/>
              </w:rPr>
            </w:pPr>
          </w:p>
        </w:tc>
        <w:tc>
          <w:tcPr>
            <w:tcW w:w="478" w:type="pct"/>
            <w:tcBorders>
              <w:top w:val="nil"/>
              <w:left w:val="nil"/>
              <w:bottom w:val="single" w:sz="8" w:space="0" w:color="4F81BD"/>
              <w:right w:val="single" w:sz="8" w:space="0" w:color="0070C0"/>
            </w:tcBorders>
            <w:shd w:val="clear" w:color="auto" w:fill="auto"/>
            <w:vAlign w:val="center"/>
            <w:hideMark/>
          </w:tcPr>
          <w:p w14:paraId="4714FB11" w14:textId="77777777" w:rsidR="0042308F" w:rsidRPr="00677AB0" w:rsidRDefault="0042308F" w:rsidP="0042308F">
            <w:pPr>
              <w:spacing w:after="0" w:line="240" w:lineRule="auto"/>
              <w:jc w:val="center"/>
              <w:rPr>
                <w:rFonts w:ascii="Arial" w:eastAsia="Times New Roman" w:hAnsi="Arial" w:cs="Arial"/>
                <w:bCs/>
                <w:sz w:val="16"/>
                <w:szCs w:val="16"/>
              </w:rPr>
            </w:pPr>
            <w:r w:rsidRPr="00677AB0">
              <w:rPr>
                <w:rFonts w:ascii="Arial" w:eastAsia="Times New Roman" w:hAnsi="Arial" w:cs="Arial"/>
                <w:bCs/>
                <w:sz w:val="16"/>
                <w:szCs w:val="16"/>
              </w:rPr>
              <w:t>period</w:t>
            </w:r>
          </w:p>
        </w:tc>
        <w:tc>
          <w:tcPr>
            <w:tcW w:w="478" w:type="pct"/>
            <w:vMerge/>
            <w:tcBorders>
              <w:top w:val="single" w:sz="8" w:space="0" w:color="4F81BD"/>
              <w:left w:val="single" w:sz="8" w:space="0" w:color="0070C0"/>
              <w:bottom w:val="single" w:sz="8" w:space="0" w:color="4F81BD"/>
              <w:right w:val="single" w:sz="8" w:space="0" w:color="0070C0"/>
            </w:tcBorders>
            <w:vAlign w:val="center"/>
            <w:hideMark/>
          </w:tcPr>
          <w:p w14:paraId="0AF0989D" w14:textId="77777777" w:rsidR="0042308F" w:rsidRPr="00677AB0" w:rsidRDefault="0042308F" w:rsidP="0042308F">
            <w:pPr>
              <w:spacing w:after="0" w:line="240" w:lineRule="auto"/>
              <w:rPr>
                <w:rFonts w:ascii="Arial" w:eastAsia="Times New Roman" w:hAnsi="Arial" w:cs="Arial"/>
                <w:b/>
                <w:bCs/>
                <w:sz w:val="16"/>
                <w:szCs w:val="16"/>
              </w:rPr>
            </w:pPr>
          </w:p>
        </w:tc>
        <w:tc>
          <w:tcPr>
            <w:tcW w:w="478" w:type="pct"/>
            <w:vMerge/>
            <w:tcBorders>
              <w:top w:val="single" w:sz="8" w:space="0" w:color="4F81BD"/>
              <w:left w:val="single" w:sz="8" w:space="0" w:color="0070C0"/>
              <w:bottom w:val="single" w:sz="8" w:space="0" w:color="4F81BD"/>
              <w:right w:val="single" w:sz="8" w:space="0" w:color="0070C0"/>
            </w:tcBorders>
            <w:vAlign w:val="center"/>
            <w:hideMark/>
          </w:tcPr>
          <w:p w14:paraId="4B1B85EB" w14:textId="77777777" w:rsidR="0042308F" w:rsidRPr="00677AB0" w:rsidRDefault="0042308F" w:rsidP="0042308F">
            <w:pPr>
              <w:spacing w:after="0" w:line="240" w:lineRule="auto"/>
              <w:rPr>
                <w:rFonts w:ascii="Arial" w:eastAsia="Times New Roman" w:hAnsi="Arial" w:cs="Arial"/>
                <w:b/>
                <w:bCs/>
                <w:sz w:val="16"/>
                <w:szCs w:val="16"/>
              </w:rPr>
            </w:pPr>
          </w:p>
        </w:tc>
        <w:tc>
          <w:tcPr>
            <w:tcW w:w="739" w:type="pct"/>
            <w:vMerge/>
            <w:tcBorders>
              <w:top w:val="single" w:sz="8" w:space="0" w:color="4F81BD"/>
              <w:left w:val="nil"/>
              <w:bottom w:val="single" w:sz="8" w:space="0" w:color="4F81BD"/>
              <w:right w:val="single" w:sz="8" w:space="0" w:color="0070C0"/>
            </w:tcBorders>
            <w:vAlign w:val="center"/>
            <w:hideMark/>
          </w:tcPr>
          <w:p w14:paraId="79ED5BC3" w14:textId="77777777" w:rsidR="0042308F" w:rsidRPr="00677AB0" w:rsidRDefault="0042308F" w:rsidP="0042308F">
            <w:pPr>
              <w:spacing w:after="0" w:line="240" w:lineRule="auto"/>
              <w:rPr>
                <w:rFonts w:ascii="Arial" w:eastAsia="Times New Roman" w:hAnsi="Arial" w:cs="Arial"/>
                <w:b/>
                <w:bCs/>
                <w:sz w:val="16"/>
                <w:szCs w:val="16"/>
              </w:rPr>
            </w:pPr>
          </w:p>
        </w:tc>
        <w:tc>
          <w:tcPr>
            <w:tcW w:w="512" w:type="pct"/>
            <w:vMerge/>
            <w:tcBorders>
              <w:top w:val="single" w:sz="8" w:space="0" w:color="4F81BD"/>
              <w:left w:val="single" w:sz="8" w:space="0" w:color="0070C0"/>
              <w:bottom w:val="single" w:sz="8" w:space="0" w:color="4F81BD"/>
              <w:right w:val="single" w:sz="8" w:space="0" w:color="0070C0"/>
            </w:tcBorders>
            <w:vAlign w:val="center"/>
            <w:hideMark/>
          </w:tcPr>
          <w:p w14:paraId="21E64E6A" w14:textId="77777777" w:rsidR="0042308F" w:rsidRPr="00677AB0" w:rsidRDefault="0042308F" w:rsidP="0042308F">
            <w:pPr>
              <w:spacing w:after="0" w:line="240" w:lineRule="auto"/>
              <w:rPr>
                <w:rFonts w:ascii="Arial" w:eastAsia="Times New Roman" w:hAnsi="Arial" w:cs="Arial"/>
                <w:b/>
                <w:bCs/>
                <w:sz w:val="16"/>
                <w:szCs w:val="16"/>
              </w:rPr>
            </w:pPr>
          </w:p>
        </w:tc>
        <w:tc>
          <w:tcPr>
            <w:tcW w:w="949" w:type="pct"/>
            <w:vMerge/>
            <w:tcBorders>
              <w:top w:val="single" w:sz="8" w:space="0" w:color="4F81BD"/>
              <w:left w:val="nil"/>
              <w:bottom w:val="single" w:sz="8" w:space="0" w:color="4F81BD"/>
              <w:right w:val="single" w:sz="8" w:space="0" w:color="4F81BD"/>
            </w:tcBorders>
            <w:vAlign w:val="center"/>
            <w:hideMark/>
          </w:tcPr>
          <w:p w14:paraId="1B5AF4AE" w14:textId="77777777" w:rsidR="0042308F" w:rsidRPr="00677AB0" w:rsidRDefault="0042308F" w:rsidP="0042308F">
            <w:pPr>
              <w:spacing w:after="0" w:line="240" w:lineRule="auto"/>
              <w:rPr>
                <w:rFonts w:ascii="Arial" w:eastAsia="Times New Roman" w:hAnsi="Arial" w:cs="Arial"/>
                <w:b/>
                <w:bCs/>
                <w:sz w:val="16"/>
                <w:szCs w:val="16"/>
              </w:rPr>
            </w:pPr>
          </w:p>
        </w:tc>
      </w:tr>
      <w:tr w:rsidR="0042308F" w:rsidRPr="00677AB0" w14:paraId="67D29E0E" w14:textId="77777777" w:rsidTr="0042308F">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655CDD0C"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IBRD</w:t>
            </w:r>
          </w:p>
        </w:tc>
        <w:tc>
          <w:tcPr>
            <w:tcW w:w="658" w:type="pct"/>
            <w:tcBorders>
              <w:top w:val="nil"/>
              <w:left w:val="nil"/>
              <w:bottom w:val="single" w:sz="8" w:space="0" w:color="4F81BD"/>
              <w:right w:val="single" w:sz="8" w:space="0" w:color="4F81BD"/>
            </w:tcBorders>
            <w:shd w:val="clear" w:color="auto" w:fill="auto"/>
            <w:vAlign w:val="center"/>
            <w:hideMark/>
          </w:tcPr>
          <w:p w14:paraId="36990F0B"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0070C0"/>
            </w:tcBorders>
            <w:shd w:val="clear" w:color="auto" w:fill="auto"/>
            <w:vAlign w:val="center"/>
            <w:hideMark/>
          </w:tcPr>
          <w:p w14:paraId="28E2F23D"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5-10</w:t>
            </w:r>
          </w:p>
        </w:tc>
        <w:tc>
          <w:tcPr>
            <w:tcW w:w="478" w:type="pct"/>
            <w:tcBorders>
              <w:top w:val="nil"/>
              <w:left w:val="nil"/>
              <w:bottom w:val="single" w:sz="8" w:space="0" w:color="4F81BD"/>
              <w:right w:val="single" w:sz="8" w:space="0" w:color="4F81BD"/>
            </w:tcBorders>
            <w:shd w:val="clear" w:color="auto" w:fill="auto"/>
            <w:vAlign w:val="center"/>
            <w:hideMark/>
          </w:tcPr>
          <w:p w14:paraId="2573CE73"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18-30</w:t>
            </w:r>
          </w:p>
        </w:tc>
        <w:tc>
          <w:tcPr>
            <w:tcW w:w="478" w:type="pct"/>
            <w:tcBorders>
              <w:top w:val="nil"/>
              <w:left w:val="nil"/>
              <w:bottom w:val="single" w:sz="8" w:space="0" w:color="4F81BD"/>
              <w:right w:val="single" w:sz="8" w:space="0" w:color="4F81BD"/>
            </w:tcBorders>
            <w:shd w:val="clear" w:color="auto" w:fill="auto"/>
            <w:vAlign w:val="center"/>
            <w:hideMark/>
          </w:tcPr>
          <w:p w14:paraId="66C3E5C5"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0070C0"/>
            </w:tcBorders>
            <w:shd w:val="clear" w:color="auto" w:fill="auto"/>
            <w:vAlign w:val="center"/>
            <w:hideMark/>
          </w:tcPr>
          <w:p w14:paraId="0452A829" w14:textId="77777777" w:rsidR="0042308F" w:rsidRPr="00677AB0" w:rsidRDefault="0042308F" w:rsidP="0042308F">
            <w:pPr>
              <w:spacing w:after="0" w:line="240" w:lineRule="auto"/>
              <w:jc w:val="right"/>
              <w:rPr>
                <w:rFonts w:ascii="Arial" w:eastAsia="Times New Roman" w:hAnsi="Arial" w:cs="Arial"/>
                <w:color w:val="000000"/>
                <w:sz w:val="18"/>
                <w:szCs w:val="18"/>
              </w:rPr>
            </w:pPr>
            <w:r w:rsidRPr="00677AB0">
              <w:rPr>
                <w:rFonts w:ascii="Arial" w:hAnsi="Arial" w:cs="Arial"/>
                <w:color w:val="000000"/>
                <w:sz w:val="18"/>
                <w:szCs w:val="18"/>
              </w:rPr>
              <w:t>178,18</w:t>
            </w:r>
          </w:p>
        </w:tc>
        <w:tc>
          <w:tcPr>
            <w:tcW w:w="512" w:type="pct"/>
            <w:tcBorders>
              <w:top w:val="nil"/>
              <w:left w:val="nil"/>
              <w:bottom w:val="single" w:sz="8" w:space="0" w:color="4F81BD"/>
              <w:right w:val="single" w:sz="8" w:space="0" w:color="0070C0"/>
            </w:tcBorders>
            <w:shd w:val="clear" w:color="auto" w:fill="auto"/>
            <w:vAlign w:val="center"/>
            <w:hideMark/>
          </w:tcPr>
          <w:p w14:paraId="7209EE74"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20,68%</w:t>
            </w:r>
          </w:p>
        </w:tc>
        <w:tc>
          <w:tcPr>
            <w:tcW w:w="949" w:type="pct"/>
            <w:tcBorders>
              <w:top w:val="nil"/>
              <w:left w:val="nil"/>
              <w:bottom w:val="single" w:sz="8" w:space="0" w:color="4F81BD"/>
              <w:right w:val="single" w:sz="8" w:space="0" w:color="4F81BD"/>
            </w:tcBorders>
            <w:shd w:val="clear" w:color="auto" w:fill="auto"/>
            <w:vAlign w:val="center"/>
            <w:hideMark/>
          </w:tcPr>
          <w:p w14:paraId="020DD5E0"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42308F" w:rsidRPr="00677AB0" w14:paraId="72D20E12" w14:textId="77777777" w:rsidTr="0042308F">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16067B53"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EIB</w:t>
            </w:r>
          </w:p>
        </w:tc>
        <w:tc>
          <w:tcPr>
            <w:tcW w:w="658" w:type="pct"/>
            <w:tcBorders>
              <w:top w:val="nil"/>
              <w:left w:val="nil"/>
              <w:bottom w:val="single" w:sz="8" w:space="0" w:color="4F81BD"/>
              <w:right w:val="single" w:sz="8" w:space="0" w:color="4F81BD"/>
            </w:tcBorders>
            <w:shd w:val="clear" w:color="auto" w:fill="auto"/>
            <w:vAlign w:val="center"/>
            <w:hideMark/>
          </w:tcPr>
          <w:p w14:paraId="11B5C96A"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05FCAC12"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4-5</w:t>
            </w:r>
          </w:p>
        </w:tc>
        <w:tc>
          <w:tcPr>
            <w:tcW w:w="478" w:type="pct"/>
            <w:tcBorders>
              <w:top w:val="nil"/>
              <w:left w:val="nil"/>
              <w:bottom w:val="single" w:sz="8" w:space="0" w:color="4F81BD"/>
              <w:right w:val="single" w:sz="8" w:space="0" w:color="4F81BD"/>
            </w:tcBorders>
            <w:shd w:val="clear" w:color="auto" w:fill="auto"/>
            <w:vAlign w:val="center"/>
            <w:hideMark/>
          </w:tcPr>
          <w:p w14:paraId="4961E9BB"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4C5097CE"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4ADC90C1"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341,51</w:t>
            </w:r>
          </w:p>
        </w:tc>
        <w:tc>
          <w:tcPr>
            <w:tcW w:w="512" w:type="pct"/>
            <w:tcBorders>
              <w:top w:val="nil"/>
              <w:left w:val="nil"/>
              <w:bottom w:val="single" w:sz="8" w:space="0" w:color="4F81BD"/>
              <w:right w:val="single" w:sz="8" w:space="0" w:color="4F81BD"/>
            </w:tcBorders>
            <w:shd w:val="clear" w:color="auto" w:fill="auto"/>
            <w:vAlign w:val="center"/>
            <w:hideMark/>
          </w:tcPr>
          <w:p w14:paraId="0AAA0A91"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39,63%</w:t>
            </w:r>
          </w:p>
        </w:tc>
        <w:tc>
          <w:tcPr>
            <w:tcW w:w="949" w:type="pct"/>
            <w:tcBorders>
              <w:top w:val="nil"/>
              <w:left w:val="nil"/>
              <w:bottom w:val="single" w:sz="8" w:space="0" w:color="4F81BD"/>
              <w:right w:val="single" w:sz="8" w:space="0" w:color="4F81BD"/>
            </w:tcBorders>
            <w:shd w:val="clear" w:color="auto" w:fill="auto"/>
            <w:vAlign w:val="center"/>
            <w:hideMark/>
          </w:tcPr>
          <w:p w14:paraId="386416F9"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42308F" w:rsidRPr="00677AB0" w14:paraId="23E69674" w14:textId="77777777" w:rsidTr="0042308F">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7F72AA8B"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EBRD</w:t>
            </w:r>
          </w:p>
        </w:tc>
        <w:tc>
          <w:tcPr>
            <w:tcW w:w="658" w:type="pct"/>
            <w:tcBorders>
              <w:top w:val="nil"/>
              <w:left w:val="nil"/>
              <w:bottom w:val="single" w:sz="8" w:space="0" w:color="4F81BD"/>
              <w:right w:val="single" w:sz="8" w:space="0" w:color="4F81BD"/>
            </w:tcBorders>
            <w:shd w:val="clear" w:color="auto" w:fill="auto"/>
            <w:vAlign w:val="center"/>
            <w:hideMark/>
          </w:tcPr>
          <w:p w14:paraId="6D0586D0"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0811BE32"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3-5</w:t>
            </w:r>
          </w:p>
        </w:tc>
        <w:tc>
          <w:tcPr>
            <w:tcW w:w="478" w:type="pct"/>
            <w:tcBorders>
              <w:top w:val="nil"/>
              <w:left w:val="nil"/>
              <w:bottom w:val="single" w:sz="8" w:space="0" w:color="4F81BD"/>
              <w:right w:val="single" w:sz="8" w:space="0" w:color="4F81BD"/>
            </w:tcBorders>
            <w:shd w:val="clear" w:color="auto" w:fill="auto"/>
            <w:vAlign w:val="center"/>
            <w:hideMark/>
          </w:tcPr>
          <w:p w14:paraId="2BBA358B"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12-15</w:t>
            </w:r>
          </w:p>
        </w:tc>
        <w:tc>
          <w:tcPr>
            <w:tcW w:w="478" w:type="pct"/>
            <w:tcBorders>
              <w:top w:val="nil"/>
              <w:left w:val="nil"/>
              <w:bottom w:val="single" w:sz="8" w:space="0" w:color="4F81BD"/>
              <w:right w:val="single" w:sz="8" w:space="0" w:color="4F81BD"/>
            </w:tcBorders>
            <w:shd w:val="clear" w:color="auto" w:fill="auto"/>
            <w:vAlign w:val="center"/>
            <w:hideMark/>
          </w:tcPr>
          <w:p w14:paraId="21A4E3E0"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4DC6BBB3"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227,63</w:t>
            </w:r>
          </w:p>
        </w:tc>
        <w:tc>
          <w:tcPr>
            <w:tcW w:w="512" w:type="pct"/>
            <w:tcBorders>
              <w:top w:val="nil"/>
              <w:left w:val="nil"/>
              <w:bottom w:val="single" w:sz="8" w:space="0" w:color="4F81BD"/>
              <w:right w:val="single" w:sz="8" w:space="0" w:color="4F81BD"/>
            </w:tcBorders>
            <w:shd w:val="clear" w:color="auto" w:fill="auto"/>
            <w:vAlign w:val="center"/>
            <w:hideMark/>
          </w:tcPr>
          <w:p w14:paraId="5C1BAC20"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26,41%</w:t>
            </w:r>
          </w:p>
        </w:tc>
        <w:tc>
          <w:tcPr>
            <w:tcW w:w="949" w:type="pct"/>
            <w:tcBorders>
              <w:top w:val="nil"/>
              <w:left w:val="nil"/>
              <w:bottom w:val="single" w:sz="8" w:space="0" w:color="4F81BD"/>
              <w:right w:val="single" w:sz="8" w:space="0" w:color="4F81BD"/>
            </w:tcBorders>
            <w:shd w:val="clear" w:color="auto" w:fill="auto"/>
            <w:vAlign w:val="center"/>
            <w:hideMark/>
          </w:tcPr>
          <w:p w14:paraId="2CA72942"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42308F" w:rsidRPr="00677AB0" w14:paraId="2E78226F" w14:textId="77777777" w:rsidTr="0042308F">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6026B2EF"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lastRenderedPageBreak/>
              <w:t>Kuvajtski fond</w:t>
            </w:r>
          </w:p>
        </w:tc>
        <w:tc>
          <w:tcPr>
            <w:tcW w:w="658" w:type="pct"/>
            <w:tcBorders>
              <w:top w:val="nil"/>
              <w:left w:val="nil"/>
              <w:bottom w:val="single" w:sz="8" w:space="0" w:color="4F81BD"/>
              <w:right w:val="single" w:sz="8" w:space="0" w:color="4F81BD"/>
            </w:tcBorders>
            <w:shd w:val="clear" w:color="auto" w:fill="auto"/>
            <w:vAlign w:val="center"/>
            <w:hideMark/>
          </w:tcPr>
          <w:p w14:paraId="47AB7003"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16F5003B"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50168271"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0A970CEF"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KWD</w:t>
            </w:r>
          </w:p>
        </w:tc>
        <w:tc>
          <w:tcPr>
            <w:tcW w:w="739" w:type="pct"/>
            <w:tcBorders>
              <w:top w:val="nil"/>
              <w:left w:val="nil"/>
              <w:bottom w:val="single" w:sz="8" w:space="0" w:color="4F81BD"/>
              <w:right w:val="single" w:sz="8" w:space="0" w:color="4F81BD"/>
            </w:tcBorders>
            <w:shd w:val="clear" w:color="auto" w:fill="auto"/>
            <w:vAlign w:val="center"/>
            <w:hideMark/>
          </w:tcPr>
          <w:p w14:paraId="5FD7E52B" w14:textId="77777777" w:rsidR="0042308F" w:rsidRPr="00677AB0" w:rsidRDefault="0042308F" w:rsidP="0042308F">
            <w:pPr>
              <w:spacing w:after="0" w:line="240" w:lineRule="auto"/>
              <w:jc w:val="right"/>
              <w:rPr>
                <w:rFonts w:ascii="Arial" w:eastAsia="Times New Roman" w:hAnsi="Arial" w:cs="Arial"/>
                <w:color w:val="000000"/>
                <w:sz w:val="18"/>
                <w:szCs w:val="18"/>
              </w:rPr>
            </w:pPr>
            <w:r w:rsidRPr="00677AB0">
              <w:rPr>
                <w:rFonts w:ascii="Arial" w:hAnsi="Arial" w:cs="Arial"/>
                <w:color w:val="000000"/>
                <w:sz w:val="18"/>
                <w:szCs w:val="18"/>
              </w:rPr>
              <w:t>32,95</w:t>
            </w:r>
          </w:p>
        </w:tc>
        <w:tc>
          <w:tcPr>
            <w:tcW w:w="512" w:type="pct"/>
            <w:tcBorders>
              <w:top w:val="nil"/>
              <w:left w:val="nil"/>
              <w:bottom w:val="single" w:sz="8" w:space="0" w:color="4F81BD"/>
              <w:right w:val="single" w:sz="8" w:space="0" w:color="4F81BD"/>
            </w:tcBorders>
            <w:shd w:val="clear" w:color="auto" w:fill="auto"/>
            <w:vAlign w:val="center"/>
            <w:hideMark/>
          </w:tcPr>
          <w:p w14:paraId="787F933C"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3,82%</w:t>
            </w:r>
          </w:p>
        </w:tc>
        <w:tc>
          <w:tcPr>
            <w:tcW w:w="949" w:type="pct"/>
            <w:tcBorders>
              <w:top w:val="nil"/>
              <w:left w:val="nil"/>
              <w:bottom w:val="single" w:sz="8" w:space="0" w:color="4F81BD"/>
              <w:right w:val="single" w:sz="8" w:space="0" w:color="4F81BD"/>
            </w:tcBorders>
            <w:shd w:val="clear" w:color="auto" w:fill="auto"/>
            <w:vAlign w:val="center"/>
            <w:hideMark/>
          </w:tcPr>
          <w:p w14:paraId="51406539"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Valutni rizik</w:t>
            </w:r>
          </w:p>
        </w:tc>
      </w:tr>
      <w:tr w:rsidR="0042308F" w:rsidRPr="00677AB0" w14:paraId="0BD5FC37" w14:textId="77777777" w:rsidTr="0042308F">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51CDD749"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Saudijski fond</w:t>
            </w:r>
          </w:p>
        </w:tc>
        <w:tc>
          <w:tcPr>
            <w:tcW w:w="658" w:type="pct"/>
            <w:tcBorders>
              <w:top w:val="nil"/>
              <w:left w:val="nil"/>
              <w:bottom w:val="single" w:sz="8" w:space="0" w:color="4F81BD"/>
              <w:right w:val="single" w:sz="8" w:space="0" w:color="4F81BD"/>
            </w:tcBorders>
            <w:shd w:val="clear" w:color="auto" w:fill="auto"/>
            <w:vAlign w:val="center"/>
            <w:hideMark/>
          </w:tcPr>
          <w:p w14:paraId="60C8F8FD"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1904EA37"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6C99ED76"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6837AB85"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SAR</w:t>
            </w:r>
          </w:p>
        </w:tc>
        <w:tc>
          <w:tcPr>
            <w:tcW w:w="739" w:type="pct"/>
            <w:tcBorders>
              <w:top w:val="nil"/>
              <w:left w:val="nil"/>
              <w:bottom w:val="single" w:sz="8" w:space="0" w:color="4F81BD"/>
              <w:right w:val="single" w:sz="8" w:space="0" w:color="4F81BD"/>
            </w:tcBorders>
            <w:shd w:val="clear" w:color="auto" w:fill="auto"/>
            <w:vAlign w:val="center"/>
            <w:hideMark/>
          </w:tcPr>
          <w:p w14:paraId="3ABBFDA2"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1,14</w:t>
            </w:r>
          </w:p>
        </w:tc>
        <w:tc>
          <w:tcPr>
            <w:tcW w:w="512" w:type="pct"/>
            <w:tcBorders>
              <w:top w:val="nil"/>
              <w:left w:val="nil"/>
              <w:bottom w:val="single" w:sz="8" w:space="0" w:color="4F81BD"/>
              <w:right w:val="single" w:sz="8" w:space="0" w:color="4F81BD"/>
            </w:tcBorders>
            <w:shd w:val="clear" w:color="auto" w:fill="auto"/>
            <w:vAlign w:val="center"/>
            <w:hideMark/>
          </w:tcPr>
          <w:p w14:paraId="58FE1467"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0,13%</w:t>
            </w:r>
          </w:p>
        </w:tc>
        <w:tc>
          <w:tcPr>
            <w:tcW w:w="949" w:type="pct"/>
            <w:tcBorders>
              <w:top w:val="nil"/>
              <w:left w:val="nil"/>
              <w:bottom w:val="single" w:sz="8" w:space="0" w:color="4F81BD"/>
              <w:right w:val="single" w:sz="8" w:space="0" w:color="4F81BD"/>
            </w:tcBorders>
            <w:shd w:val="clear" w:color="auto" w:fill="auto"/>
            <w:vAlign w:val="center"/>
            <w:hideMark/>
          </w:tcPr>
          <w:p w14:paraId="2661AA7B"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Valutni rizik</w:t>
            </w:r>
          </w:p>
        </w:tc>
      </w:tr>
      <w:tr w:rsidR="0042308F" w:rsidRPr="00677AB0" w14:paraId="7925794D" w14:textId="77777777" w:rsidTr="0042308F">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2B39810E"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OPEC fond</w:t>
            </w:r>
          </w:p>
        </w:tc>
        <w:tc>
          <w:tcPr>
            <w:tcW w:w="658" w:type="pct"/>
            <w:tcBorders>
              <w:top w:val="nil"/>
              <w:left w:val="nil"/>
              <w:bottom w:val="single" w:sz="8" w:space="0" w:color="4F81BD"/>
              <w:right w:val="single" w:sz="8" w:space="0" w:color="4F81BD"/>
            </w:tcBorders>
            <w:shd w:val="clear" w:color="auto" w:fill="auto"/>
            <w:vAlign w:val="center"/>
            <w:hideMark/>
          </w:tcPr>
          <w:p w14:paraId="5818BCF8"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4816497D"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1A0E209F"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20</w:t>
            </w:r>
          </w:p>
        </w:tc>
        <w:tc>
          <w:tcPr>
            <w:tcW w:w="478" w:type="pct"/>
            <w:tcBorders>
              <w:top w:val="nil"/>
              <w:left w:val="nil"/>
              <w:bottom w:val="single" w:sz="8" w:space="0" w:color="4F81BD"/>
              <w:right w:val="single" w:sz="8" w:space="0" w:color="4F81BD"/>
            </w:tcBorders>
            <w:shd w:val="clear" w:color="auto" w:fill="auto"/>
            <w:vAlign w:val="center"/>
            <w:hideMark/>
          </w:tcPr>
          <w:p w14:paraId="2B062FEE"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USD</w:t>
            </w:r>
          </w:p>
        </w:tc>
        <w:tc>
          <w:tcPr>
            <w:tcW w:w="739" w:type="pct"/>
            <w:tcBorders>
              <w:top w:val="nil"/>
              <w:left w:val="nil"/>
              <w:bottom w:val="single" w:sz="8" w:space="0" w:color="4F81BD"/>
              <w:right w:val="single" w:sz="8" w:space="0" w:color="4F81BD"/>
            </w:tcBorders>
            <w:shd w:val="clear" w:color="auto" w:fill="auto"/>
            <w:vAlign w:val="center"/>
            <w:hideMark/>
          </w:tcPr>
          <w:p w14:paraId="276991D5"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27,62</w:t>
            </w:r>
          </w:p>
        </w:tc>
        <w:tc>
          <w:tcPr>
            <w:tcW w:w="512" w:type="pct"/>
            <w:tcBorders>
              <w:top w:val="nil"/>
              <w:left w:val="nil"/>
              <w:bottom w:val="single" w:sz="8" w:space="0" w:color="4F81BD"/>
              <w:right w:val="single" w:sz="8" w:space="0" w:color="4F81BD"/>
            </w:tcBorders>
            <w:shd w:val="clear" w:color="auto" w:fill="auto"/>
            <w:vAlign w:val="center"/>
            <w:hideMark/>
          </w:tcPr>
          <w:p w14:paraId="180C6017"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3,20%</w:t>
            </w:r>
          </w:p>
        </w:tc>
        <w:tc>
          <w:tcPr>
            <w:tcW w:w="949" w:type="pct"/>
            <w:tcBorders>
              <w:top w:val="nil"/>
              <w:left w:val="nil"/>
              <w:bottom w:val="single" w:sz="8" w:space="0" w:color="4F81BD"/>
              <w:right w:val="single" w:sz="8" w:space="0" w:color="4F81BD"/>
            </w:tcBorders>
            <w:shd w:val="clear" w:color="auto" w:fill="auto"/>
            <w:vAlign w:val="center"/>
            <w:hideMark/>
          </w:tcPr>
          <w:p w14:paraId="2DCEFF50"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Valutni rizik</w:t>
            </w:r>
          </w:p>
        </w:tc>
      </w:tr>
      <w:tr w:rsidR="0042308F" w:rsidRPr="00677AB0" w14:paraId="2639F883" w14:textId="77777777" w:rsidTr="0042308F">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2DAB65A0"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CEB</w:t>
            </w:r>
          </w:p>
        </w:tc>
        <w:tc>
          <w:tcPr>
            <w:tcW w:w="658" w:type="pct"/>
            <w:tcBorders>
              <w:top w:val="nil"/>
              <w:left w:val="nil"/>
              <w:bottom w:val="single" w:sz="8" w:space="0" w:color="4F81BD"/>
              <w:right w:val="single" w:sz="8" w:space="0" w:color="4F81BD"/>
            </w:tcBorders>
            <w:shd w:val="clear" w:color="auto" w:fill="auto"/>
            <w:vAlign w:val="center"/>
            <w:hideMark/>
          </w:tcPr>
          <w:p w14:paraId="23667F46"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2E2D533C"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1BDEDE1F"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4FFBFD03"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11264D4F"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31,21</w:t>
            </w:r>
          </w:p>
        </w:tc>
        <w:tc>
          <w:tcPr>
            <w:tcW w:w="512" w:type="pct"/>
            <w:tcBorders>
              <w:top w:val="nil"/>
              <w:left w:val="nil"/>
              <w:bottom w:val="single" w:sz="8" w:space="0" w:color="4F81BD"/>
              <w:right w:val="single" w:sz="8" w:space="0" w:color="4F81BD"/>
            </w:tcBorders>
            <w:shd w:val="clear" w:color="auto" w:fill="auto"/>
            <w:vAlign w:val="center"/>
            <w:hideMark/>
          </w:tcPr>
          <w:p w14:paraId="057094C9"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3,62%</w:t>
            </w:r>
          </w:p>
        </w:tc>
        <w:tc>
          <w:tcPr>
            <w:tcW w:w="949" w:type="pct"/>
            <w:tcBorders>
              <w:top w:val="nil"/>
              <w:left w:val="nil"/>
              <w:bottom w:val="single" w:sz="8" w:space="0" w:color="4F81BD"/>
              <w:right w:val="single" w:sz="8" w:space="0" w:color="4F81BD"/>
            </w:tcBorders>
            <w:shd w:val="clear" w:color="auto" w:fill="auto"/>
            <w:vAlign w:val="center"/>
            <w:hideMark/>
          </w:tcPr>
          <w:p w14:paraId="4B08A8A1"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refiksiranja za varijabilnu</w:t>
            </w:r>
          </w:p>
        </w:tc>
      </w:tr>
      <w:tr w:rsidR="0042308F" w:rsidRPr="00677AB0" w14:paraId="7CF5B569" w14:textId="77777777" w:rsidTr="0042308F">
        <w:trPr>
          <w:trHeight w:val="690"/>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18FF9322"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IFAD</w:t>
            </w:r>
          </w:p>
        </w:tc>
        <w:tc>
          <w:tcPr>
            <w:tcW w:w="658" w:type="pct"/>
            <w:tcBorders>
              <w:top w:val="nil"/>
              <w:left w:val="nil"/>
              <w:bottom w:val="single" w:sz="8" w:space="0" w:color="4F81BD"/>
              <w:right w:val="single" w:sz="8" w:space="0" w:color="4F81BD"/>
            </w:tcBorders>
            <w:shd w:val="clear" w:color="auto" w:fill="auto"/>
            <w:vAlign w:val="center"/>
            <w:hideMark/>
          </w:tcPr>
          <w:p w14:paraId="1FBC3527"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w:t>
            </w:r>
          </w:p>
        </w:tc>
        <w:tc>
          <w:tcPr>
            <w:tcW w:w="478" w:type="pct"/>
            <w:tcBorders>
              <w:top w:val="nil"/>
              <w:left w:val="nil"/>
              <w:bottom w:val="single" w:sz="8" w:space="0" w:color="4F81BD"/>
              <w:right w:val="single" w:sz="8" w:space="0" w:color="4F81BD"/>
            </w:tcBorders>
            <w:shd w:val="clear" w:color="auto" w:fill="auto"/>
            <w:vAlign w:val="center"/>
            <w:hideMark/>
          </w:tcPr>
          <w:p w14:paraId="124FDCAE"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1CD1CBF1"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30</w:t>
            </w:r>
          </w:p>
        </w:tc>
        <w:tc>
          <w:tcPr>
            <w:tcW w:w="478" w:type="pct"/>
            <w:tcBorders>
              <w:top w:val="nil"/>
              <w:left w:val="nil"/>
              <w:bottom w:val="single" w:sz="8" w:space="0" w:color="4F81BD"/>
              <w:right w:val="single" w:sz="8" w:space="0" w:color="4F81BD"/>
            </w:tcBorders>
            <w:shd w:val="clear" w:color="auto" w:fill="auto"/>
            <w:vAlign w:val="center"/>
            <w:hideMark/>
          </w:tcPr>
          <w:p w14:paraId="37899007"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SDR</w:t>
            </w:r>
          </w:p>
        </w:tc>
        <w:tc>
          <w:tcPr>
            <w:tcW w:w="739" w:type="pct"/>
            <w:tcBorders>
              <w:top w:val="nil"/>
              <w:left w:val="nil"/>
              <w:bottom w:val="single" w:sz="8" w:space="0" w:color="4F81BD"/>
              <w:right w:val="single" w:sz="8" w:space="0" w:color="4F81BD"/>
            </w:tcBorders>
            <w:shd w:val="clear" w:color="auto" w:fill="auto"/>
            <w:vAlign w:val="center"/>
            <w:hideMark/>
          </w:tcPr>
          <w:p w14:paraId="33672E37"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3,95</w:t>
            </w:r>
          </w:p>
        </w:tc>
        <w:tc>
          <w:tcPr>
            <w:tcW w:w="512" w:type="pct"/>
            <w:tcBorders>
              <w:top w:val="nil"/>
              <w:left w:val="nil"/>
              <w:bottom w:val="single" w:sz="8" w:space="0" w:color="4F81BD"/>
              <w:right w:val="single" w:sz="8" w:space="0" w:color="4F81BD"/>
            </w:tcBorders>
            <w:shd w:val="clear" w:color="auto" w:fill="auto"/>
            <w:vAlign w:val="center"/>
            <w:hideMark/>
          </w:tcPr>
          <w:p w14:paraId="1864CD5F"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0,46%</w:t>
            </w:r>
          </w:p>
        </w:tc>
        <w:tc>
          <w:tcPr>
            <w:tcW w:w="949" w:type="pct"/>
            <w:tcBorders>
              <w:top w:val="nil"/>
              <w:left w:val="nil"/>
              <w:bottom w:val="single" w:sz="8" w:space="0" w:color="4F81BD"/>
              <w:right w:val="single" w:sz="8" w:space="0" w:color="4F81BD"/>
            </w:tcBorders>
            <w:shd w:val="clear" w:color="auto" w:fill="auto"/>
            <w:vAlign w:val="center"/>
            <w:hideMark/>
          </w:tcPr>
          <w:p w14:paraId="6E2783BC"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w:t>
            </w:r>
            <w:r>
              <w:rPr>
                <w:rFonts w:ascii="Arial" w:eastAsia="Times New Roman" w:hAnsi="Arial" w:cs="Arial"/>
                <w:color w:val="000000"/>
                <w:sz w:val="16"/>
                <w:szCs w:val="16"/>
              </w:rPr>
              <w:t>financ</w:t>
            </w:r>
            <w:r w:rsidRPr="00677AB0">
              <w:rPr>
                <w:rFonts w:ascii="Arial" w:eastAsia="Times New Roman" w:hAnsi="Arial" w:cs="Arial"/>
                <w:color w:val="000000"/>
                <w:sz w:val="16"/>
                <w:szCs w:val="16"/>
              </w:rPr>
              <w:t>iranja i valutni rizik</w:t>
            </w:r>
          </w:p>
        </w:tc>
      </w:tr>
      <w:tr w:rsidR="0042308F" w:rsidRPr="00677AB0" w14:paraId="3B0BA26A" w14:textId="77777777" w:rsidTr="0042308F">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793D6F8F"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KfW</w:t>
            </w:r>
          </w:p>
        </w:tc>
        <w:tc>
          <w:tcPr>
            <w:tcW w:w="658" w:type="pct"/>
            <w:tcBorders>
              <w:top w:val="nil"/>
              <w:left w:val="nil"/>
              <w:bottom w:val="single" w:sz="8" w:space="0" w:color="4F81BD"/>
              <w:right w:val="single" w:sz="8" w:space="0" w:color="4F81BD"/>
            </w:tcBorders>
            <w:shd w:val="clear" w:color="auto" w:fill="auto"/>
            <w:vAlign w:val="center"/>
            <w:hideMark/>
          </w:tcPr>
          <w:p w14:paraId="44EDA8E0"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6C7470D0"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2,5 - 10</w:t>
            </w:r>
          </w:p>
        </w:tc>
        <w:tc>
          <w:tcPr>
            <w:tcW w:w="478" w:type="pct"/>
            <w:tcBorders>
              <w:top w:val="nil"/>
              <w:left w:val="nil"/>
              <w:bottom w:val="single" w:sz="8" w:space="0" w:color="4F81BD"/>
              <w:right w:val="single" w:sz="8" w:space="0" w:color="4F81BD"/>
            </w:tcBorders>
            <w:shd w:val="clear" w:color="auto" w:fill="auto"/>
            <w:vAlign w:val="center"/>
            <w:hideMark/>
          </w:tcPr>
          <w:p w14:paraId="4A18DACA"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12-20</w:t>
            </w:r>
          </w:p>
        </w:tc>
        <w:tc>
          <w:tcPr>
            <w:tcW w:w="478" w:type="pct"/>
            <w:tcBorders>
              <w:top w:val="nil"/>
              <w:left w:val="nil"/>
              <w:bottom w:val="single" w:sz="8" w:space="0" w:color="4F81BD"/>
              <w:right w:val="single" w:sz="8" w:space="0" w:color="4F81BD"/>
            </w:tcBorders>
            <w:shd w:val="clear" w:color="auto" w:fill="auto"/>
            <w:vAlign w:val="center"/>
            <w:hideMark/>
          </w:tcPr>
          <w:p w14:paraId="368E61B5"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0F472CEE"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17,42</w:t>
            </w:r>
          </w:p>
        </w:tc>
        <w:tc>
          <w:tcPr>
            <w:tcW w:w="512" w:type="pct"/>
            <w:tcBorders>
              <w:top w:val="nil"/>
              <w:left w:val="nil"/>
              <w:bottom w:val="single" w:sz="8" w:space="0" w:color="4F81BD"/>
              <w:right w:val="single" w:sz="8" w:space="0" w:color="4F81BD"/>
            </w:tcBorders>
            <w:shd w:val="clear" w:color="auto" w:fill="auto"/>
            <w:vAlign w:val="center"/>
            <w:hideMark/>
          </w:tcPr>
          <w:p w14:paraId="38936793"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2,02%</w:t>
            </w:r>
          </w:p>
        </w:tc>
        <w:tc>
          <w:tcPr>
            <w:tcW w:w="949" w:type="pct"/>
            <w:tcBorders>
              <w:top w:val="nil"/>
              <w:left w:val="nil"/>
              <w:bottom w:val="single" w:sz="8" w:space="0" w:color="4F81BD"/>
              <w:right w:val="single" w:sz="8" w:space="0" w:color="4F81BD"/>
            </w:tcBorders>
            <w:shd w:val="clear" w:color="auto" w:fill="auto"/>
            <w:vAlign w:val="center"/>
            <w:hideMark/>
          </w:tcPr>
          <w:p w14:paraId="09F94653"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w:t>
            </w:r>
            <w:r>
              <w:rPr>
                <w:rFonts w:ascii="Arial" w:eastAsia="Times New Roman" w:hAnsi="Arial" w:cs="Arial"/>
                <w:color w:val="000000"/>
                <w:sz w:val="16"/>
                <w:szCs w:val="16"/>
              </w:rPr>
              <w:t>financ</w:t>
            </w:r>
            <w:r w:rsidRPr="00677AB0">
              <w:rPr>
                <w:rFonts w:ascii="Arial" w:eastAsia="Times New Roman" w:hAnsi="Arial" w:cs="Arial"/>
                <w:color w:val="000000"/>
                <w:sz w:val="16"/>
                <w:szCs w:val="16"/>
              </w:rPr>
              <w:t>iranja</w:t>
            </w:r>
          </w:p>
        </w:tc>
      </w:tr>
      <w:tr w:rsidR="0042308F" w:rsidRPr="00677AB0" w14:paraId="1BDDAA19" w14:textId="77777777" w:rsidTr="0042308F">
        <w:trPr>
          <w:trHeight w:val="52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48628231"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Ostala sredstva</w:t>
            </w:r>
          </w:p>
        </w:tc>
        <w:tc>
          <w:tcPr>
            <w:tcW w:w="658" w:type="pct"/>
            <w:tcBorders>
              <w:top w:val="nil"/>
              <w:left w:val="nil"/>
              <w:bottom w:val="single" w:sz="8" w:space="0" w:color="4F81BD"/>
              <w:right w:val="single" w:sz="8" w:space="0" w:color="4F81BD"/>
            </w:tcBorders>
            <w:shd w:val="clear" w:color="auto" w:fill="auto"/>
            <w:vAlign w:val="center"/>
            <w:hideMark/>
          </w:tcPr>
          <w:p w14:paraId="062968CC" w14:textId="77777777" w:rsidR="0042308F" w:rsidRPr="00677AB0" w:rsidRDefault="0042308F" w:rsidP="0042308F">
            <w:pPr>
              <w:spacing w:after="0" w:line="240" w:lineRule="auto"/>
              <w:jc w:val="center"/>
              <w:rPr>
                <w:rFonts w:ascii="Arial" w:eastAsia="Times New Roman" w:hAnsi="Arial" w:cs="Arial"/>
                <w:color w:val="000000"/>
                <w:sz w:val="17"/>
                <w:szCs w:val="17"/>
              </w:rPr>
            </w:pPr>
            <w:r w:rsidRPr="00677AB0">
              <w:rPr>
                <w:rFonts w:ascii="Arial" w:eastAsia="Times New Roman" w:hAnsi="Arial" w:cs="Arial"/>
                <w:color w:val="000000"/>
                <w:sz w:val="17"/>
                <w:szCs w:val="17"/>
              </w:rPr>
              <w:t>Fiksna ili varijabilna</w:t>
            </w:r>
          </w:p>
        </w:tc>
        <w:tc>
          <w:tcPr>
            <w:tcW w:w="478" w:type="pct"/>
            <w:tcBorders>
              <w:top w:val="nil"/>
              <w:left w:val="nil"/>
              <w:bottom w:val="single" w:sz="8" w:space="0" w:color="4F81BD"/>
              <w:right w:val="single" w:sz="8" w:space="0" w:color="4F81BD"/>
            </w:tcBorders>
            <w:shd w:val="clear" w:color="auto" w:fill="auto"/>
            <w:vAlign w:val="center"/>
            <w:hideMark/>
          </w:tcPr>
          <w:p w14:paraId="7DA60929"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3-5</w:t>
            </w:r>
          </w:p>
        </w:tc>
        <w:tc>
          <w:tcPr>
            <w:tcW w:w="478" w:type="pct"/>
            <w:tcBorders>
              <w:top w:val="nil"/>
              <w:left w:val="nil"/>
              <w:bottom w:val="single" w:sz="8" w:space="0" w:color="4F81BD"/>
              <w:right w:val="single" w:sz="8" w:space="0" w:color="4F81BD"/>
            </w:tcBorders>
            <w:shd w:val="clear" w:color="auto" w:fill="auto"/>
            <w:vAlign w:val="center"/>
            <w:hideMark/>
          </w:tcPr>
          <w:p w14:paraId="65BA6CCB"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10-15</w:t>
            </w:r>
          </w:p>
        </w:tc>
        <w:tc>
          <w:tcPr>
            <w:tcW w:w="478" w:type="pct"/>
            <w:tcBorders>
              <w:top w:val="nil"/>
              <w:left w:val="nil"/>
              <w:bottom w:val="single" w:sz="8" w:space="0" w:color="4F81BD"/>
              <w:right w:val="single" w:sz="8" w:space="0" w:color="4F81BD"/>
            </w:tcBorders>
            <w:shd w:val="clear" w:color="auto" w:fill="auto"/>
            <w:vAlign w:val="center"/>
            <w:hideMark/>
          </w:tcPr>
          <w:p w14:paraId="3BEC8E2C"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7D17136F"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0,18</w:t>
            </w:r>
          </w:p>
        </w:tc>
        <w:tc>
          <w:tcPr>
            <w:tcW w:w="512" w:type="pct"/>
            <w:tcBorders>
              <w:top w:val="nil"/>
              <w:left w:val="nil"/>
              <w:bottom w:val="single" w:sz="8" w:space="0" w:color="4F81BD"/>
              <w:right w:val="single" w:sz="8" w:space="0" w:color="4F81BD"/>
            </w:tcBorders>
            <w:shd w:val="clear" w:color="auto" w:fill="auto"/>
            <w:vAlign w:val="center"/>
            <w:hideMark/>
          </w:tcPr>
          <w:p w14:paraId="79518747" w14:textId="77777777" w:rsidR="0042308F" w:rsidRPr="00677AB0" w:rsidRDefault="0042308F" w:rsidP="0042308F">
            <w:pPr>
              <w:spacing w:after="0" w:line="240" w:lineRule="auto"/>
              <w:jc w:val="right"/>
              <w:rPr>
                <w:rFonts w:ascii="Arial" w:eastAsia="Times New Roman" w:hAnsi="Arial" w:cs="Arial"/>
                <w:sz w:val="18"/>
                <w:szCs w:val="18"/>
              </w:rPr>
            </w:pPr>
            <w:r w:rsidRPr="00677AB0">
              <w:rPr>
                <w:rFonts w:ascii="Arial" w:hAnsi="Arial" w:cs="Arial"/>
                <w:color w:val="000000"/>
                <w:sz w:val="18"/>
                <w:szCs w:val="18"/>
              </w:rPr>
              <w:t>0,02%</w:t>
            </w:r>
          </w:p>
        </w:tc>
        <w:tc>
          <w:tcPr>
            <w:tcW w:w="949" w:type="pct"/>
            <w:tcBorders>
              <w:top w:val="nil"/>
              <w:left w:val="nil"/>
              <w:bottom w:val="single" w:sz="8" w:space="0" w:color="4F81BD"/>
              <w:right w:val="single" w:sz="8" w:space="0" w:color="4F81BD"/>
            </w:tcBorders>
            <w:shd w:val="clear" w:color="auto" w:fill="auto"/>
            <w:vAlign w:val="center"/>
            <w:hideMark/>
          </w:tcPr>
          <w:p w14:paraId="47BF95AB"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w:t>
            </w:r>
            <w:r>
              <w:rPr>
                <w:rFonts w:ascii="Arial" w:eastAsia="Times New Roman" w:hAnsi="Arial" w:cs="Arial"/>
                <w:color w:val="000000"/>
                <w:sz w:val="16"/>
                <w:szCs w:val="16"/>
              </w:rPr>
              <w:t>financ</w:t>
            </w:r>
            <w:r w:rsidRPr="00677AB0">
              <w:rPr>
                <w:rFonts w:ascii="Arial" w:eastAsia="Times New Roman" w:hAnsi="Arial" w:cs="Arial"/>
                <w:color w:val="000000"/>
                <w:sz w:val="16"/>
                <w:szCs w:val="16"/>
              </w:rPr>
              <w:t>iranja i refiksiranja za varijabilnu</w:t>
            </w:r>
          </w:p>
        </w:tc>
      </w:tr>
      <w:tr w:rsidR="0042308F" w:rsidRPr="00677AB0" w14:paraId="4FD666D3" w14:textId="77777777" w:rsidTr="0042308F">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21D346EB" w14:textId="77777777" w:rsidR="0042308F" w:rsidRPr="00677AB0" w:rsidRDefault="0042308F" w:rsidP="0042308F">
            <w:pPr>
              <w:spacing w:after="0" w:line="240" w:lineRule="auto"/>
              <w:rPr>
                <w:rFonts w:ascii="Arial" w:eastAsia="Times New Roman" w:hAnsi="Arial" w:cs="Arial"/>
                <w:bCs/>
                <w:color w:val="000000"/>
                <w:sz w:val="16"/>
                <w:szCs w:val="16"/>
              </w:rPr>
            </w:pPr>
            <w:r w:rsidRPr="00677AB0">
              <w:rPr>
                <w:rFonts w:ascii="Arial" w:eastAsia="Times New Roman" w:hAnsi="Arial" w:cs="Arial"/>
                <w:bCs/>
                <w:color w:val="000000"/>
                <w:sz w:val="16"/>
                <w:szCs w:val="16"/>
              </w:rPr>
              <w:t>UKUPNO</w:t>
            </w:r>
          </w:p>
        </w:tc>
        <w:tc>
          <w:tcPr>
            <w:tcW w:w="658" w:type="pct"/>
            <w:tcBorders>
              <w:top w:val="nil"/>
              <w:left w:val="nil"/>
              <w:bottom w:val="single" w:sz="8" w:space="0" w:color="4F81BD"/>
              <w:right w:val="single" w:sz="8" w:space="0" w:color="4F81BD"/>
            </w:tcBorders>
            <w:shd w:val="clear" w:color="auto" w:fill="auto"/>
            <w:vAlign w:val="center"/>
            <w:hideMark/>
          </w:tcPr>
          <w:p w14:paraId="415463F0"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5D8ABB5D"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2E42BC13" w14:textId="77777777" w:rsidR="0042308F" w:rsidRPr="00677AB0" w:rsidRDefault="0042308F" w:rsidP="0042308F">
            <w:pPr>
              <w:spacing w:after="0" w:line="240" w:lineRule="auto"/>
              <w:jc w:val="center"/>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5135DDD9" w14:textId="77777777" w:rsidR="0042308F" w:rsidRPr="00677AB0" w:rsidRDefault="0042308F" w:rsidP="0042308F">
            <w:pPr>
              <w:spacing w:after="0" w:line="240" w:lineRule="auto"/>
              <w:rPr>
                <w:rFonts w:ascii="Arial" w:eastAsia="Times New Roman" w:hAnsi="Arial" w:cs="Arial"/>
                <w:color w:val="000000"/>
                <w:sz w:val="18"/>
                <w:szCs w:val="18"/>
              </w:rPr>
            </w:pPr>
            <w:r w:rsidRPr="00677AB0">
              <w:rPr>
                <w:rFonts w:ascii="Arial" w:eastAsia="Times New Roman" w:hAnsi="Arial" w:cs="Arial"/>
                <w:color w:val="000000"/>
                <w:sz w:val="18"/>
                <w:szCs w:val="18"/>
              </w:rPr>
              <w:t> </w:t>
            </w:r>
          </w:p>
        </w:tc>
        <w:tc>
          <w:tcPr>
            <w:tcW w:w="739" w:type="pct"/>
            <w:tcBorders>
              <w:top w:val="nil"/>
              <w:left w:val="nil"/>
              <w:bottom w:val="single" w:sz="8" w:space="0" w:color="4F81BD"/>
              <w:right w:val="single" w:sz="8" w:space="0" w:color="4F81BD"/>
            </w:tcBorders>
            <w:shd w:val="clear" w:color="auto" w:fill="auto"/>
            <w:vAlign w:val="center"/>
            <w:hideMark/>
          </w:tcPr>
          <w:p w14:paraId="1A8CA979" w14:textId="77777777" w:rsidR="0042308F" w:rsidRPr="00677AB0" w:rsidRDefault="0042308F" w:rsidP="0042308F">
            <w:pPr>
              <w:spacing w:after="0" w:line="240" w:lineRule="auto"/>
              <w:jc w:val="right"/>
              <w:rPr>
                <w:rFonts w:ascii="Arial" w:eastAsia="Times New Roman" w:hAnsi="Arial" w:cs="Arial"/>
                <w:color w:val="000000"/>
                <w:sz w:val="18"/>
                <w:szCs w:val="18"/>
                <w:highlight w:val="green"/>
              </w:rPr>
            </w:pPr>
            <w:r w:rsidRPr="00677AB0">
              <w:rPr>
                <w:rFonts w:ascii="Arial" w:hAnsi="Arial" w:cs="Arial"/>
                <w:color w:val="000000"/>
                <w:sz w:val="18"/>
                <w:szCs w:val="18"/>
              </w:rPr>
              <w:t>861,79</w:t>
            </w:r>
          </w:p>
        </w:tc>
        <w:tc>
          <w:tcPr>
            <w:tcW w:w="512" w:type="pct"/>
            <w:tcBorders>
              <w:top w:val="nil"/>
              <w:left w:val="nil"/>
              <w:bottom w:val="single" w:sz="8" w:space="0" w:color="4F81BD"/>
              <w:right w:val="single" w:sz="8" w:space="0" w:color="4F81BD"/>
            </w:tcBorders>
            <w:shd w:val="clear" w:color="auto" w:fill="auto"/>
            <w:vAlign w:val="center"/>
            <w:hideMark/>
          </w:tcPr>
          <w:p w14:paraId="214E400E" w14:textId="77777777" w:rsidR="0042308F" w:rsidRPr="00677AB0" w:rsidRDefault="0042308F" w:rsidP="0042308F">
            <w:pPr>
              <w:spacing w:after="0" w:line="240" w:lineRule="auto"/>
              <w:jc w:val="right"/>
              <w:rPr>
                <w:rFonts w:ascii="Arial" w:eastAsia="Times New Roman" w:hAnsi="Arial" w:cs="Arial"/>
                <w:color w:val="000000"/>
                <w:sz w:val="18"/>
                <w:szCs w:val="18"/>
              </w:rPr>
            </w:pPr>
            <w:r w:rsidRPr="00677AB0">
              <w:rPr>
                <w:rFonts w:ascii="Arial" w:hAnsi="Arial" w:cs="Arial"/>
                <w:color w:val="000000"/>
                <w:sz w:val="18"/>
                <w:szCs w:val="18"/>
              </w:rPr>
              <w:t>100,00%</w:t>
            </w:r>
          </w:p>
        </w:tc>
        <w:tc>
          <w:tcPr>
            <w:tcW w:w="949" w:type="pct"/>
            <w:tcBorders>
              <w:top w:val="nil"/>
              <w:left w:val="nil"/>
              <w:bottom w:val="single" w:sz="8" w:space="0" w:color="4F81BD"/>
              <w:right w:val="single" w:sz="8" w:space="0" w:color="4F81BD"/>
            </w:tcBorders>
            <w:shd w:val="clear" w:color="auto" w:fill="auto"/>
            <w:vAlign w:val="center"/>
            <w:hideMark/>
          </w:tcPr>
          <w:p w14:paraId="51FC1C4C"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 </w:t>
            </w:r>
          </w:p>
        </w:tc>
      </w:tr>
    </w:tbl>
    <w:p w14:paraId="6F3396F9" w14:textId="77777777" w:rsidR="0042308F" w:rsidRDefault="0042308F" w:rsidP="0042308F">
      <w:pPr>
        <w:pStyle w:val="NoSpacing"/>
        <w:rPr>
          <w:rFonts w:ascii="Arial" w:hAnsi="Arial" w:cs="Arial"/>
          <w:lang w:val="hr-HR"/>
        </w:rPr>
      </w:pPr>
    </w:p>
    <w:p w14:paraId="2933C4FF" w14:textId="77777777" w:rsidR="00935B9D" w:rsidRPr="00677AB0" w:rsidRDefault="00935B9D" w:rsidP="0042308F">
      <w:pPr>
        <w:pStyle w:val="NoSpacing"/>
        <w:rPr>
          <w:rFonts w:ascii="Arial" w:hAnsi="Arial" w:cs="Arial"/>
          <w:lang w:val="hr-HR"/>
        </w:rPr>
      </w:pPr>
    </w:p>
    <w:p w14:paraId="42192BE6"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06" w:name="_Toc172282252"/>
      <w:r w:rsidRPr="00677AB0">
        <w:rPr>
          <w:rFonts w:ascii="Arial" w:hAnsi="Arial" w:cs="Arial"/>
          <w:b w:val="0"/>
          <w:color w:val="auto"/>
          <w:sz w:val="24"/>
          <w:szCs w:val="24"/>
        </w:rPr>
        <w:t xml:space="preserve">Domaći izvori </w:t>
      </w:r>
      <w:r>
        <w:rPr>
          <w:rFonts w:ascii="Arial" w:hAnsi="Arial" w:cs="Arial"/>
          <w:b w:val="0"/>
          <w:color w:val="auto"/>
          <w:sz w:val="24"/>
          <w:szCs w:val="24"/>
        </w:rPr>
        <w:t>financ</w:t>
      </w:r>
      <w:r w:rsidRPr="00677AB0">
        <w:rPr>
          <w:rFonts w:ascii="Arial" w:hAnsi="Arial" w:cs="Arial"/>
          <w:b w:val="0"/>
          <w:color w:val="auto"/>
          <w:sz w:val="24"/>
          <w:szCs w:val="24"/>
        </w:rPr>
        <w:t>iranja</w:t>
      </w:r>
      <w:bookmarkEnd w:id="106"/>
    </w:p>
    <w:p w14:paraId="5AB5F869" w14:textId="77777777" w:rsidR="0042308F" w:rsidRPr="00677AB0" w:rsidRDefault="0042308F" w:rsidP="0042308F">
      <w:pPr>
        <w:spacing w:after="0"/>
      </w:pPr>
    </w:p>
    <w:p w14:paraId="1207B687" w14:textId="77777777" w:rsidR="0042308F" w:rsidRPr="00677AB0" w:rsidRDefault="0042308F" w:rsidP="0042308F">
      <w:pPr>
        <w:pStyle w:val="NoSpacing"/>
        <w:spacing w:line="276" w:lineRule="auto"/>
        <w:ind w:firstLine="284"/>
        <w:jc w:val="both"/>
        <w:rPr>
          <w:rFonts w:ascii="Arial" w:eastAsia="MS Mincho" w:hAnsi="Arial" w:cs="Arial"/>
          <w:kern w:val="24"/>
          <w:lang w:val="hr-HR" w:eastAsia="fr-FR"/>
        </w:rPr>
      </w:pPr>
      <w:r w:rsidRPr="00677AB0">
        <w:rPr>
          <w:rFonts w:ascii="Arial" w:eastAsia="Times New Roman" w:hAnsi="Arial" w:cs="Arial"/>
          <w:lang w:val="hr-HR"/>
        </w:rPr>
        <w:t xml:space="preserve">Domaće tržište vrijednosnih papira je relativno malo i nerazvijeno, ali se u prethodnom </w:t>
      </w:r>
      <w:r w:rsidR="00935B9D">
        <w:rPr>
          <w:rFonts w:ascii="Arial" w:eastAsia="Times New Roman" w:hAnsi="Arial" w:cs="Arial"/>
          <w:lang w:val="hr-HR"/>
        </w:rPr>
        <w:t>razdoblju</w:t>
      </w:r>
      <w:r w:rsidRPr="00677AB0">
        <w:rPr>
          <w:rFonts w:ascii="Arial" w:eastAsia="Times New Roman" w:hAnsi="Arial" w:cs="Arial"/>
          <w:lang w:val="hr-HR"/>
        </w:rPr>
        <w:t xml:space="preserve"> uspješno prilagođavalo </w:t>
      </w:r>
      <w:r>
        <w:rPr>
          <w:rFonts w:ascii="Arial" w:eastAsia="Times New Roman" w:hAnsi="Arial" w:cs="Arial"/>
          <w:lang w:val="hr-HR"/>
        </w:rPr>
        <w:t>financ</w:t>
      </w:r>
      <w:r w:rsidRPr="00677AB0">
        <w:rPr>
          <w:rFonts w:ascii="Arial" w:eastAsia="Times New Roman" w:hAnsi="Arial" w:cs="Arial"/>
          <w:lang w:val="hr-HR"/>
        </w:rPr>
        <w:t>ijskim potrebama Vlade Federacije BiH. Domaće k</w:t>
      </w:r>
      <w:r w:rsidRPr="00677AB0">
        <w:rPr>
          <w:rFonts w:ascii="Arial" w:eastAsia="MS Mincho" w:hAnsi="Arial" w:cs="Arial"/>
          <w:kern w:val="24"/>
          <w:lang w:val="hr-HR" w:eastAsia="fr-FR"/>
        </w:rPr>
        <w:t xml:space="preserve">omercijalne banke su najveći investitori u trezorske zapise i tržišne obveznice Vlade Federacije BiH i uglavnom ih čuvaju do dospijeća, što za posljedicu ima skoro neznatan promet na sekundarnom tržištu. Kako su se kamatne stope i na domaćem tržištu značajno povećale </w:t>
      </w:r>
      <w:r w:rsidR="00440C9C">
        <w:rPr>
          <w:rFonts w:ascii="Arial" w:eastAsia="MS Mincho" w:hAnsi="Arial" w:cs="Arial"/>
          <w:kern w:val="24"/>
          <w:lang w:val="hr-HR" w:eastAsia="fr-FR"/>
        </w:rPr>
        <w:t>tijekom</w:t>
      </w:r>
      <w:r w:rsidRPr="00677AB0">
        <w:rPr>
          <w:rFonts w:ascii="Arial" w:eastAsia="MS Mincho" w:hAnsi="Arial" w:cs="Arial"/>
          <w:kern w:val="24"/>
          <w:lang w:val="hr-HR" w:eastAsia="fr-FR"/>
        </w:rPr>
        <w:t xml:space="preserve"> 2023. godine, te uzimajući u obzir i rast potreba za </w:t>
      </w:r>
      <w:r>
        <w:rPr>
          <w:rFonts w:ascii="Arial" w:eastAsia="MS Mincho" w:hAnsi="Arial" w:cs="Arial"/>
          <w:kern w:val="24"/>
          <w:lang w:val="hr-HR" w:eastAsia="fr-FR"/>
        </w:rPr>
        <w:t>financ</w:t>
      </w:r>
      <w:r w:rsidRPr="00677AB0">
        <w:rPr>
          <w:rFonts w:ascii="Arial" w:eastAsia="MS Mincho" w:hAnsi="Arial" w:cs="Arial"/>
          <w:kern w:val="24"/>
          <w:lang w:val="hr-HR" w:eastAsia="fr-FR"/>
        </w:rPr>
        <w:t>iranjem Vlada Federacije BiH u narednim godinama, postojeću bazu investitora potrebno je proširiti što će zbog regulative i specifičnosti domaćeg tržišta kapitala biti izazov za sve ključne aktere.</w:t>
      </w:r>
    </w:p>
    <w:p w14:paraId="4CF21F7A" w14:textId="77777777" w:rsidR="0042308F" w:rsidRPr="00677AB0" w:rsidRDefault="0042308F" w:rsidP="0042308F">
      <w:pPr>
        <w:pStyle w:val="NoSpacing"/>
        <w:spacing w:line="276" w:lineRule="auto"/>
        <w:jc w:val="both"/>
        <w:rPr>
          <w:rFonts w:ascii="Arial" w:eastAsia="Times New Roman" w:hAnsi="Arial" w:cs="Arial"/>
          <w:highlight w:val="yellow"/>
          <w:lang w:val="hr-HR"/>
        </w:rPr>
      </w:pPr>
    </w:p>
    <w:p w14:paraId="7FAE5B44" w14:textId="77777777" w:rsidR="0042308F" w:rsidRPr="00677AB0" w:rsidRDefault="0042308F" w:rsidP="0042308F">
      <w:pPr>
        <w:pStyle w:val="NoSpacing"/>
        <w:spacing w:line="276" w:lineRule="auto"/>
        <w:jc w:val="both"/>
        <w:rPr>
          <w:rFonts w:ascii="Arial" w:eastAsia="Times New Roman" w:hAnsi="Arial" w:cs="Arial"/>
          <w:sz w:val="20"/>
          <w:szCs w:val="20"/>
          <w:lang w:val="hr-HR"/>
        </w:rPr>
      </w:pPr>
      <w:r w:rsidRPr="00677AB0">
        <w:rPr>
          <w:rFonts w:ascii="Arial" w:eastAsia="Times New Roman" w:hAnsi="Arial" w:cs="Arial"/>
          <w:sz w:val="20"/>
          <w:szCs w:val="20"/>
          <w:lang w:val="hr-HR"/>
        </w:rPr>
        <w:lastRenderedPageBreak/>
        <w:t xml:space="preserve">Slika 8. Kretanje </w:t>
      </w:r>
      <w:r w:rsidR="007D084A">
        <w:rPr>
          <w:rFonts w:ascii="Arial" w:eastAsia="Times New Roman" w:hAnsi="Arial" w:cs="Arial"/>
          <w:sz w:val="20"/>
          <w:szCs w:val="20"/>
          <w:lang w:val="hr-HR"/>
        </w:rPr>
        <w:t>unutarnjeg</w:t>
      </w:r>
      <w:r w:rsidRPr="00677AB0">
        <w:rPr>
          <w:rFonts w:ascii="Arial" w:eastAsia="Times New Roman" w:hAnsi="Arial" w:cs="Arial"/>
          <w:sz w:val="20"/>
          <w:szCs w:val="20"/>
          <w:lang w:val="hr-HR"/>
        </w:rPr>
        <w:t xml:space="preserve"> duga </w:t>
      </w:r>
      <w:r w:rsidRPr="00677AB0">
        <w:rPr>
          <w:rFonts w:ascii="Arial" w:hAnsi="Arial" w:cs="Arial"/>
          <w:sz w:val="20"/>
          <w:szCs w:val="20"/>
          <w:lang w:val="hr-HR"/>
        </w:rPr>
        <w:t>Federacije BiH</w:t>
      </w:r>
      <w:r w:rsidRPr="00677AB0">
        <w:rPr>
          <w:rFonts w:ascii="Arial" w:hAnsi="Arial" w:cs="Arial"/>
          <w:bCs/>
          <w:sz w:val="20"/>
          <w:szCs w:val="20"/>
          <w:lang w:val="hr-HR"/>
        </w:rPr>
        <w:t xml:space="preserve"> </w:t>
      </w:r>
      <w:r w:rsidRPr="00677AB0">
        <w:rPr>
          <w:rFonts w:ascii="Arial" w:eastAsia="Times New Roman" w:hAnsi="Arial" w:cs="Arial"/>
          <w:sz w:val="20"/>
          <w:szCs w:val="20"/>
          <w:lang w:val="hr-HR"/>
        </w:rPr>
        <w:t>po osnov</w:t>
      </w:r>
      <w:r w:rsidR="00440C9C">
        <w:rPr>
          <w:rFonts w:ascii="Arial" w:eastAsia="Times New Roman" w:hAnsi="Arial" w:cs="Arial"/>
          <w:sz w:val="20"/>
          <w:szCs w:val="20"/>
          <w:lang w:val="hr-HR"/>
        </w:rPr>
        <w:t>i</w:t>
      </w:r>
      <w:r w:rsidRPr="00677AB0">
        <w:rPr>
          <w:rFonts w:ascii="Arial" w:eastAsia="Times New Roman" w:hAnsi="Arial" w:cs="Arial"/>
          <w:sz w:val="20"/>
          <w:szCs w:val="20"/>
          <w:lang w:val="hr-HR"/>
        </w:rPr>
        <w:t xml:space="preserve"> tržišnih vrijednosnih papira u </w:t>
      </w:r>
      <w:r w:rsidR="00440C9C">
        <w:rPr>
          <w:rFonts w:ascii="Arial" w:eastAsia="Times New Roman" w:hAnsi="Arial" w:cs="Arial"/>
          <w:sz w:val="20"/>
          <w:szCs w:val="20"/>
          <w:lang w:val="hr-HR"/>
        </w:rPr>
        <w:t>razdoblju</w:t>
      </w:r>
      <w:r w:rsidRPr="00677AB0">
        <w:rPr>
          <w:rFonts w:ascii="Arial" w:eastAsia="Times New Roman" w:hAnsi="Arial" w:cs="Arial"/>
          <w:sz w:val="20"/>
          <w:szCs w:val="20"/>
          <w:lang w:val="hr-HR"/>
        </w:rPr>
        <w:t xml:space="preserve"> 2017 – 2023. (mil. KM)   </w:t>
      </w:r>
    </w:p>
    <w:p w14:paraId="5EF038A3" w14:textId="31DDD2A7" w:rsidR="0042308F" w:rsidRDefault="0042308F" w:rsidP="0042308F">
      <w:pPr>
        <w:pStyle w:val="NoSpacing"/>
        <w:spacing w:line="276" w:lineRule="auto"/>
        <w:jc w:val="both"/>
        <w:rPr>
          <w:rFonts w:ascii="Arial" w:eastAsia="Times New Roman" w:hAnsi="Arial" w:cs="Arial"/>
          <w:lang w:val="hr-HR"/>
        </w:rPr>
      </w:pPr>
      <w:r w:rsidRPr="00677AB0">
        <w:rPr>
          <w:noProof/>
          <w:lang w:val="hr-HR" w:eastAsia="hr-HR"/>
        </w:rPr>
        <w:drawing>
          <wp:inline distT="0" distB="0" distL="0" distR="0" wp14:anchorId="5DBEDC19" wp14:editId="7E0E9F4B">
            <wp:extent cx="5759450" cy="2286000"/>
            <wp:effectExtent l="0" t="0" r="12700" b="0"/>
            <wp:docPr id="6" name="Chart 6">
              <a:extLst xmlns:a="http://schemas.openxmlformats.org/drawingml/2006/main">
                <a:ext uri="{FF2B5EF4-FFF2-40B4-BE49-F238E27FC236}">
                  <a16:creationId xmlns:a16="http://schemas.microsoft.com/office/drawing/2014/main" id="{48703933-6710-4315-A6B9-E28D57FA9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E71767" w14:textId="2D798FE1" w:rsidR="001967B2" w:rsidRDefault="001967B2" w:rsidP="0042308F">
      <w:pPr>
        <w:pStyle w:val="NoSpacing"/>
        <w:spacing w:line="276" w:lineRule="auto"/>
        <w:jc w:val="both"/>
        <w:rPr>
          <w:rFonts w:ascii="Arial" w:eastAsia="Times New Roman" w:hAnsi="Arial" w:cs="Arial"/>
          <w:lang w:val="hr-HR"/>
        </w:rPr>
      </w:pPr>
    </w:p>
    <w:p w14:paraId="2B916CD4" w14:textId="77777777" w:rsidR="001967B2" w:rsidRPr="00677AB0" w:rsidRDefault="001967B2" w:rsidP="0042308F">
      <w:pPr>
        <w:pStyle w:val="NoSpacing"/>
        <w:spacing w:line="276" w:lineRule="auto"/>
        <w:jc w:val="both"/>
        <w:rPr>
          <w:rFonts w:ascii="Arial" w:eastAsia="Times New Roman" w:hAnsi="Arial" w:cs="Arial"/>
          <w:lang w:val="hr-HR"/>
        </w:rPr>
      </w:pPr>
    </w:p>
    <w:p w14:paraId="40B9A5A6" w14:textId="77777777" w:rsidR="0042308F" w:rsidRPr="00677AB0" w:rsidRDefault="0042308F" w:rsidP="0042308F">
      <w:pPr>
        <w:pStyle w:val="NoSpacing"/>
        <w:spacing w:line="276" w:lineRule="auto"/>
        <w:jc w:val="both"/>
        <w:rPr>
          <w:rFonts w:ascii="Arial" w:eastAsia="Times New Roman" w:hAnsi="Arial" w:cs="Arial"/>
          <w:szCs w:val="24"/>
          <w:lang w:val="hr-HR"/>
        </w:rPr>
      </w:pPr>
      <w:r w:rsidRPr="00677AB0">
        <w:rPr>
          <w:rFonts w:ascii="Arial" w:eastAsia="Times New Roman" w:hAnsi="Arial" w:cs="Arial"/>
          <w:sz w:val="24"/>
          <w:szCs w:val="24"/>
          <w:lang w:val="hr-HR"/>
        </w:rPr>
        <w:t xml:space="preserve">       </w:t>
      </w:r>
      <w:r w:rsidRPr="00677AB0">
        <w:rPr>
          <w:rFonts w:ascii="Arial" w:eastAsia="Times New Roman" w:hAnsi="Arial" w:cs="Arial"/>
          <w:szCs w:val="24"/>
          <w:lang w:val="hr-HR"/>
        </w:rPr>
        <w:t>U namjeri da osigura dalj</w:t>
      </w:r>
      <w:r w:rsidR="00440C9C">
        <w:rPr>
          <w:rFonts w:ascii="Arial" w:eastAsia="Times New Roman" w:hAnsi="Arial" w:cs="Arial"/>
          <w:szCs w:val="24"/>
          <w:lang w:val="hr-HR"/>
        </w:rPr>
        <w:t>nj</w:t>
      </w:r>
      <w:r w:rsidRPr="00677AB0">
        <w:rPr>
          <w:rFonts w:ascii="Arial" w:eastAsia="Times New Roman" w:hAnsi="Arial" w:cs="Arial"/>
          <w:szCs w:val="24"/>
          <w:lang w:val="hr-HR"/>
        </w:rPr>
        <w:t xml:space="preserve">i razvoj domaćeg tržišta vrijednosnih papira i transparentnost zaduživanja, vodeći pri tom računa o svojim </w:t>
      </w:r>
      <w:r>
        <w:rPr>
          <w:rFonts w:ascii="Arial" w:eastAsia="Times New Roman" w:hAnsi="Arial" w:cs="Arial"/>
          <w:szCs w:val="24"/>
          <w:lang w:val="hr-HR"/>
        </w:rPr>
        <w:t>financ</w:t>
      </w:r>
      <w:r w:rsidRPr="00677AB0">
        <w:rPr>
          <w:rFonts w:ascii="Arial" w:eastAsia="Times New Roman" w:hAnsi="Arial" w:cs="Arial"/>
          <w:szCs w:val="24"/>
          <w:lang w:val="hr-HR"/>
        </w:rPr>
        <w:t>ijskim potrebama i troškovima, Vlad</w:t>
      </w:r>
      <w:r w:rsidR="00440C9C">
        <w:rPr>
          <w:rFonts w:ascii="Arial" w:eastAsia="Times New Roman" w:hAnsi="Arial" w:cs="Arial"/>
          <w:szCs w:val="24"/>
          <w:lang w:val="hr-HR"/>
        </w:rPr>
        <w:t>a Federacije BiH će nastaviti s</w:t>
      </w:r>
      <w:r w:rsidRPr="00677AB0">
        <w:rPr>
          <w:rFonts w:ascii="Arial" w:eastAsia="Times New Roman" w:hAnsi="Arial" w:cs="Arial"/>
          <w:szCs w:val="24"/>
          <w:lang w:val="hr-HR"/>
        </w:rPr>
        <w:t xml:space="preserve"> aukcijama trezorskih zapisa i obveznica u mjeri koja je potrebna da se iznos sredstava na Jedinstvenom računu </w:t>
      </w:r>
      <w:r w:rsidR="00440C9C">
        <w:rPr>
          <w:rFonts w:ascii="Arial" w:eastAsia="Times New Roman" w:hAnsi="Arial" w:cs="Arial"/>
          <w:szCs w:val="24"/>
          <w:lang w:val="hr-HR"/>
        </w:rPr>
        <w:t>riznice</w:t>
      </w:r>
      <w:r w:rsidRPr="00677AB0">
        <w:rPr>
          <w:rFonts w:ascii="Arial" w:eastAsia="Times New Roman" w:hAnsi="Arial" w:cs="Arial"/>
          <w:szCs w:val="24"/>
          <w:lang w:val="hr-HR"/>
        </w:rPr>
        <w:t xml:space="preserve"> Federacije BiH održava na zadovoljavajuć</w:t>
      </w:r>
      <w:r w:rsidR="00440C9C">
        <w:rPr>
          <w:rFonts w:ascii="Arial" w:eastAsia="Times New Roman" w:hAnsi="Arial" w:cs="Arial"/>
          <w:szCs w:val="24"/>
          <w:lang w:val="hr-HR"/>
        </w:rPr>
        <w:t>oj</w:t>
      </w:r>
      <w:r w:rsidRPr="00677AB0">
        <w:rPr>
          <w:rFonts w:ascii="Arial" w:eastAsia="Times New Roman" w:hAnsi="Arial" w:cs="Arial"/>
          <w:szCs w:val="24"/>
          <w:lang w:val="hr-HR"/>
        </w:rPr>
        <w:t xml:space="preserve"> </w:t>
      </w:r>
      <w:r w:rsidR="00440C9C">
        <w:rPr>
          <w:rFonts w:ascii="Arial" w:eastAsia="Times New Roman" w:hAnsi="Arial" w:cs="Arial"/>
          <w:szCs w:val="24"/>
          <w:lang w:val="hr-HR"/>
        </w:rPr>
        <w:t>razini</w:t>
      </w:r>
      <w:r w:rsidRPr="00677AB0">
        <w:rPr>
          <w:rFonts w:ascii="Arial" w:eastAsia="Times New Roman" w:hAnsi="Arial" w:cs="Arial"/>
          <w:szCs w:val="24"/>
          <w:lang w:val="hr-HR"/>
        </w:rPr>
        <w:t xml:space="preserve">. </w:t>
      </w:r>
    </w:p>
    <w:p w14:paraId="2D14A261" w14:textId="77777777" w:rsidR="0042308F" w:rsidRPr="00677AB0" w:rsidRDefault="0042308F" w:rsidP="0042308F">
      <w:pPr>
        <w:pStyle w:val="NoSpacing"/>
        <w:spacing w:line="276" w:lineRule="auto"/>
        <w:ind w:firstLine="426"/>
        <w:jc w:val="both"/>
        <w:rPr>
          <w:rFonts w:ascii="Arial" w:eastAsia="MS Mincho" w:hAnsi="Arial" w:cs="Arial"/>
          <w:kern w:val="24"/>
          <w:szCs w:val="24"/>
          <w:lang w:val="hr-HR" w:eastAsia="fr-FR"/>
        </w:rPr>
      </w:pPr>
    </w:p>
    <w:p w14:paraId="0BA62B3F" w14:textId="77777777" w:rsidR="0042308F" w:rsidRPr="00677AB0" w:rsidRDefault="0042308F" w:rsidP="0042308F">
      <w:pPr>
        <w:pStyle w:val="NoSpacing"/>
        <w:spacing w:line="276" w:lineRule="auto"/>
        <w:ind w:firstLine="426"/>
        <w:jc w:val="both"/>
        <w:rPr>
          <w:rFonts w:ascii="Arial" w:eastAsia="MS Mincho" w:hAnsi="Arial" w:cs="Arial"/>
          <w:kern w:val="24"/>
          <w:szCs w:val="24"/>
          <w:lang w:val="hr-HR" w:eastAsia="fr-FR"/>
        </w:rPr>
      </w:pPr>
      <w:r w:rsidRPr="00677AB0">
        <w:rPr>
          <w:rFonts w:ascii="Arial" w:eastAsia="MS Mincho" w:hAnsi="Arial" w:cs="Arial"/>
          <w:kern w:val="24"/>
          <w:szCs w:val="24"/>
          <w:lang w:val="hr-HR" w:eastAsia="fr-FR"/>
        </w:rPr>
        <w:t>Broj emisija i visina ponude trezorskih zapisa (ročnosti tri, šest, devet</w:t>
      </w:r>
      <w:r w:rsidRPr="00677AB0" w:rsidDel="00017C6F">
        <w:rPr>
          <w:rFonts w:ascii="Arial" w:eastAsia="MS Mincho" w:hAnsi="Arial" w:cs="Arial"/>
          <w:kern w:val="24"/>
          <w:szCs w:val="24"/>
          <w:lang w:val="hr-HR" w:eastAsia="fr-FR"/>
        </w:rPr>
        <w:t xml:space="preserve"> </w:t>
      </w:r>
      <w:r w:rsidRPr="00677AB0">
        <w:rPr>
          <w:rFonts w:ascii="Arial" w:eastAsia="MS Mincho" w:hAnsi="Arial" w:cs="Arial"/>
          <w:kern w:val="24"/>
          <w:szCs w:val="24"/>
          <w:lang w:val="hr-HR" w:eastAsia="fr-FR"/>
        </w:rPr>
        <w:t xml:space="preserve">i dvanaest mjeseci) će varirati zavisno od potreba </w:t>
      </w:r>
      <w:r w:rsidR="00440C9C">
        <w:rPr>
          <w:rFonts w:ascii="Arial" w:eastAsia="MS Mincho" w:hAnsi="Arial" w:cs="Arial"/>
          <w:kern w:val="24"/>
          <w:szCs w:val="24"/>
          <w:lang w:val="hr-HR" w:eastAsia="fr-FR"/>
        </w:rPr>
        <w:t>riznice</w:t>
      </w:r>
      <w:r w:rsidRPr="00677AB0">
        <w:rPr>
          <w:rFonts w:ascii="Arial" w:eastAsia="MS Mincho" w:hAnsi="Arial" w:cs="Arial"/>
          <w:kern w:val="24"/>
          <w:szCs w:val="24"/>
          <w:lang w:val="hr-HR" w:eastAsia="fr-FR"/>
        </w:rPr>
        <w:t xml:space="preserve"> u procesu upravljanja likvidnošću. Za buduća izdanja </w:t>
      </w:r>
      <w:r w:rsidRPr="00677AB0">
        <w:rPr>
          <w:rFonts w:ascii="Arial" w:eastAsia="MS Mincho" w:hAnsi="Arial" w:cs="Arial"/>
          <w:kern w:val="24"/>
          <w:szCs w:val="24"/>
          <w:lang w:val="hr-HR" w:eastAsia="fr-FR"/>
        </w:rPr>
        <w:lastRenderedPageBreak/>
        <w:t>obveznica Federacije BIH u obzir će se uzimati interesi investitora, ali će se nastojati produžiti prosječno vrijeme dospijeća vrijednosni</w:t>
      </w:r>
      <w:r w:rsidR="00440C9C">
        <w:rPr>
          <w:rFonts w:ascii="Arial" w:eastAsia="MS Mincho" w:hAnsi="Arial" w:cs="Arial"/>
          <w:kern w:val="24"/>
          <w:szCs w:val="24"/>
          <w:lang w:val="hr-HR" w:eastAsia="fr-FR"/>
        </w:rPr>
        <w:t>h papira izdavanjem obveznica s</w:t>
      </w:r>
      <w:r w:rsidRPr="00677AB0">
        <w:rPr>
          <w:rFonts w:ascii="Arial" w:eastAsia="MS Mincho" w:hAnsi="Arial" w:cs="Arial"/>
          <w:kern w:val="24"/>
          <w:szCs w:val="24"/>
          <w:lang w:val="hr-HR" w:eastAsia="fr-FR"/>
        </w:rPr>
        <w:t xml:space="preserve"> dospijećem dužim od pet godina. </w:t>
      </w:r>
    </w:p>
    <w:p w14:paraId="00D5D8B9" w14:textId="77777777" w:rsidR="0042308F" w:rsidRPr="00677AB0" w:rsidRDefault="0042308F" w:rsidP="0042308F">
      <w:pPr>
        <w:pStyle w:val="NoSpacing"/>
        <w:spacing w:line="276" w:lineRule="auto"/>
        <w:ind w:firstLine="426"/>
        <w:jc w:val="both"/>
        <w:rPr>
          <w:rFonts w:ascii="Arial" w:eastAsia="MS Mincho" w:hAnsi="Arial" w:cs="Arial"/>
          <w:kern w:val="24"/>
          <w:szCs w:val="24"/>
          <w:lang w:val="hr-HR" w:eastAsia="fr-FR"/>
        </w:rPr>
      </w:pPr>
    </w:p>
    <w:p w14:paraId="26E7D39A" w14:textId="77777777" w:rsidR="0042308F" w:rsidRPr="00677AB0" w:rsidRDefault="0042308F" w:rsidP="0042308F">
      <w:pPr>
        <w:pStyle w:val="NoSpacing"/>
        <w:spacing w:line="276" w:lineRule="auto"/>
        <w:ind w:firstLine="426"/>
        <w:jc w:val="both"/>
        <w:rPr>
          <w:rFonts w:ascii="Arial" w:eastAsia="MS Mincho" w:hAnsi="Arial" w:cs="Arial"/>
          <w:kern w:val="24"/>
          <w:szCs w:val="24"/>
          <w:lang w:val="hr-HR" w:eastAsia="fr-FR"/>
        </w:rPr>
      </w:pPr>
      <w:r w:rsidRPr="00677AB0">
        <w:rPr>
          <w:rFonts w:ascii="Arial" w:eastAsia="MS Mincho" w:hAnsi="Arial" w:cs="Arial"/>
          <w:kern w:val="24"/>
          <w:szCs w:val="24"/>
          <w:lang w:val="hr-HR" w:eastAsia="fr-FR"/>
        </w:rPr>
        <w:t>Aukcije tržišnih vrijednosnih papira Federac</w:t>
      </w:r>
      <w:r w:rsidR="00440C9C">
        <w:rPr>
          <w:rFonts w:ascii="Arial" w:eastAsia="MS Mincho" w:hAnsi="Arial" w:cs="Arial"/>
          <w:kern w:val="24"/>
          <w:szCs w:val="24"/>
          <w:lang w:val="hr-HR" w:eastAsia="fr-FR"/>
        </w:rPr>
        <w:t>ije BiH održavaju se u skladu s</w:t>
      </w:r>
      <w:r w:rsidRPr="00677AB0">
        <w:rPr>
          <w:rFonts w:ascii="Arial" w:eastAsia="MS Mincho" w:hAnsi="Arial" w:cs="Arial"/>
          <w:kern w:val="24"/>
          <w:szCs w:val="24"/>
          <w:lang w:val="hr-HR" w:eastAsia="fr-FR"/>
        </w:rPr>
        <w:t xml:space="preserve"> godišnjim indikativnim kalendarom aukcija, koji Ministarstvo </w:t>
      </w:r>
      <w:r>
        <w:rPr>
          <w:rFonts w:ascii="Arial" w:eastAsia="MS Mincho" w:hAnsi="Arial" w:cs="Arial"/>
          <w:kern w:val="24"/>
          <w:szCs w:val="24"/>
          <w:lang w:val="hr-HR" w:eastAsia="fr-FR"/>
        </w:rPr>
        <w:t>financ</w:t>
      </w:r>
      <w:r w:rsidRPr="00677AB0">
        <w:rPr>
          <w:rFonts w:ascii="Arial" w:eastAsia="MS Mincho" w:hAnsi="Arial" w:cs="Arial"/>
          <w:kern w:val="24"/>
          <w:szCs w:val="24"/>
          <w:lang w:val="hr-HR" w:eastAsia="fr-FR"/>
        </w:rPr>
        <w:t xml:space="preserve">ija objavljuje na svojoj web stranici, osim u slučaju kada zbog zadovoljavajuće likvidnosti jedinstvenog računa </w:t>
      </w:r>
      <w:r w:rsidR="00440C9C">
        <w:rPr>
          <w:rFonts w:ascii="Arial" w:eastAsia="MS Mincho" w:hAnsi="Arial" w:cs="Arial"/>
          <w:kern w:val="24"/>
          <w:szCs w:val="24"/>
          <w:lang w:val="hr-HR" w:eastAsia="fr-FR"/>
        </w:rPr>
        <w:t>riznice</w:t>
      </w:r>
      <w:r w:rsidRPr="00677AB0">
        <w:rPr>
          <w:rFonts w:ascii="Arial" w:eastAsia="MS Mincho" w:hAnsi="Arial" w:cs="Arial"/>
          <w:kern w:val="24"/>
          <w:szCs w:val="24"/>
          <w:lang w:val="hr-HR" w:eastAsia="fr-FR"/>
        </w:rPr>
        <w:t xml:space="preserve"> Ministarstvo </w:t>
      </w:r>
      <w:r>
        <w:rPr>
          <w:rFonts w:ascii="Arial" w:eastAsia="MS Mincho" w:hAnsi="Arial" w:cs="Arial"/>
          <w:kern w:val="24"/>
          <w:szCs w:val="24"/>
          <w:lang w:val="hr-HR" w:eastAsia="fr-FR"/>
        </w:rPr>
        <w:t>financ</w:t>
      </w:r>
      <w:r w:rsidRPr="00677AB0">
        <w:rPr>
          <w:rFonts w:ascii="Arial" w:eastAsia="MS Mincho" w:hAnsi="Arial" w:cs="Arial"/>
          <w:kern w:val="24"/>
          <w:szCs w:val="24"/>
          <w:lang w:val="hr-HR" w:eastAsia="fr-FR"/>
        </w:rPr>
        <w:t xml:space="preserve">ija otkaže najavljene aukcije. </w:t>
      </w:r>
    </w:p>
    <w:p w14:paraId="26AD7CBC" w14:textId="77777777" w:rsidR="0042308F" w:rsidRPr="00677AB0" w:rsidRDefault="0042308F" w:rsidP="0042308F">
      <w:pPr>
        <w:pStyle w:val="NoSpacing"/>
        <w:jc w:val="both"/>
        <w:rPr>
          <w:rFonts w:ascii="Arial" w:eastAsia="MS Mincho" w:hAnsi="Arial" w:cs="Arial"/>
          <w:kern w:val="24"/>
          <w:sz w:val="14"/>
          <w:szCs w:val="24"/>
          <w:lang w:val="hr-HR" w:eastAsia="fr-FR"/>
        </w:rPr>
      </w:pPr>
    </w:p>
    <w:p w14:paraId="689709B4" w14:textId="77777777" w:rsidR="0042308F" w:rsidRPr="00677AB0" w:rsidRDefault="00153015" w:rsidP="0042308F">
      <w:pPr>
        <w:pStyle w:val="NoSpacing"/>
        <w:jc w:val="both"/>
        <w:rPr>
          <w:rFonts w:ascii="Arial" w:eastAsia="MS Mincho" w:hAnsi="Arial" w:cs="Arial"/>
          <w:kern w:val="24"/>
          <w:sz w:val="20"/>
          <w:lang w:val="hr-HR" w:eastAsia="fr-FR"/>
        </w:rPr>
      </w:pPr>
      <w:r>
        <w:rPr>
          <w:rFonts w:ascii="Arial" w:eastAsia="MS Mincho" w:hAnsi="Arial" w:cs="Arial"/>
          <w:kern w:val="24"/>
          <w:sz w:val="20"/>
          <w:lang w:val="hr-HR" w:eastAsia="fr-FR"/>
        </w:rPr>
        <w:t>Tablica</w:t>
      </w:r>
      <w:r w:rsidR="0042308F" w:rsidRPr="00677AB0">
        <w:rPr>
          <w:rFonts w:ascii="Arial" w:eastAsia="MS Mincho" w:hAnsi="Arial" w:cs="Arial"/>
          <w:kern w:val="24"/>
          <w:sz w:val="20"/>
          <w:lang w:val="hr-HR" w:eastAsia="fr-FR"/>
        </w:rPr>
        <w:t xml:space="preserve"> 9. Struktura, troškovi i rizici domaćih izvora </w:t>
      </w:r>
      <w:r w:rsidR="0042308F">
        <w:rPr>
          <w:rFonts w:ascii="Arial" w:eastAsia="MS Mincho" w:hAnsi="Arial" w:cs="Arial"/>
          <w:kern w:val="24"/>
          <w:sz w:val="20"/>
          <w:lang w:val="hr-HR" w:eastAsia="fr-FR"/>
        </w:rPr>
        <w:t>financ</w:t>
      </w:r>
      <w:r w:rsidR="0042308F" w:rsidRPr="00677AB0">
        <w:rPr>
          <w:rFonts w:ascii="Arial" w:eastAsia="MS Mincho" w:hAnsi="Arial" w:cs="Arial"/>
          <w:kern w:val="24"/>
          <w:sz w:val="20"/>
          <w:lang w:val="hr-HR" w:eastAsia="fr-FR"/>
        </w:rPr>
        <w:t>iranja</w:t>
      </w:r>
    </w:p>
    <w:tbl>
      <w:tblPr>
        <w:tblStyle w:val="GridTable4-Accent11"/>
        <w:tblpPr w:leftFromText="180" w:rightFromText="180" w:vertAnchor="text" w:tblpY="50"/>
        <w:tblW w:w="935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271"/>
        <w:gridCol w:w="3544"/>
        <w:gridCol w:w="4536"/>
      </w:tblGrid>
      <w:tr w:rsidR="0042308F" w:rsidRPr="00677AB0" w14:paraId="49045851" w14:textId="77777777" w:rsidTr="0042308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55C38F1" w14:textId="77777777" w:rsidR="0042308F" w:rsidRPr="00677AB0" w:rsidRDefault="0042308F" w:rsidP="001967B2">
            <w:pPr>
              <w:pStyle w:val="NoSpacing"/>
              <w:contextualSpacing/>
              <w:jc w:val="center"/>
              <w:rPr>
                <w:rFonts w:ascii="Arial Narrow" w:hAnsi="Arial Narrow" w:cs="Arial"/>
                <w:b w:val="0"/>
                <w:i/>
                <w:color w:val="auto"/>
                <w:sz w:val="20"/>
                <w:szCs w:val="20"/>
                <w:lang w:val="hr-HR"/>
              </w:rPr>
            </w:pPr>
            <w:r w:rsidRPr="00677AB0">
              <w:rPr>
                <w:rFonts w:ascii="Arial Narrow" w:hAnsi="Arial Narrow" w:cs="Arial"/>
                <w:b w:val="0"/>
                <w:i/>
                <w:color w:val="auto"/>
                <w:sz w:val="20"/>
                <w:szCs w:val="20"/>
                <w:lang w:val="hr-HR"/>
              </w:rPr>
              <w:t>OPIS</w:t>
            </w:r>
          </w:p>
        </w:tc>
        <w:tc>
          <w:tcPr>
            <w:tcW w:w="3544" w:type="dxa"/>
            <w:shd w:val="clear" w:color="auto" w:fill="auto"/>
            <w:vAlign w:val="center"/>
          </w:tcPr>
          <w:p w14:paraId="3E01189E" w14:textId="77777777" w:rsidR="0042308F" w:rsidRPr="00677AB0" w:rsidRDefault="0042308F" w:rsidP="001967B2">
            <w:pPr>
              <w:pStyle w:val="NoSpacing"/>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677AB0">
              <w:rPr>
                <w:rFonts w:ascii="Arial Narrow" w:hAnsi="Arial Narrow" w:cs="Arial"/>
                <w:b w:val="0"/>
                <w:i/>
                <w:color w:val="auto"/>
                <w:sz w:val="20"/>
                <w:szCs w:val="20"/>
                <w:lang w:val="hr-HR"/>
              </w:rPr>
              <w:t>Trezorski zapisi</w:t>
            </w:r>
          </w:p>
        </w:tc>
        <w:tc>
          <w:tcPr>
            <w:tcW w:w="4536" w:type="dxa"/>
            <w:shd w:val="clear" w:color="auto" w:fill="auto"/>
            <w:vAlign w:val="center"/>
          </w:tcPr>
          <w:p w14:paraId="4B1A3F89" w14:textId="77777777" w:rsidR="0042308F" w:rsidRPr="00677AB0" w:rsidRDefault="0042308F" w:rsidP="001967B2">
            <w:pPr>
              <w:pStyle w:val="NoSpacing"/>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677AB0">
              <w:rPr>
                <w:rFonts w:ascii="Arial Narrow" w:hAnsi="Arial Narrow" w:cs="Arial"/>
                <w:b w:val="0"/>
                <w:i/>
                <w:color w:val="auto"/>
                <w:sz w:val="20"/>
                <w:szCs w:val="20"/>
                <w:lang w:val="hr-HR"/>
              </w:rPr>
              <w:t>Obveznice FBiH</w:t>
            </w:r>
          </w:p>
        </w:tc>
      </w:tr>
      <w:tr w:rsidR="0042308F" w:rsidRPr="00677AB0" w14:paraId="4528581A" w14:textId="77777777" w:rsidTr="001967B2">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46BCE455" w14:textId="77777777" w:rsidR="0042308F" w:rsidRPr="00677AB0" w:rsidRDefault="0042308F" w:rsidP="001967B2">
            <w:pPr>
              <w:spacing w:line="240" w:lineRule="auto"/>
              <w:contextualSpacing/>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 xml:space="preserve">Struktura </w:t>
            </w:r>
          </w:p>
        </w:tc>
        <w:tc>
          <w:tcPr>
            <w:tcW w:w="3544" w:type="dxa"/>
            <w:shd w:val="clear" w:color="auto" w:fill="auto"/>
            <w:vAlign w:val="center"/>
          </w:tcPr>
          <w:p w14:paraId="5790609A" w14:textId="77777777" w:rsidR="0042308F" w:rsidRPr="00677AB0" w:rsidRDefault="0042308F" w:rsidP="001967B2">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Diskont, jednokratna isplata</w:t>
            </w:r>
          </w:p>
        </w:tc>
        <w:tc>
          <w:tcPr>
            <w:tcW w:w="4536" w:type="dxa"/>
            <w:shd w:val="clear" w:color="auto" w:fill="auto"/>
            <w:vAlign w:val="center"/>
          </w:tcPr>
          <w:p w14:paraId="58D6D7F9" w14:textId="77777777" w:rsidR="0042308F" w:rsidRPr="00677AB0" w:rsidRDefault="0042308F" w:rsidP="001967B2">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Fiksna ili varijabilna kamata, jednokratna isplata</w:t>
            </w:r>
          </w:p>
        </w:tc>
      </w:tr>
      <w:tr w:rsidR="0042308F" w:rsidRPr="00677AB0" w14:paraId="39499F5D" w14:textId="77777777" w:rsidTr="0042308F">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37C8C5D2" w14:textId="77777777" w:rsidR="0042308F" w:rsidRPr="00677AB0" w:rsidRDefault="0042308F" w:rsidP="001967B2">
            <w:pPr>
              <w:spacing w:line="240" w:lineRule="auto"/>
              <w:contextualSpacing/>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 xml:space="preserve">Karakteristike </w:t>
            </w:r>
          </w:p>
        </w:tc>
        <w:tc>
          <w:tcPr>
            <w:tcW w:w="3544" w:type="dxa"/>
            <w:shd w:val="clear" w:color="auto" w:fill="auto"/>
            <w:vAlign w:val="center"/>
          </w:tcPr>
          <w:p w14:paraId="2C59E41B" w14:textId="77777777" w:rsidR="0042308F" w:rsidRPr="00677AB0" w:rsidRDefault="0042308F" w:rsidP="001967B2">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Jednostavni, dobra potražnja</w:t>
            </w:r>
          </w:p>
        </w:tc>
        <w:tc>
          <w:tcPr>
            <w:tcW w:w="4536" w:type="dxa"/>
            <w:shd w:val="clear" w:color="auto" w:fill="auto"/>
            <w:vAlign w:val="center"/>
          </w:tcPr>
          <w:p w14:paraId="0F9098FB" w14:textId="77777777" w:rsidR="0042308F" w:rsidRPr="00677AB0" w:rsidRDefault="0042308F" w:rsidP="001967B2">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Tražnja zadovoljava trenutne potrebe, razvoj tržišta će utjecati na potražnju</w:t>
            </w:r>
          </w:p>
        </w:tc>
      </w:tr>
      <w:tr w:rsidR="0042308F" w:rsidRPr="00677AB0" w14:paraId="1557C87B" w14:textId="77777777" w:rsidTr="0042308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87385E1" w14:textId="77777777" w:rsidR="0042308F" w:rsidRPr="00677AB0" w:rsidRDefault="0042308F" w:rsidP="001967B2">
            <w:pPr>
              <w:spacing w:line="240" w:lineRule="auto"/>
              <w:contextualSpacing/>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Troškovi</w:t>
            </w:r>
          </w:p>
        </w:tc>
        <w:tc>
          <w:tcPr>
            <w:tcW w:w="3544" w:type="dxa"/>
            <w:shd w:val="clear" w:color="auto" w:fill="auto"/>
            <w:vAlign w:val="center"/>
          </w:tcPr>
          <w:p w14:paraId="62E3F36F" w14:textId="77777777" w:rsidR="0042308F" w:rsidRPr="00677AB0" w:rsidRDefault="0042308F" w:rsidP="001967B2">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Niski, osim u slučaju krize likvidnosti ili izdanja većih volumena</w:t>
            </w:r>
          </w:p>
        </w:tc>
        <w:tc>
          <w:tcPr>
            <w:tcW w:w="4536" w:type="dxa"/>
            <w:shd w:val="clear" w:color="auto" w:fill="auto"/>
            <w:vAlign w:val="center"/>
          </w:tcPr>
          <w:p w14:paraId="5DFEDC56" w14:textId="77777777" w:rsidR="0042308F" w:rsidRPr="00677AB0" w:rsidRDefault="0042308F" w:rsidP="001967B2">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Rast volumena izdanja i produžetak ročnosti može izazvati rast troškova</w:t>
            </w:r>
          </w:p>
        </w:tc>
      </w:tr>
      <w:tr w:rsidR="0042308F" w:rsidRPr="00677AB0" w14:paraId="504D4B73" w14:textId="77777777" w:rsidTr="001967B2">
        <w:trPr>
          <w:trHeight w:val="548"/>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63B2C61D" w14:textId="77777777" w:rsidR="0042308F" w:rsidRPr="00677AB0" w:rsidRDefault="0042308F" w:rsidP="001967B2">
            <w:pPr>
              <w:spacing w:line="240" w:lineRule="auto"/>
              <w:contextualSpacing/>
              <w:rPr>
                <w:rFonts w:ascii="Arial Narrow" w:eastAsia="Times New Roman" w:hAnsi="Arial Narrow" w:cs="Arial"/>
                <w:b w:val="0"/>
                <w:i/>
                <w:sz w:val="20"/>
                <w:szCs w:val="20"/>
              </w:rPr>
            </w:pPr>
            <w:r w:rsidRPr="00677AB0">
              <w:rPr>
                <w:rFonts w:ascii="Arial Narrow" w:eastAsia="Times New Roman" w:hAnsi="Arial Narrow" w:cs="Arial"/>
                <w:b w:val="0"/>
                <w:i/>
                <w:sz w:val="20"/>
                <w:szCs w:val="20"/>
              </w:rPr>
              <w:t>Rizici</w:t>
            </w:r>
          </w:p>
        </w:tc>
        <w:tc>
          <w:tcPr>
            <w:tcW w:w="3544" w:type="dxa"/>
            <w:shd w:val="clear" w:color="auto" w:fill="auto"/>
            <w:vAlign w:val="center"/>
          </w:tcPr>
          <w:p w14:paraId="5C671F8C" w14:textId="77777777" w:rsidR="0042308F" w:rsidRPr="00677AB0" w:rsidRDefault="0042308F" w:rsidP="001967B2">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Rizici refiksiranja i re</w:t>
            </w:r>
            <w:r>
              <w:rPr>
                <w:rFonts w:ascii="Arial Narrow" w:eastAsia="Times New Roman" w:hAnsi="Arial Narrow" w:cs="Arial"/>
                <w:i/>
                <w:sz w:val="20"/>
                <w:szCs w:val="20"/>
              </w:rPr>
              <w:t>financ</w:t>
            </w:r>
            <w:r w:rsidRPr="00677AB0">
              <w:rPr>
                <w:rFonts w:ascii="Arial Narrow" w:eastAsia="Times New Roman" w:hAnsi="Arial Narrow" w:cs="Arial"/>
                <w:i/>
                <w:sz w:val="20"/>
                <w:szCs w:val="20"/>
              </w:rPr>
              <w:t>iranja</w:t>
            </w:r>
          </w:p>
        </w:tc>
        <w:tc>
          <w:tcPr>
            <w:tcW w:w="4536" w:type="dxa"/>
            <w:shd w:val="clear" w:color="auto" w:fill="auto"/>
            <w:vAlign w:val="center"/>
          </w:tcPr>
          <w:p w14:paraId="7B3235F7" w14:textId="77777777" w:rsidR="0042308F" w:rsidRPr="00677AB0" w:rsidRDefault="0042308F" w:rsidP="001967B2">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677AB0">
              <w:rPr>
                <w:rFonts w:ascii="Arial Narrow" w:eastAsia="Times New Roman" w:hAnsi="Arial Narrow" w:cs="Arial"/>
                <w:i/>
                <w:sz w:val="20"/>
                <w:szCs w:val="20"/>
              </w:rPr>
              <w:t>Rizici zavise od ostvarene ročnosti, a uključuju rizik re</w:t>
            </w:r>
            <w:r>
              <w:rPr>
                <w:rFonts w:ascii="Arial Narrow" w:eastAsia="Times New Roman" w:hAnsi="Arial Narrow" w:cs="Arial"/>
                <w:i/>
                <w:sz w:val="20"/>
                <w:szCs w:val="20"/>
              </w:rPr>
              <w:t>financ</w:t>
            </w:r>
            <w:r w:rsidRPr="00677AB0">
              <w:rPr>
                <w:rFonts w:ascii="Arial Narrow" w:eastAsia="Times New Roman" w:hAnsi="Arial Narrow" w:cs="Arial"/>
                <w:i/>
                <w:sz w:val="20"/>
                <w:szCs w:val="20"/>
              </w:rPr>
              <w:t>iranja, a u slučaju varijabilnih stopa i rizik refiksiranja</w:t>
            </w:r>
          </w:p>
        </w:tc>
      </w:tr>
    </w:tbl>
    <w:p w14:paraId="40546B65" w14:textId="77777777" w:rsidR="0042308F" w:rsidRPr="00677AB0" w:rsidRDefault="0042308F" w:rsidP="0042308F">
      <w:pPr>
        <w:pStyle w:val="NoSpacing"/>
        <w:jc w:val="both"/>
        <w:rPr>
          <w:rFonts w:ascii="Arial" w:eastAsia="MS Mincho" w:hAnsi="Arial" w:cs="Arial"/>
          <w:kern w:val="24"/>
          <w:sz w:val="24"/>
          <w:szCs w:val="24"/>
          <w:lang w:val="hr-HR" w:eastAsia="fr-FR"/>
        </w:rPr>
      </w:pPr>
    </w:p>
    <w:p w14:paraId="01A8DBC2" w14:textId="77777777" w:rsidR="0042308F" w:rsidRPr="00677AB0" w:rsidRDefault="0042308F" w:rsidP="0042308F">
      <w:pPr>
        <w:pStyle w:val="NoSpacing"/>
        <w:jc w:val="both"/>
        <w:rPr>
          <w:rFonts w:ascii="Arial" w:eastAsia="MS Mincho" w:hAnsi="Arial" w:cs="Arial"/>
          <w:kern w:val="24"/>
          <w:lang w:val="hr-HR" w:eastAsia="fr-FR"/>
        </w:rPr>
      </w:pPr>
    </w:p>
    <w:p w14:paraId="460361B1" w14:textId="77777777" w:rsidR="0042308F" w:rsidRPr="00677AB0" w:rsidRDefault="0042308F" w:rsidP="0042308F">
      <w:pPr>
        <w:spacing w:after="0" w:line="240" w:lineRule="auto"/>
      </w:pPr>
    </w:p>
    <w:p w14:paraId="0AC79055" w14:textId="77777777" w:rsidR="0042308F" w:rsidRPr="00677AB0" w:rsidRDefault="0042308F" w:rsidP="0042308F">
      <w:pPr>
        <w:pStyle w:val="Heading1"/>
        <w:numPr>
          <w:ilvl w:val="0"/>
          <w:numId w:val="1"/>
        </w:numPr>
        <w:spacing w:before="0"/>
        <w:ind w:left="567" w:hanging="425"/>
        <w:rPr>
          <w:rFonts w:ascii="Arial" w:hAnsi="Arial" w:cs="Arial"/>
          <w:b w:val="0"/>
          <w:color w:val="auto"/>
        </w:rPr>
      </w:pPr>
      <w:bookmarkStart w:id="107" w:name="_Toc407962575"/>
      <w:bookmarkStart w:id="108" w:name="_Toc172282253"/>
      <w:r w:rsidRPr="00677AB0">
        <w:rPr>
          <w:rFonts w:ascii="Arial" w:hAnsi="Arial" w:cs="Arial"/>
          <w:b w:val="0"/>
          <w:color w:val="auto"/>
        </w:rPr>
        <w:t>PRETPOSTAVKE CIJENA I OPISI SCENARIJA ŠOKA</w:t>
      </w:r>
      <w:bookmarkEnd w:id="107"/>
      <w:bookmarkEnd w:id="108"/>
    </w:p>
    <w:p w14:paraId="24F8C155"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rPr>
      </w:pPr>
    </w:p>
    <w:p w14:paraId="761D930C" w14:textId="77777777" w:rsidR="0042308F" w:rsidRPr="00677AB0" w:rsidRDefault="0042308F" w:rsidP="00440C9C">
      <w:pPr>
        <w:pStyle w:val="ParagraphNumbering"/>
        <w:keepNext/>
        <w:numPr>
          <w:ilvl w:val="0"/>
          <w:numId w:val="0"/>
        </w:numPr>
        <w:spacing w:after="0" w:line="276" w:lineRule="auto"/>
        <w:ind w:firstLine="420"/>
        <w:jc w:val="both"/>
        <w:rPr>
          <w:rFonts w:ascii="Arial" w:hAnsi="Arial" w:cs="Arial"/>
          <w:sz w:val="22"/>
        </w:rPr>
      </w:pPr>
      <w:r w:rsidRPr="00677AB0">
        <w:rPr>
          <w:rFonts w:ascii="Arial" w:hAnsi="Arial" w:cs="Arial"/>
          <w:sz w:val="22"/>
        </w:rPr>
        <w:t>U ovom dijelu predstavljen</w:t>
      </w:r>
      <w:r w:rsidR="00440C9C">
        <w:rPr>
          <w:rFonts w:ascii="Arial" w:hAnsi="Arial" w:cs="Arial"/>
          <w:sz w:val="22"/>
        </w:rPr>
        <w:t>e</w:t>
      </w:r>
      <w:r w:rsidRPr="00677AB0">
        <w:rPr>
          <w:rFonts w:ascii="Arial" w:hAnsi="Arial" w:cs="Arial"/>
          <w:sz w:val="22"/>
        </w:rPr>
        <w:t xml:space="preserve"> su četiri moguće strategije </w:t>
      </w:r>
      <w:r>
        <w:rPr>
          <w:rFonts w:ascii="Arial" w:hAnsi="Arial" w:cs="Arial"/>
          <w:sz w:val="22"/>
        </w:rPr>
        <w:t>financ</w:t>
      </w:r>
      <w:r w:rsidRPr="00677AB0">
        <w:rPr>
          <w:rFonts w:ascii="Arial" w:hAnsi="Arial" w:cs="Arial"/>
          <w:sz w:val="22"/>
        </w:rPr>
        <w:t>iranja potreba Vlade Federacije BiH tako da je s</w:t>
      </w:r>
      <w:r w:rsidR="00440C9C">
        <w:rPr>
          <w:rFonts w:ascii="Arial" w:hAnsi="Arial" w:cs="Arial"/>
          <w:sz w:val="22"/>
          <w:szCs w:val="22"/>
        </w:rPr>
        <w:t>vaka od strategija</w:t>
      </w:r>
      <w:r w:rsidRPr="00677AB0">
        <w:rPr>
          <w:rFonts w:ascii="Arial" w:hAnsi="Arial" w:cs="Arial"/>
          <w:sz w:val="22"/>
          <w:szCs w:val="22"/>
        </w:rPr>
        <w:t xml:space="preserve"> testirana na iznenadne promjene u pogledu kamatnih stopa i deviznih </w:t>
      </w:r>
      <w:r w:rsidR="00440C9C">
        <w:rPr>
          <w:rFonts w:ascii="Arial" w:hAnsi="Arial" w:cs="Arial"/>
          <w:sz w:val="22"/>
          <w:szCs w:val="22"/>
        </w:rPr>
        <w:t>tečajeva</w:t>
      </w:r>
      <w:r w:rsidRPr="00677AB0">
        <w:rPr>
          <w:rFonts w:ascii="Arial" w:hAnsi="Arial" w:cs="Arial"/>
          <w:sz w:val="22"/>
          <w:szCs w:val="22"/>
        </w:rPr>
        <w:t xml:space="preserve"> u </w:t>
      </w:r>
      <w:r w:rsidR="00440C9C" w:rsidRPr="00677AB0">
        <w:rPr>
          <w:rFonts w:ascii="Arial" w:hAnsi="Arial" w:cs="Arial"/>
          <w:sz w:val="22"/>
          <w:szCs w:val="22"/>
        </w:rPr>
        <w:t>svrhu</w:t>
      </w:r>
      <w:r w:rsidRPr="00677AB0">
        <w:rPr>
          <w:rFonts w:ascii="Arial" w:hAnsi="Arial" w:cs="Arial"/>
          <w:sz w:val="22"/>
          <w:szCs w:val="22"/>
        </w:rPr>
        <w:t xml:space="preserve"> procijene troškova i rizika na </w:t>
      </w:r>
      <w:r w:rsidRPr="00677AB0">
        <w:rPr>
          <w:rFonts w:ascii="Arial" w:hAnsi="Arial" w:cs="Arial"/>
          <w:sz w:val="22"/>
          <w:szCs w:val="22"/>
        </w:rPr>
        <w:lastRenderedPageBreak/>
        <w:t>navedene promjene. P</w:t>
      </w:r>
      <w:r w:rsidRPr="00677AB0">
        <w:rPr>
          <w:rFonts w:ascii="Arial" w:hAnsi="Arial" w:cs="Arial"/>
          <w:sz w:val="22"/>
        </w:rPr>
        <w:t xml:space="preserve">retpostavke visine kamatnih stopa i procijenjeno kretanje vrijednosti deviznih </w:t>
      </w:r>
      <w:r w:rsidR="00440C9C">
        <w:rPr>
          <w:rFonts w:ascii="Arial" w:hAnsi="Arial" w:cs="Arial"/>
          <w:sz w:val="22"/>
        </w:rPr>
        <w:t>tečajeva</w:t>
      </w:r>
      <w:r w:rsidRPr="00677AB0">
        <w:rPr>
          <w:rFonts w:ascii="Arial" w:hAnsi="Arial" w:cs="Arial"/>
          <w:sz w:val="22"/>
        </w:rPr>
        <w:t xml:space="preserve"> za vanjski dug u </w:t>
      </w:r>
      <w:r w:rsidR="00440C9C">
        <w:rPr>
          <w:rFonts w:ascii="Arial" w:hAnsi="Arial" w:cs="Arial"/>
          <w:sz w:val="22"/>
        </w:rPr>
        <w:t>razdoblju</w:t>
      </w:r>
      <w:r w:rsidRPr="00677AB0">
        <w:rPr>
          <w:rFonts w:ascii="Arial" w:hAnsi="Arial" w:cs="Arial"/>
          <w:sz w:val="22"/>
        </w:rPr>
        <w:t xml:space="preserve"> 2024 – 2026. godina preuzeti su od Ministarstva </w:t>
      </w:r>
      <w:r>
        <w:rPr>
          <w:rFonts w:ascii="Arial" w:hAnsi="Arial" w:cs="Arial"/>
          <w:sz w:val="22"/>
        </w:rPr>
        <w:t>financ</w:t>
      </w:r>
      <w:r w:rsidR="00440C9C">
        <w:rPr>
          <w:rFonts w:ascii="Arial" w:hAnsi="Arial" w:cs="Arial"/>
          <w:sz w:val="22"/>
        </w:rPr>
        <w:t xml:space="preserve">ija i trezora BiH. </w:t>
      </w:r>
    </w:p>
    <w:p w14:paraId="679F23E6"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rPr>
      </w:pPr>
    </w:p>
    <w:p w14:paraId="5F312829"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09" w:name="_Toc172282254"/>
      <w:r w:rsidRPr="00677AB0">
        <w:rPr>
          <w:rFonts w:ascii="Arial" w:hAnsi="Arial" w:cs="Arial"/>
          <w:b w:val="0"/>
          <w:color w:val="auto"/>
          <w:sz w:val="24"/>
          <w:szCs w:val="24"/>
        </w:rPr>
        <w:t>Scenarij nepredviđenih događaja (Šok scenarij)</w:t>
      </w:r>
      <w:bookmarkEnd w:id="109"/>
    </w:p>
    <w:p w14:paraId="7BDEA587" w14:textId="77777777" w:rsidR="0042308F" w:rsidRPr="00677AB0" w:rsidRDefault="0042308F" w:rsidP="0042308F">
      <w:pPr>
        <w:autoSpaceDE w:val="0"/>
        <w:spacing w:after="0" w:line="240" w:lineRule="auto"/>
        <w:jc w:val="both"/>
        <w:rPr>
          <w:rFonts w:ascii="Arial" w:eastAsia="SimSun" w:hAnsi="Arial" w:cs="Arial"/>
          <w:b/>
          <w:sz w:val="10"/>
          <w:szCs w:val="24"/>
        </w:rPr>
      </w:pPr>
    </w:p>
    <w:p w14:paraId="278116D1" w14:textId="77777777" w:rsidR="0042308F" w:rsidRPr="00677AB0" w:rsidRDefault="0042308F" w:rsidP="0042308F">
      <w:pPr>
        <w:autoSpaceDE w:val="0"/>
        <w:spacing w:after="0" w:line="240" w:lineRule="auto"/>
        <w:jc w:val="both"/>
        <w:rPr>
          <w:rFonts w:ascii="Arial" w:eastAsia="SimSun" w:hAnsi="Arial" w:cs="Arial"/>
          <w:b/>
          <w:sz w:val="10"/>
          <w:szCs w:val="24"/>
        </w:rPr>
      </w:pPr>
    </w:p>
    <w:p w14:paraId="1E5523A0"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rPr>
      </w:pPr>
      <w:r w:rsidRPr="00677AB0">
        <w:rPr>
          <w:rFonts w:ascii="Arial" w:hAnsi="Arial" w:cs="Arial"/>
          <w:sz w:val="22"/>
        </w:rPr>
        <w:t xml:space="preserve">Scenariji su testirani na utjecaj šokova, odvojeno kamatni i valutni šok te </w:t>
      </w:r>
      <w:r w:rsidR="00440C9C" w:rsidRPr="00677AB0">
        <w:rPr>
          <w:rFonts w:ascii="Arial" w:hAnsi="Arial" w:cs="Arial"/>
          <w:sz w:val="22"/>
        </w:rPr>
        <w:t>kombinirani</w:t>
      </w:r>
      <w:r w:rsidRPr="00677AB0">
        <w:rPr>
          <w:rFonts w:ascii="Arial" w:hAnsi="Arial" w:cs="Arial"/>
          <w:sz w:val="22"/>
        </w:rPr>
        <w:t xml:space="preserve"> kamatno-valutni šok na temelju postojećeg stanja duga.</w:t>
      </w:r>
    </w:p>
    <w:p w14:paraId="4344607B" w14:textId="77777777" w:rsidR="0042308F" w:rsidRPr="00677AB0" w:rsidRDefault="0042308F" w:rsidP="0042308F">
      <w:pPr>
        <w:spacing w:after="0"/>
        <w:jc w:val="both"/>
        <w:rPr>
          <w:rFonts w:ascii="Arial" w:hAnsi="Arial" w:cs="Arial"/>
          <w:szCs w:val="24"/>
        </w:rPr>
      </w:pPr>
    </w:p>
    <w:p w14:paraId="313620BB" w14:textId="77777777" w:rsidR="0042308F" w:rsidRPr="00677AB0" w:rsidRDefault="0042308F" w:rsidP="0042308F">
      <w:pPr>
        <w:spacing w:after="0"/>
        <w:jc w:val="both"/>
        <w:rPr>
          <w:rFonts w:ascii="Arial" w:hAnsi="Arial" w:cs="Arial"/>
          <w:szCs w:val="24"/>
        </w:rPr>
      </w:pPr>
      <w:r w:rsidRPr="00677AB0">
        <w:rPr>
          <w:rFonts w:ascii="Arial" w:hAnsi="Arial" w:cs="Arial"/>
          <w:szCs w:val="24"/>
        </w:rPr>
        <w:t xml:space="preserve">Šok valutnog (deviznog) </w:t>
      </w:r>
      <w:r w:rsidR="00440C9C">
        <w:rPr>
          <w:rFonts w:ascii="Arial" w:hAnsi="Arial" w:cs="Arial"/>
          <w:szCs w:val="24"/>
        </w:rPr>
        <w:t>tečaja</w:t>
      </w:r>
      <w:r w:rsidRPr="00677AB0">
        <w:rPr>
          <w:rFonts w:ascii="Arial" w:hAnsi="Arial" w:cs="Arial"/>
          <w:szCs w:val="24"/>
        </w:rPr>
        <w:t xml:space="preserve"> </w:t>
      </w:r>
      <w:r w:rsidR="00440C9C" w:rsidRPr="00677AB0">
        <w:rPr>
          <w:rFonts w:ascii="Arial" w:hAnsi="Arial" w:cs="Arial"/>
          <w:szCs w:val="24"/>
        </w:rPr>
        <w:t>podrazumijeva</w:t>
      </w:r>
      <w:r w:rsidR="00440C9C">
        <w:rPr>
          <w:rFonts w:ascii="Arial" w:hAnsi="Arial" w:cs="Arial"/>
          <w:szCs w:val="24"/>
        </w:rPr>
        <w:t xml:space="preserve"> sl</w:t>
      </w:r>
      <w:r w:rsidRPr="00677AB0">
        <w:rPr>
          <w:rFonts w:ascii="Arial" w:hAnsi="Arial" w:cs="Arial"/>
          <w:szCs w:val="24"/>
        </w:rPr>
        <w:t xml:space="preserve">jedeće: </w:t>
      </w:r>
    </w:p>
    <w:p w14:paraId="04927BCE" w14:textId="77777777" w:rsidR="0042308F" w:rsidRPr="00677AB0" w:rsidRDefault="0042308F" w:rsidP="0042308F">
      <w:pPr>
        <w:numPr>
          <w:ilvl w:val="0"/>
          <w:numId w:val="6"/>
        </w:numPr>
        <w:spacing w:after="0"/>
        <w:ind w:left="567"/>
        <w:contextualSpacing/>
        <w:jc w:val="both"/>
        <w:rPr>
          <w:rFonts w:ascii="Arial" w:hAnsi="Arial" w:cs="Arial"/>
          <w:szCs w:val="24"/>
        </w:rPr>
      </w:pPr>
      <w:r w:rsidRPr="00677AB0">
        <w:rPr>
          <w:rFonts w:ascii="Arial" w:hAnsi="Arial" w:cs="Arial"/>
          <w:szCs w:val="24"/>
        </w:rPr>
        <w:t xml:space="preserve">manji šok: deprecijacija vrijednosti KM za 20% u odnosu na USD u drugoj godini,  </w:t>
      </w:r>
    </w:p>
    <w:p w14:paraId="02A44776" w14:textId="77777777" w:rsidR="0042308F" w:rsidRPr="00677AB0" w:rsidRDefault="0042308F" w:rsidP="0042308F">
      <w:pPr>
        <w:numPr>
          <w:ilvl w:val="0"/>
          <w:numId w:val="6"/>
        </w:numPr>
        <w:spacing w:after="0"/>
        <w:ind w:left="567"/>
        <w:contextualSpacing/>
        <w:jc w:val="both"/>
        <w:rPr>
          <w:rFonts w:ascii="Arial" w:hAnsi="Arial" w:cs="Arial"/>
          <w:szCs w:val="24"/>
        </w:rPr>
      </w:pPr>
      <w:r w:rsidRPr="00677AB0">
        <w:rPr>
          <w:rFonts w:ascii="Arial" w:hAnsi="Arial" w:cs="Arial"/>
          <w:szCs w:val="24"/>
        </w:rPr>
        <w:t xml:space="preserve">veliki šok: deprecijacija vrijednosti KM za 30% u odnosu na USD u drugoj godini. </w:t>
      </w:r>
    </w:p>
    <w:p w14:paraId="73562120" w14:textId="77777777" w:rsidR="0042308F" w:rsidRPr="00677AB0" w:rsidRDefault="0042308F" w:rsidP="0042308F">
      <w:pPr>
        <w:spacing w:after="0"/>
        <w:jc w:val="both"/>
        <w:rPr>
          <w:rFonts w:ascii="Arial" w:hAnsi="Arial" w:cs="Arial"/>
          <w:szCs w:val="24"/>
          <w:highlight w:val="green"/>
        </w:rPr>
      </w:pPr>
    </w:p>
    <w:p w14:paraId="4A41CFB9" w14:textId="77777777" w:rsidR="0042308F" w:rsidRPr="00677AB0" w:rsidRDefault="0042308F" w:rsidP="0042308F">
      <w:pPr>
        <w:spacing w:after="0"/>
        <w:jc w:val="both"/>
        <w:rPr>
          <w:rFonts w:ascii="Arial" w:hAnsi="Arial" w:cs="Arial"/>
          <w:szCs w:val="24"/>
        </w:rPr>
      </w:pPr>
      <w:r w:rsidRPr="00677AB0">
        <w:rPr>
          <w:rFonts w:ascii="Arial" w:hAnsi="Arial" w:cs="Arial"/>
          <w:szCs w:val="24"/>
        </w:rPr>
        <w:t xml:space="preserve">Šok kamatnih stopa </w:t>
      </w:r>
      <w:r w:rsidR="00440C9C" w:rsidRPr="00677AB0">
        <w:rPr>
          <w:rFonts w:ascii="Arial" w:hAnsi="Arial" w:cs="Arial"/>
          <w:szCs w:val="24"/>
        </w:rPr>
        <w:t>podrazumijeva</w:t>
      </w:r>
      <w:r w:rsidRPr="00677AB0">
        <w:rPr>
          <w:rFonts w:ascii="Arial" w:hAnsi="Arial" w:cs="Arial"/>
          <w:szCs w:val="24"/>
        </w:rPr>
        <w:t xml:space="preserve"> sljedeće: </w:t>
      </w:r>
    </w:p>
    <w:p w14:paraId="59CAC9CB" w14:textId="77777777" w:rsidR="0042308F" w:rsidRPr="00677AB0" w:rsidRDefault="0042308F" w:rsidP="0042308F">
      <w:pPr>
        <w:numPr>
          <w:ilvl w:val="0"/>
          <w:numId w:val="7"/>
        </w:numPr>
        <w:spacing w:after="0"/>
        <w:contextualSpacing/>
        <w:jc w:val="both"/>
        <w:rPr>
          <w:rFonts w:ascii="Arial" w:hAnsi="Arial" w:cs="Arial"/>
          <w:szCs w:val="24"/>
        </w:rPr>
      </w:pPr>
      <w:r w:rsidRPr="00677AB0">
        <w:rPr>
          <w:rFonts w:ascii="Arial" w:hAnsi="Arial" w:cs="Arial"/>
          <w:szCs w:val="24"/>
        </w:rPr>
        <w:t xml:space="preserve">manji šok: povećanje kamatnih stopa u drugoj godini za 2% na sve domaće i vanjske instrumente i na kratkoročne domaće instrumente povećanje za 1%. Instrumenti u koje su </w:t>
      </w:r>
      <w:r w:rsidRPr="00677AB0">
        <w:rPr>
          <w:rFonts w:ascii="Arial" w:hAnsi="Arial" w:cs="Arial"/>
          <w:szCs w:val="24"/>
        </w:rPr>
        <w:lastRenderedPageBreak/>
        <w:t>uključeni stara devizna štednja i ratna potraživanja ostaju nepromijenjeni;</w:t>
      </w:r>
    </w:p>
    <w:p w14:paraId="53AC4590" w14:textId="77777777" w:rsidR="0042308F" w:rsidRPr="00677AB0" w:rsidRDefault="0042308F" w:rsidP="0042308F">
      <w:pPr>
        <w:numPr>
          <w:ilvl w:val="0"/>
          <w:numId w:val="7"/>
        </w:numPr>
        <w:contextualSpacing/>
        <w:jc w:val="both"/>
        <w:rPr>
          <w:rFonts w:ascii="Arial" w:hAnsi="Arial" w:cs="Arial"/>
          <w:sz w:val="24"/>
          <w:szCs w:val="24"/>
        </w:rPr>
      </w:pPr>
      <w:r w:rsidRPr="00677AB0">
        <w:rPr>
          <w:rFonts w:ascii="Arial" w:hAnsi="Arial" w:cs="Arial"/>
          <w:szCs w:val="24"/>
        </w:rPr>
        <w:t>veći šok: povećanje procijenjenih kamatnih stopa u visini od 4% na dugoročne vanjske i domaće instrumente i 2% na kratkoročne domaće instrumente u drugoj godini. Instrumenti u koje su uključeni stara devizna štednja i ratna potraživanja ostaju nepromijenjeni;</w:t>
      </w:r>
    </w:p>
    <w:p w14:paraId="12F596D5" w14:textId="77777777" w:rsidR="0042308F" w:rsidRPr="00677AB0" w:rsidRDefault="0042308F" w:rsidP="0042308F">
      <w:pPr>
        <w:jc w:val="both"/>
        <w:rPr>
          <w:rFonts w:ascii="Arial" w:hAnsi="Arial" w:cs="Arial"/>
          <w:szCs w:val="24"/>
          <w:highlight w:val="green"/>
        </w:rPr>
      </w:pPr>
    </w:p>
    <w:p w14:paraId="72A823F8" w14:textId="77777777" w:rsidR="0042308F" w:rsidRPr="00677AB0" w:rsidRDefault="0042308F" w:rsidP="0042308F">
      <w:pPr>
        <w:jc w:val="both"/>
        <w:rPr>
          <w:rFonts w:ascii="Arial" w:hAnsi="Arial" w:cs="Arial"/>
          <w:szCs w:val="24"/>
        </w:rPr>
      </w:pPr>
      <w:r w:rsidRPr="00677AB0">
        <w:rPr>
          <w:rFonts w:ascii="Arial" w:hAnsi="Arial" w:cs="Arial"/>
          <w:szCs w:val="24"/>
        </w:rPr>
        <w:t>Scenariji šoka:</w:t>
      </w:r>
    </w:p>
    <w:p w14:paraId="3778E2F2" w14:textId="77777777" w:rsidR="0042308F" w:rsidRPr="00677AB0" w:rsidRDefault="0042308F" w:rsidP="0042308F">
      <w:pPr>
        <w:numPr>
          <w:ilvl w:val="0"/>
          <w:numId w:val="7"/>
        </w:numPr>
        <w:spacing w:after="0"/>
        <w:contextualSpacing/>
        <w:jc w:val="both"/>
        <w:rPr>
          <w:rFonts w:ascii="Arial" w:hAnsi="Arial" w:cs="Arial"/>
          <w:szCs w:val="24"/>
        </w:rPr>
      </w:pPr>
      <w:r w:rsidRPr="00677AB0">
        <w:rPr>
          <w:rFonts w:ascii="Arial" w:hAnsi="Arial" w:cs="Arial"/>
          <w:szCs w:val="24"/>
        </w:rPr>
        <w:t xml:space="preserve">Šok valutnog (deviznog) </w:t>
      </w:r>
      <w:r w:rsidR="00440C9C">
        <w:rPr>
          <w:rFonts w:ascii="Arial" w:hAnsi="Arial" w:cs="Arial"/>
          <w:szCs w:val="24"/>
        </w:rPr>
        <w:t>tečaja</w:t>
      </w:r>
      <w:r w:rsidRPr="00677AB0">
        <w:rPr>
          <w:rFonts w:ascii="Arial" w:hAnsi="Arial" w:cs="Arial"/>
          <w:szCs w:val="24"/>
        </w:rPr>
        <w:t>: 30% deprecijacije kursa KM/USD u drugoj godini;</w:t>
      </w:r>
    </w:p>
    <w:p w14:paraId="33A72F83" w14:textId="77777777" w:rsidR="0042308F" w:rsidRPr="00677AB0" w:rsidRDefault="0042308F" w:rsidP="0042308F">
      <w:pPr>
        <w:numPr>
          <w:ilvl w:val="0"/>
          <w:numId w:val="7"/>
        </w:numPr>
        <w:spacing w:after="0"/>
        <w:contextualSpacing/>
        <w:jc w:val="both"/>
        <w:rPr>
          <w:rFonts w:ascii="Arial" w:hAnsi="Arial" w:cs="Arial"/>
          <w:szCs w:val="24"/>
        </w:rPr>
      </w:pPr>
      <w:r w:rsidRPr="00677AB0">
        <w:rPr>
          <w:rFonts w:ascii="Arial" w:hAnsi="Arial" w:cs="Arial"/>
          <w:szCs w:val="24"/>
        </w:rPr>
        <w:t xml:space="preserve">Šok kamatne stope: 4% rast kamatne stope na vanjske i domaće dugoročne instrumente i 2% na kratkoročne domaće instrumente u drugoj godini, što doprinosi izravnavanju krivulje prinosa; </w:t>
      </w:r>
    </w:p>
    <w:p w14:paraId="2FD68703" w14:textId="77777777" w:rsidR="0042308F" w:rsidRPr="00677AB0" w:rsidRDefault="00440C9C" w:rsidP="0042308F">
      <w:pPr>
        <w:numPr>
          <w:ilvl w:val="0"/>
          <w:numId w:val="7"/>
        </w:numPr>
        <w:spacing w:after="0"/>
        <w:contextualSpacing/>
        <w:jc w:val="both"/>
        <w:rPr>
          <w:rFonts w:ascii="Arial" w:hAnsi="Arial" w:cs="Arial"/>
          <w:szCs w:val="24"/>
        </w:rPr>
      </w:pPr>
      <w:r w:rsidRPr="00677AB0">
        <w:rPr>
          <w:rFonts w:ascii="Arial" w:hAnsi="Arial" w:cs="Arial"/>
          <w:szCs w:val="24"/>
        </w:rPr>
        <w:t>Kombinirani</w:t>
      </w:r>
      <w:r w:rsidR="0042308F" w:rsidRPr="00677AB0">
        <w:rPr>
          <w:rFonts w:ascii="Arial" w:hAnsi="Arial" w:cs="Arial"/>
          <w:szCs w:val="24"/>
        </w:rPr>
        <w:t xml:space="preserve"> šok: 20% deprecijacije </w:t>
      </w:r>
      <w:r>
        <w:rPr>
          <w:rFonts w:ascii="Arial" w:hAnsi="Arial" w:cs="Arial"/>
          <w:szCs w:val="24"/>
        </w:rPr>
        <w:t>tečaja</w:t>
      </w:r>
      <w:r w:rsidR="0042308F" w:rsidRPr="00677AB0">
        <w:rPr>
          <w:rFonts w:ascii="Arial" w:hAnsi="Arial" w:cs="Arial"/>
          <w:szCs w:val="24"/>
        </w:rPr>
        <w:t xml:space="preserve"> KM/USD u kombinaciji sa šokom za 1% na kratkoročne domaće instrumente i 2% na sve dugoročne domaće i vanjske instrumente u drugoj godini.</w:t>
      </w:r>
    </w:p>
    <w:p w14:paraId="5406506F"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rPr>
      </w:pPr>
    </w:p>
    <w:p w14:paraId="1148A412"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rPr>
      </w:pPr>
      <w:r w:rsidRPr="00677AB0">
        <w:rPr>
          <w:rFonts w:ascii="Arial" w:hAnsi="Arial" w:cs="Arial"/>
          <w:sz w:val="22"/>
        </w:rPr>
        <w:t>Pretpostavke o budućim kretanjima promjenjivih kamatnih stopa na vanjski dug zasnovane su na postojećim krivuljama prinosa za Eurozonu i SAD iz druge polovi</w:t>
      </w:r>
      <w:r w:rsidR="00440C9C">
        <w:rPr>
          <w:rFonts w:ascii="Arial" w:hAnsi="Arial" w:cs="Arial"/>
          <w:sz w:val="22"/>
        </w:rPr>
        <w:t>c</w:t>
      </w:r>
      <w:r w:rsidRPr="00677AB0">
        <w:rPr>
          <w:rFonts w:ascii="Arial" w:hAnsi="Arial" w:cs="Arial"/>
          <w:sz w:val="22"/>
        </w:rPr>
        <w:t xml:space="preserve">e </w:t>
      </w:r>
      <w:r w:rsidR="00440C9C">
        <w:rPr>
          <w:rFonts w:ascii="Arial" w:hAnsi="Arial" w:cs="Arial"/>
          <w:sz w:val="22"/>
        </w:rPr>
        <w:t>kolovoza</w:t>
      </w:r>
      <w:r w:rsidRPr="00677AB0">
        <w:rPr>
          <w:rFonts w:ascii="Arial" w:hAnsi="Arial" w:cs="Arial"/>
          <w:sz w:val="22"/>
        </w:rPr>
        <w:t xml:space="preserve"> 2023. godine uzimajući u obzir i prosječne vrijednosti u 2023. godini.  Za projekcije varijabilnih kamatnih stopa, šestomjesečni LIBOR</w:t>
      </w:r>
      <w:r w:rsidRPr="00677AB0">
        <w:rPr>
          <w:rFonts w:ascii="Arial" w:hAnsi="Arial" w:cs="Arial"/>
          <w:sz w:val="22"/>
          <w:vertAlign w:val="superscript"/>
        </w:rPr>
        <w:footnoteReference w:id="8"/>
      </w:r>
      <w:r w:rsidRPr="00677AB0">
        <w:rPr>
          <w:rFonts w:ascii="Arial" w:hAnsi="Arial" w:cs="Arial"/>
          <w:sz w:val="22"/>
        </w:rPr>
        <w:t xml:space="preserve"> i EURIBOR</w:t>
      </w:r>
      <w:r w:rsidRPr="00677AB0">
        <w:rPr>
          <w:rFonts w:ascii="Arial" w:hAnsi="Arial" w:cs="Arial"/>
          <w:sz w:val="22"/>
          <w:vertAlign w:val="superscript"/>
        </w:rPr>
        <w:footnoteReference w:id="9"/>
      </w:r>
      <w:r w:rsidRPr="00677AB0">
        <w:rPr>
          <w:rFonts w:ascii="Arial" w:hAnsi="Arial" w:cs="Arial"/>
          <w:sz w:val="22"/>
        </w:rPr>
        <w:t xml:space="preserve">  korišteni su trenutni podaci o ovim kamatnim stopama, uz pretpostavku da će razlika između vrijednosti šestomjesečnog EURIBOR (6m LIBOR) i prinosa na njemačke jednogodišnje obveznice (američke jednogodišnje obveznice) biti jednaka t</w:t>
      </w:r>
      <w:r w:rsidR="00440C9C">
        <w:rPr>
          <w:rFonts w:ascii="Arial" w:hAnsi="Arial" w:cs="Arial"/>
          <w:sz w:val="22"/>
        </w:rPr>
        <w:t>ije</w:t>
      </w:r>
      <w:r w:rsidRPr="00677AB0">
        <w:rPr>
          <w:rFonts w:ascii="Arial" w:hAnsi="Arial" w:cs="Arial"/>
          <w:sz w:val="22"/>
        </w:rPr>
        <w:t xml:space="preserve">kom </w:t>
      </w:r>
      <w:r w:rsidR="00440C9C">
        <w:rPr>
          <w:rFonts w:ascii="Arial" w:hAnsi="Arial" w:cs="Arial"/>
          <w:sz w:val="22"/>
        </w:rPr>
        <w:t>razdoblja</w:t>
      </w:r>
      <w:r w:rsidRPr="00677AB0">
        <w:rPr>
          <w:rFonts w:ascii="Arial" w:hAnsi="Arial" w:cs="Arial"/>
          <w:sz w:val="22"/>
        </w:rPr>
        <w:t xml:space="preserve"> 2023-2026. godina. </w:t>
      </w:r>
    </w:p>
    <w:p w14:paraId="2ACAEFAD"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highlight w:val="yellow"/>
        </w:rPr>
      </w:pPr>
    </w:p>
    <w:p w14:paraId="46598EF9" w14:textId="77777777" w:rsidR="0042308F" w:rsidRPr="00677AB0" w:rsidRDefault="0042308F" w:rsidP="0042308F">
      <w:pPr>
        <w:pStyle w:val="ParagraphNumbering"/>
        <w:keepNext/>
        <w:numPr>
          <w:ilvl w:val="0"/>
          <w:numId w:val="0"/>
        </w:numPr>
        <w:spacing w:after="0" w:line="276" w:lineRule="auto"/>
        <w:ind w:firstLine="420"/>
        <w:jc w:val="both"/>
        <w:rPr>
          <w:rFonts w:ascii="Arial" w:hAnsi="Arial" w:cs="Arial"/>
          <w:sz w:val="22"/>
          <w:szCs w:val="22"/>
        </w:rPr>
      </w:pPr>
      <w:r w:rsidRPr="00677AB0">
        <w:rPr>
          <w:rFonts w:ascii="Arial" w:hAnsi="Arial" w:cs="Arial"/>
          <w:sz w:val="22"/>
        </w:rPr>
        <w:t>Ove kamatne stope predstavljaju referentne kamatne stope za instrumente duga s promjenjivim kamatam</w:t>
      </w:r>
      <w:r w:rsidR="00440C9C">
        <w:rPr>
          <w:rFonts w:ascii="Arial" w:hAnsi="Arial" w:cs="Arial"/>
          <w:sz w:val="22"/>
        </w:rPr>
        <w:t>a, dok su za instrumente duga s</w:t>
      </w:r>
      <w:r w:rsidRPr="00677AB0">
        <w:rPr>
          <w:rFonts w:ascii="Arial" w:hAnsi="Arial" w:cs="Arial"/>
          <w:sz w:val="22"/>
        </w:rPr>
        <w:t xml:space="preserve"> fiksnom kamatnom stopom prilikom </w:t>
      </w:r>
      <w:r w:rsidRPr="00677AB0">
        <w:rPr>
          <w:rFonts w:ascii="Arial" w:hAnsi="Arial" w:cs="Arial"/>
          <w:sz w:val="22"/>
          <w:szCs w:val="22"/>
        </w:rPr>
        <w:t xml:space="preserve">procjena visine kamata uzeta u obzir postojeća zaduženja. Kretanje kamatnih stopa na domaći dug izračunato na </w:t>
      </w:r>
      <w:r w:rsidR="00440C9C">
        <w:rPr>
          <w:rFonts w:ascii="Arial" w:hAnsi="Arial" w:cs="Arial"/>
          <w:sz w:val="22"/>
          <w:szCs w:val="22"/>
        </w:rPr>
        <w:t>temelju</w:t>
      </w:r>
      <w:r w:rsidRPr="00677AB0">
        <w:rPr>
          <w:rFonts w:ascii="Arial" w:hAnsi="Arial" w:cs="Arial"/>
          <w:sz w:val="22"/>
          <w:szCs w:val="22"/>
        </w:rPr>
        <w:t xml:space="preserve"> jednostavnih očekivanja na bazi kamatnih stopa postojećeg </w:t>
      </w:r>
      <w:r>
        <w:rPr>
          <w:rFonts w:ascii="Arial" w:hAnsi="Arial" w:cs="Arial"/>
          <w:sz w:val="22"/>
          <w:szCs w:val="22"/>
        </w:rPr>
        <w:t>portfelja</w:t>
      </w:r>
      <w:r w:rsidRPr="00677AB0">
        <w:rPr>
          <w:rFonts w:ascii="Arial" w:hAnsi="Arial" w:cs="Arial"/>
          <w:sz w:val="22"/>
          <w:szCs w:val="22"/>
        </w:rPr>
        <w:t xml:space="preserve"> </w:t>
      </w:r>
      <w:r w:rsidR="007D084A">
        <w:rPr>
          <w:rFonts w:ascii="Arial" w:hAnsi="Arial" w:cs="Arial"/>
          <w:sz w:val="22"/>
          <w:szCs w:val="22"/>
        </w:rPr>
        <w:t>unutarnjeg</w:t>
      </w:r>
      <w:r w:rsidRPr="00677AB0">
        <w:rPr>
          <w:rFonts w:ascii="Arial" w:hAnsi="Arial" w:cs="Arial"/>
          <w:sz w:val="22"/>
          <w:szCs w:val="22"/>
        </w:rPr>
        <w:t xml:space="preserve"> duga Federacije BiH.</w:t>
      </w:r>
    </w:p>
    <w:p w14:paraId="74CEB91A" w14:textId="77777777" w:rsidR="0042308F" w:rsidRPr="00677AB0" w:rsidRDefault="0042308F" w:rsidP="0042308F">
      <w:pPr>
        <w:spacing w:after="0" w:line="240" w:lineRule="auto"/>
        <w:jc w:val="both"/>
        <w:rPr>
          <w:rFonts w:ascii="Arial" w:hAnsi="Arial" w:cs="Arial"/>
          <w:szCs w:val="24"/>
          <w:highlight w:val="yellow"/>
        </w:rPr>
      </w:pPr>
    </w:p>
    <w:p w14:paraId="39A001B2" w14:textId="77777777" w:rsidR="0042308F" w:rsidRPr="00677AB0" w:rsidRDefault="00153015" w:rsidP="0042308F">
      <w:pPr>
        <w:spacing w:after="0" w:line="240" w:lineRule="auto"/>
        <w:jc w:val="both"/>
        <w:rPr>
          <w:rFonts w:ascii="Arial" w:hAnsi="Arial" w:cs="Arial"/>
          <w:sz w:val="20"/>
        </w:rPr>
      </w:pPr>
      <w:r>
        <w:rPr>
          <w:rFonts w:ascii="Arial" w:hAnsi="Arial" w:cs="Arial"/>
          <w:sz w:val="20"/>
        </w:rPr>
        <w:lastRenderedPageBreak/>
        <w:t>Tablica</w:t>
      </w:r>
      <w:r w:rsidR="0042308F" w:rsidRPr="00677AB0">
        <w:rPr>
          <w:rFonts w:ascii="Arial" w:hAnsi="Arial" w:cs="Arial"/>
          <w:sz w:val="20"/>
        </w:rPr>
        <w:t xml:space="preserve"> 10. Procijenjene visine kamata na instrumente vanjskog duga u </w:t>
      </w:r>
      <w:r w:rsidR="00440C9C">
        <w:rPr>
          <w:rFonts w:ascii="Arial" w:hAnsi="Arial" w:cs="Arial"/>
          <w:sz w:val="20"/>
        </w:rPr>
        <w:t>razdoblju</w:t>
      </w:r>
      <w:r w:rsidR="0042308F" w:rsidRPr="00677AB0">
        <w:rPr>
          <w:rFonts w:ascii="Arial" w:hAnsi="Arial" w:cs="Arial"/>
          <w:sz w:val="20"/>
        </w:rPr>
        <w:t xml:space="preserve"> 2024 – 2026. godina korištene u MTDS AT</w:t>
      </w:r>
    </w:p>
    <w:tbl>
      <w:tblPr>
        <w:tblpPr w:leftFromText="180" w:rightFromText="180" w:vertAnchor="text" w:tblpXSpec="center" w:tblpY="1"/>
        <w:tblOverlap w:val="neve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7"/>
        <w:gridCol w:w="1647"/>
        <w:gridCol w:w="1647"/>
        <w:gridCol w:w="1509"/>
      </w:tblGrid>
      <w:tr w:rsidR="0042308F" w:rsidRPr="00677AB0" w14:paraId="5C39F11A" w14:textId="77777777" w:rsidTr="0042308F">
        <w:trPr>
          <w:trHeight w:val="300"/>
        </w:trPr>
        <w:tc>
          <w:tcPr>
            <w:tcW w:w="2349" w:type="pct"/>
            <w:vMerge w:val="restart"/>
            <w:shd w:val="clear" w:color="auto" w:fill="auto"/>
            <w:noWrap/>
            <w:vAlign w:val="center"/>
            <w:hideMark/>
          </w:tcPr>
          <w:p w14:paraId="4A6DEF31" w14:textId="77777777" w:rsidR="0042308F" w:rsidRPr="00677AB0" w:rsidRDefault="0042308F" w:rsidP="0042308F">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Naziv instrumenta</w:t>
            </w:r>
          </w:p>
        </w:tc>
        <w:tc>
          <w:tcPr>
            <w:tcW w:w="2651" w:type="pct"/>
            <w:gridSpan w:val="3"/>
            <w:shd w:val="clear" w:color="auto" w:fill="auto"/>
            <w:noWrap/>
            <w:vAlign w:val="center"/>
            <w:hideMark/>
          </w:tcPr>
          <w:p w14:paraId="767E095B" w14:textId="77777777" w:rsidR="0042308F" w:rsidRPr="00677AB0" w:rsidRDefault="0042308F" w:rsidP="0042308F">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Kamata</w:t>
            </w:r>
          </w:p>
        </w:tc>
      </w:tr>
      <w:tr w:rsidR="0042308F" w:rsidRPr="00677AB0" w14:paraId="0BD9BD3C" w14:textId="77777777" w:rsidTr="0042308F">
        <w:trPr>
          <w:trHeight w:val="300"/>
        </w:trPr>
        <w:tc>
          <w:tcPr>
            <w:tcW w:w="2349" w:type="pct"/>
            <w:vMerge/>
            <w:vAlign w:val="center"/>
            <w:hideMark/>
          </w:tcPr>
          <w:p w14:paraId="35E354D4"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p>
        </w:tc>
        <w:tc>
          <w:tcPr>
            <w:tcW w:w="909" w:type="pct"/>
            <w:shd w:val="clear" w:color="auto" w:fill="auto"/>
            <w:noWrap/>
            <w:vAlign w:val="center"/>
            <w:hideMark/>
          </w:tcPr>
          <w:p w14:paraId="6D3A0F72" w14:textId="77777777" w:rsidR="0042308F" w:rsidRPr="00677AB0" w:rsidRDefault="0042308F" w:rsidP="0042308F">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2024</w:t>
            </w:r>
          </w:p>
        </w:tc>
        <w:tc>
          <w:tcPr>
            <w:tcW w:w="909" w:type="pct"/>
            <w:shd w:val="clear" w:color="auto" w:fill="auto"/>
            <w:noWrap/>
            <w:vAlign w:val="center"/>
            <w:hideMark/>
          </w:tcPr>
          <w:p w14:paraId="676F7EB9" w14:textId="77777777" w:rsidR="0042308F" w:rsidRPr="00677AB0" w:rsidRDefault="0042308F" w:rsidP="0042308F">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2025</w:t>
            </w:r>
          </w:p>
        </w:tc>
        <w:tc>
          <w:tcPr>
            <w:tcW w:w="833" w:type="pct"/>
            <w:shd w:val="clear" w:color="auto" w:fill="auto"/>
            <w:noWrap/>
            <w:vAlign w:val="center"/>
            <w:hideMark/>
          </w:tcPr>
          <w:p w14:paraId="3B5D7838" w14:textId="77777777" w:rsidR="0042308F" w:rsidRPr="00677AB0" w:rsidRDefault="0042308F" w:rsidP="0042308F">
            <w:pPr>
              <w:spacing w:after="0" w:line="240" w:lineRule="auto"/>
              <w:jc w:val="center"/>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2026</w:t>
            </w:r>
          </w:p>
        </w:tc>
      </w:tr>
      <w:tr w:rsidR="0042308F" w:rsidRPr="00677AB0" w14:paraId="253EBAAC" w14:textId="77777777" w:rsidTr="0042308F">
        <w:trPr>
          <w:trHeight w:val="300"/>
        </w:trPr>
        <w:tc>
          <w:tcPr>
            <w:tcW w:w="2349" w:type="pct"/>
            <w:shd w:val="clear" w:color="auto" w:fill="auto"/>
            <w:noWrap/>
            <w:vAlign w:val="center"/>
            <w:hideMark/>
          </w:tcPr>
          <w:p w14:paraId="3B3D65D0"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USD Fiksni</w:t>
            </w:r>
          </w:p>
        </w:tc>
        <w:tc>
          <w:tcPr>
            <w:tcW w:w="909" w:type="pct"/>
            <w:shd w:val="clear" w:color="auto" w:fill="auto"/>
            <w:noWrap/>
            <w:vAlign w:val="center"/>
          </w:tcPr>
          <w:p w14:paraId="3D77AD30"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6,10%</w:t>
            </w:r>
          </w:p>
        </w:tc>
        <w:tc>
          <w:tcPr>
            <w:tcW w:w="909" w:type="pct"/>
            <w:shd w:val="clear" w:color="auto" w:fill="auto"/>
            <w:noWrap/>
            <w:vAlign w:val="center"/>
          </w:tcPr>
          <w:p w14:paraId="333BCEFF"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6,20%</w:t>
            </w:r>
          </w:p>
        </w:tc>
        <w:tc>
          <w:tcPr>
            <w:tcW w:w="833" w:type="pct"/>
            <w:shd w:val="clear" w:color="auto" w:fill="auto"/>
            <w:noWrap/>
            <w:vAlign w:val="center"/>
          </w:tcPr>
          <w:p w14:paraId="1880EE32"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6,30%</w:t>
            </w:r>
          </w:p>
        </w:tc>
      </w:tr>
      <w:tr w:rsidR="0042308F" w:rsidRPr="00677AB0" w14:paraId="34AE63F6" w14:textId="77777777" w:rsidTr="0042308F">
        <w:trPr>
          <w:trHeight w:val="300"/>
        </w:trPr>
        <w:tc>
          <w:tcPr>
            <w:tcW w:w="2349" w:type="pct"/>
            <w:shd w:val="clear" w:color="auto" w:fill="auto"/>
            <w:noWrap/>
            <w:vAlign w:val="center"/>
            <w:hideMark/>
          </w:tcPr>
          <w:p w14:paraId="728C2F66"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EUR Fiksni</w:t>
            </w:r>
          </w:p>
        </w:tc>
        <w:tc>
          <w:tcPr>
            <w:tcW w:w="909" w:type="pct"/>
            <w:shd w:val="clear" w:color="auto" w:fill="auto"/>
            <w:noWrap/>
            <w:vAlign w:val="center"/>
          </w:tcPr>
          <w:p w14:paraId="070350DF"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4,86%</w:t>
            </w:r>
          </w:p>
        </w:tc>
        <w:tc>
          <w:tcPr>
            <w:tcW w:w="909" w:type="pct"/>
            <w:shd w:val="clear" w:color="auto" w:fill="auto"/>
            <w:noWrap/>
            <w:vAlign w:val="center"/>
          </w:tcPr>
          <w:p w14:paraId="25423562"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4,92%</w:t>
            </w:r>
          </w:p>
        </w:tc>
        <w:tc>
          <w:tcPr>
            <w:tcW w:w="833" w:type="pct"/>
            <w:shd w:val="clear" w:color="auto" w:fill="auto"/>
            <w:noWrap/>
            <w:vAlign w:val="center"/>
          </w:tcPr>
          <w:p w14:paraId="7806B72E"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4,99%</w:t>
            </w:r>
          </w:p>
        </w:tc>
      </w:tr>
      <w:tr w:rsidR="0042308F" w:rsidRPr="00677AB0" w14:paraId="18798CF5" w14:textId="77777777" w:rsidTr="0042308F">
        <w:trPr>
          <w:trHeight w:val="300"/>
        </w:trPr>
        <w:tc>
          <w:tcPr>
            <w:tcW w:w="2349" w:type="pct"/>
            <w:shd w:val="clear" w:color="auto" w:fill="auto"/>
            <w:noWrap/>
            <w:vAlign w:val="center"/>
            <w:hideMark/>
          </w:tcPr>
          <w:p w14:paraId="213D9EC6"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USD Varijabilni</w:t>
            </w:r>
          </w:p>
        </w:tc>
        <w:tc>
          <w:tcPr>
            <w:tcW w:w="909" w:type="pct"/>
            <w:shd w:val="clear" w:color="auto" w:fill="auto"/>
            <w:noWrap/>
            <w:vAlign w:val="center"/>
          </w:tcPr>
          <w:p w14:paraId="5400D391"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5,96%</w:t>
            </w:r>
          </w:p>
        </w:tc>
        <w:tc>
          <w:tcPr>
            <w:tcW w:w="909" w:type="pct"/>
            <w:shd w:val="clear" w:color="auto" w:fill="auto"/>
            <w:noWrap/>
            <w:vAlign w:val="center"/>
          </w:tcPr>
          <w:p w14:paraId="3EC14003"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6,06%</w:t>
            </w:r>
          </w:p>
        </w:tc>
        <w:tc>
          <w:tcPr>
            <w:tcW w:w="833" w:type="pct"/>
            <w:shd w:val="clear" w:color="auto" w:fill="auto"/>
            <w:noWrap/>
            <w:vAlign w:val="center"/>
          </w:tcPr>
          <w:p w14:paraId="16C180DE"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6,16%</w:t>
            </w:r>
          </w:p>
        </w:tc>
      </w:tr>
      <w:tr w:rsidR="0042308F" w:rsidRPr="00677AB0" w14:paraId="1ED4529F" w14:textId="77777777" w:rsidTr="0042308F">
        <w:trPr>
          <w:trHeight w:val="300"/>
        </w:trPr>
        <w:tc>
          <w:tcPr>
            <w:tcW w:w="2349" w:type="pct"/>
            <w:shd w:val="clear" w:color="auto" w:fill="auto"/>
            <w:noWrap/>
            <w:vAlign w:val="center"/>
            <w:hideMark/>
          </w:tcPr>
          <w:p w14:paraId="0A215159"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Koncesionalni EUR Varijabilni</w:t>
            </w:r>
          </w:p>
        </w:tc>
        <w:tc>
          <w:tcPr>
            <w:tcW w:w="909" w:type="pct"/>
            <w:shd w:val="clear" w:color="auto" w:fill="auto"/>
            <w:noWrap/>
            <w:vAlign w:val="center"/>
          </w:tcPr>
          <w:p w14:paraId="3B3A7B9B"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4,01%</w:t>
            </w:r>
          </w:p>
        </w:tc>
        <w:tc>
          <w:tcPr>
            <w:tcW w:w="909" w:type="pct"/>
            <w:shd w:val="clear" w:color="auto" w:fill="auto"/>
            <w:noWrap/>
            <w:vAlign w:val="center"/>
          </w:tcPr>
          <w:p w14:paraId="4DA4AC98"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4,08%</w:t>
            </w:r>
          </w:p>
        </w:tc>
        <w:tc>
          <w:tcPr>
            <w:tcW w:w="833" w:type="pct"/>
            <w:shd w:val="clear" w:color="auto" w:fill="auto"/>
            <w:noWrap/>
            <w:vAlign w:val="center"/>
          </w:tcPr>
          <w:p w14:paraId="417E2167"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4,15%</w:t>
            </w:r>
          </w:p>
        </w:tc>
      </w:tr>
      <w:tr w:rsidR="0042308F" w:rsidRPr="00677AB0" w14:paraId="783E97AA" w14:textId="77777777" w:rsidTr="0042308F">
        <w:trPr>
          <w:trHeight w:val="300"/>
        </w:trPr>
        <w:tc>
          <w:tcPr>
            <w:tcW w:w="2349" w:type="pct"/>
            <w:shd w:val="clear" w:color="auto" w:fill="auto"/>
            <w:noWrap/>
            <w:vAlign w:val="center"/>
          </w:tcPr>
          <w:p w14:paraId="52726E4F"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IMF RFI USD Varijabilni</w:t>
            </w:r>
          </w:p>
        </w:tc>
        <w:tc>
          <w:tcPr>
            <w:tcW w:w="909" w:type="pct"/>
            <w:shd w:val="clear" w:color="auto" w:fill="auto"/>
            <w:noWrap/>
            <w:vAlign w:val="center"/>
          </w:tcPr>
          <w:p w14:paraId="0AFEB0A8"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4,15%</w:t>
            </w:r>
          </w:p>
        </w:tc>
        <w:tc>
          <w:tcPr>
            <w:tcW w:w="909" w:type="pct"/>
            <w:shd w:val="clear" w:color="auto" w:fill="auto"/>
            <w:noWrap/>
            <w:vAlign w:val="center"/>
          </w:tcPr>
          <w:p w14:paraId="67CBDC58"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4,25%</w:t>
            </w:r>
          </w:p>
        </w:tc>
        <w:tc>
          <w:tcPr>
            <w:tcW w:w="833" w:type="pct"/>
            <w:shd w:val="clear" w:color="auto" w:fill="auto"/>
            <w:noWrap/>
            <w:vAlign w:val="center"/>
          </w:tcPr>
          <w:p w14:paraId="12D10878"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4,35%</w:t>
            </w:r>
          </w:p>
        </w:tc>
      </w:tr>
      <w:tr w:rsidR="0042308F" w:rsidRPr="00677AB0" w14:paraId="304B8012" w14:textId="77777777" w:rsidTr="0042308F">
        <w:trPr>
          <w:trHeight w:val="300"/>
        </w:trPr>
        <w:tc>
          <w:tcPr>
            <w:tcW w:w="2349" w:type="pct"/>
            <w:shd w:val="clear" w:color="auto" w:fill="auto"/>
            <w:noWrap/>
            <w:vAlign w:val="center"/>
            <w:hideMark/>
          </w:tcPr>
          <w:p w14:paraId="144D5E2E"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IMF EFF USD Varijabilni</w:t>
            </w:r>
          </w:p>
        </w:tc>
        <w:tc>
          <w:tcPr>
            <w:tcW w:w="909" w:type="pct"/>
            <w:shd w:val="clear" w:color="auto" w:fill="auto"/>
            <w:noWrap/>
            <w:vAlign w:val="center"/>
          </w:tcPr>
          <w:p w14:paraId="7722C347"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4,15%</w:t>
            </w:r>
          </w:p>
        </w:tc>
        <w:tc>
          <w:tcPr>
            <w:tcW w:w="909" w:type="pct"/>
            <w:shd w:val="clear" w:color="auto" w:fill="auto"/>
            <w:noWrap/>
            <w:vAlign w:val="center"/>
          </w:tcPr>
          <w:p w14:paraId="0BAA8052"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4,25%</w:t>
            </w:r>
          </w:p>
        </w:tc>
        <w:tc>
          <w:tcPr>
            <w:tcW w:w="833" w:type="pct"/>
            <w:shd w:val="clear" w:color="auto" w:fill="auto"/>
            <w:noWrap/>
            <w:vAlign w:val="center"/>
          </w:tcPr>
          <w:p w14:paraId="27097147"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4,35%</w:t>
            </w:r>
          </w:p>
        </w:tc>
      </w:tr>
      <w:tr w:rsidR="0042308F" w:rsidRPr="00677AB0" w14:paraId="08E36B2D" w14:textId="77777777" w:rsidTr="0042308F">
        <w:trPr>
          <w:trHeight w:val="300"/>
        </w:trPr>
        <w:tc>
          <w:tcPr>
            <w:tcW w:w="2349" w:type="pct"/>
            <w:shd w:val="clear" w:color="auto" w:fill="auto"/>
            <w:noWrap/>
            <w:vAlign w:val="center"/>
            <w:hideMark/>
          </w:tcPr>
          <w:p w14:paraId="5B7CECC2" w14:textId="77777777" w:rsidR="0042308F" w:rsidRPr="00677AB0" w:rsidRDefault="0042308F" w:rsidP="0042308F">
            <w:pPr>
              <w:spacing w:after="0" w:line="240" w:lineRule="auto"/>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5Y Eurobond</w:t>
            </w:r>
          </w:p>
        </w:tc>
        <w:tc>
          <w:tcPr>
            <w:tcW w:w="909" w:type="pct"/>
            <w:shd w:val="clear" w:color="auto" w:fill="auto"/>
            <w:noWrap/>
            <w:vAlign w:val="center"/>
          </w:tcPr>
          <w:p w14:paraId="6293AD7C"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8,31%</w:t>
            </w:r>
          </w:p>
        </w:tc>
        <w:tc>
          <w:tcPr>
            <w:tcW w:w="909" w:type="pct"/>
            <w:shd w:val="clear" w:color="auto" w:fill="auto"/>
            <w:noWrap/>
            <w:vAlign w:val="center"/>
          </w:tcPr>
          <w:p w14:paraId="5673542C"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8,71%</w:t>
            </w:r>
          </w:p>
        </w:tc>
        <w:tc>
          <w:tcPr>
            <w:tcW w:w="833" w:type="pct"/>
            <w:shd w:val="clear" w:color="auto" w:fill="auto"/>
            <w:noWrap/>
            <w:vAlign w:val="center"/>
          </w:tcPr>
          <w:p w14:paraId="21710BEE" w14:textId="77777777" w:rsidR="0042308F" w:rsidRPr="00677AB0" w:rsidRDefault="0042308F" w:rsidP="0042308F">
            <w:pPr>
              <w:spacing w:after="0" w:line="240" w:lineRule="auto"/>
              <w:jc w:val="right"/>
              <w:rPr>
                <w:rFonts w:ascii="Arial" w:eastAsia="Times New Roman" w:hAnsi="Arial" w:cs="Arial"/>
                <w:color w:val="000000"/>
                <w:sz w:val="20"/>
                <w:szCs w:val="20"/>
                <w:lang w:eastAsia="bs-Latn-BA"/>
              </w:rPr>
            </w:pPr>
            <w:r w:rsidRPr="00677AB0">
              <w:rPr>
                <w:rFonts w:ascii="Arial" w:eastAsia="Times New Roman" w:hAnsi="Arial" w:cs="Arial"/>
                <w:color w:val="000000"/>
                <w:sz w:val="20"/>
                <w:szCs w:val="20"/>
                <w:lang w:eastAsia="bs-Latn-BA"/>
              </w:rPr>
              <w:t>9,11%</w:t>
            </w:r>
          </w:p>
        </w:tc>
      </w:tr>
      <w:tr w:rsidR="0042308F" w:rsidRPr="00677AB0" w14:paraId="671EE77D" w14:textId="77777777" w:rsidTr="0042308F">
        <w:trPr>
          <w:trHeight w:val="300"/>
        </w:trPr>
        <w:tc>
          <w:tcPr>
            <w:tcW w:w="2349" w:type="pct"/>
            <w:shd w:val="clear" w:color="auto" w:fill="auto"/>
            <w:noWrap/>
            <w:vAlign w:val="center"/>
            <w:hideMark/>
          </w:tcPr>
          <w:p w14:paraId="17935C4A" w14:textId="77777777" w:rsidR="0042308F" w:rsidRPr="00677AB0" w:rsidRDefault="0042308F" w:rsidP="0042308F">
            <w:pPr>
              <w:spacing w:after="0" w:line="240" w:lineRule="auto"/>
              <w:rPr>
                <w:rFonts w:ascii="Arial" w:eastAsia="Times New Roman" w:hAnsi="Arial" w:cs="Arial"/>
                <w:sz w:val="20"/>
                <w:szCs w:val="20"/>
                <w:lang w:eastAsia="bs-Latn-BA"/>
              </w:rPr>
            </w:pPr>
            <w:r w:rsidRPr="00677AB0">
              <w:rPr>
                <w:rFonts w:ascii="Arial" w:eastAsia="Times New Roman" w:hAnsi="Arial" w:cs="Arial"/>
                <w:sz w:val="20"/>
                <w:szCs w:val="20"/>
                <w:lang w:eastAsia="bs-Latn-BA"/>
              </w:rPr>
              <w:t>10Y Eurobond</w:t>
            </w:r>
          </w:p>
        </w:tc>
        <w:tc>
          <w:tcPr>
            <w:tcW w:w="909" w:type="pct"/>
            <w:shd w:val="clear" w:color="auto" w:fill="auto"/>
            <w:noWrap/>
            <w:vAlign w:val="center"/>
          </w:tcPr>
          <w:p w14:paraId="0B484C8A" w14:textId="77777777" w:rsidR="0042308F" w:rsidRPr="00677AB0" w:rsidRDefault="0042308F" w:rsidP="0042308F">
            <w:pPr>
              <w:spacing w:after="0" w:line="240" w:lineRule="auto"/>
              <w:jc w:val="right"/>
              <w:rPr>
                <w:rFonts w:ascii="Arial" w:eastAsia="Times New Roman" w:hAnsi="Arial" w:cs="Arial"/>
                <w:sz w:val="20"/>
                <w:szCs w:val="20"/>
                <w:lang w:eastAsia="bs-Latn-BA"/>
              </w:rPr>
            </w:pPr>
            <w:r w:rsidRPr="00677AB0">
              <w:rPr>
                <w:rFonts w:ascii="Arial" w:eastAsia="Times New Roman" w:hAnsi="Arial" w:cs="Arial"/>
                <w:sz w:val="20"/>
                <w:szCs w:val="20"/>
                <w:lang w:eastAsia="bs-Latn-BA"/>
              </w:rPr>
              <w:t>8,71</w:t>
            </w:r>
            <w:r w:rsidRPr="00677AB0">
              <w:rPr>
                <w:rFonts w:ascii="Arial" w:eastAsia="Times New Roman" w:hAnsi="Arial" w:cs="Arial"/>
                <w:color w:val="000000"/>
                <w:sz w:val="20"/>
                <w:szCs w:val="20"/>
                <w:lang w:eastAsia="bs-Latn-BA"/>
              </w:rPr>
              <w:t>%</w:t>
            </w:r>
          </w:p>
        </w:tc>
        <w:tc>
          <w:tcPr>
            <w:tcW w:w="909" w:type="pct"/>
            <w:shd w:val="clear" w:color="auto" w:fill="auto"/>
            <w:noWrap/>
            <w:vAlign w:val="center"/>
          </w:tcPr>
          <w:p w14:paraId="6FAD12D0" w14:textId="77777777" w:rsidR="0042308F" w:rsidRPr="00677AB0" w:rsidRDefault="0042308F" w:rsidP="0042308F">
            <w:pPr>
              <w:spacing w:after="0" w:line="240" w:lineRule="auto"/>
              <w:jc w:val="right"/>
              <w:rPr>
                <w:rFonts w:ascii="Arial" w:eastAsia="Times New Roman" w:hAnsi="Arial" w:cs="Arial"/>
                <w:sz w:val="20"/>
                <w:szCs w:val="20"/>
                <w:lang w:eastAsia="bs-Latn-BA"/>
              </w:rPr>
            </w:pPr>
            <w:r w:rsidRPr="00677AB0">
              <w:rPr>
                <w:rFonts w:ascii="Arial" w:eastAsia="Times New Roman" w:hAnsi="Arial" w:cs="Arial"/>
                <w:sz w:val="20"/>
                <w:szCs w:val="20"/>
                <w:lang w:eastAsia="bs-Latn-BA"/>
              </w:rPr>
              <w:t>9,11</w:t>
            </w:r>
            <w:r w:rsidRPr="00677AB0">
              <w:rPr>
                <w:rFonts w:ascii="Arial" w:eastAsia="Times New Roman" w:hAnsi="Arial" w:cs="Arial"/>
                <w:color w:val="000000"/>
                <w:sz w:val="20"/>
                <w:szCs w:val="20"/>
                <w:lang w:eastAsia="bs-Latn-BA"/>
              </w:rPr>
              <w:t>%</w:t>
            </w:r>
          </w:p>
        </w:tc>
        <w:tc>
          <w:tcPr>
            <w:tcW w:w="833" w:type="pct"/>
            <w:shd w:val="clear" w:color="auto" w:fill="auto"/>
            <w:noWrap/>
            <w:vAlign w:val="center"/>
          </w:tcPr>
          <w:p w14:paraId="5DB796BE" w14:textId="77777777" w:rsidR="0042308F" w:rsidRPr="00677AB0" w:rsidRDefault="0042308F" w:rsidP="0042308F">
            <w:pPr>
              <w:spacing w:after="0" w:line="240" w:lineRule="auto"/>
              <w:jc w:val="right"/>
              <w:rPr>
                <w:rFonts w:ascii="Arial" w:eastAsia="Times New Roman" w:hAnsi="Arial" w:cs="Arial"/>
                <w:sz w:val="20"/>
                <w:szCs w:val="20"/>
                <w:lang w:eastAsia="bs-Latn-BA"/>
              </w:rPr>
            </w:pPr>
            <w:r w:rsidRPr="00677AB0">
              <w:rPr>
                <w:rFonts w:ascii="Arial" w:eastAsia="Times New Roman" w:hAnsi="Arial" w:cs="Arial"/>
                <w:sz w:val="20"/>
                <w:szCs w:val="20"/>
                <w:lang w:eastAsia="bs-Latn-BA"/>
              </w:rPr>
              <w:t>9,52</w:t>
            </w:r>
            <w:r w:rsidRPr="00677AB0">
              <w:rPr>
                <w:rFonts w:ascii="Arial" w:eastAsia="Times New Roman" w:hAnsi="Arial" w:cs="Arial"/>
                <w:color w:val="000000"/>
                <w:sz w:val="20"/>
                <w:szCs w:val="20"/>
                <w:lang w:eastAsia="bs-Latn-BA"/>
              </w:rPr>
              <w:t>%</w:t>
            </w:r>
          </w:p>
        </w:tc>
      </w:tr>
    </w:tbl>
    <w:p w14:paraId="65E83EE8" w14:textId="77777777" w:rsidR="001967B2" w:rsidRDefault="001967B2" w:rsidP="0042308F">
      <w:pPr>
        <w:spacing w:after="0"/>
        <w:jc w:val="both"/>
        <w:rPr>
          <w:rFonts w:ascii="Arial" w:hAnsi="Arial" w:cs="Arial"/>
          <w:sz w:val="20"/>
        </w:rPr>
      </w:pPr>
    </w:p>
    <w:p w14:paraId="4B09E73D" w14:textId="77777777" w:rsidR="001967B2" w:rsidRDefault="001967B2" w:rsidP="0042308F">
      <w:pPr>
        <w:spacing w:after="0"/>
        <w:jc w:val="both"/>
        <w:rPr>
          <w:rFonts w:ascii="Arial" w:hAnsi="Arial" w:cs="Arial"/>
          <w:sz w:val="20"/>
        </w:rPr>
      </w:pPr>
    </w:p>
    <w:p w14:paraId="27A398E7" w14:textId="19C238CE" w:rsidR="0042308F" w:rsidRPr="00677AB0" w:rsidRDefault="00153015" w:rsidP="0042308F">
      <w:pPr>
        <w:spacing w:after="0"/>
        <w:jc w:val="both"/>
        <w:rPr>
          <w:rFonts w:ascii="Arial" w:hAnsi="Arial" w:cs="Arial"/>
          <w:sz w:val="20"/>
        </w:rPr>
      </w:pPr>
      <w:r>
        <w:rPr>
          <w:rFonts w:ascii="Arial" w:hAnsi="Arial" w:cs="Arial"/>
          <w:sz w:val="20"/>
        </w:rPr>
        <w:t>Tablica</w:t>
      </w:r>
      <w:r w:rsidR="0042308F" w:rsidRPr="00677AB0">
        <w:rPr>
          <w:rFonts w:ascii="Arial" w:hAnsi="Arial" w:cs="Arial"/>
          <w:sz w:val="20"/>
        </w:rPr>
        <w:t xml:space="preserve"> 11. Procijenjeni spread </w:t>
      </w:r>
      <w:r w:rsidR="00440C9C">
        <w:rPr>
          <w:rFonts w:ascii="Arial" w:hAnsi="Arial" w:cs="Arial"/>
          <w:sz w:val="20"/>
        </w:rPr>
        <w:t>(margina) na instrumente duga s</w:t>
      </w:r>
      <w:r w:rsidR="0042308F" w:rsidRPr="00677AB0">
        <w:rPr>
          <w:rFonts w:ascii="Arial" w:hAnsi="Arial" w:cs="Arial"/>
          <w:sz w:val="20"/>
        </w:rPr>
        <w:t xml:space="preserve"> varijabilnom kamatnom stopom u </w:t>
      </w:r>
      <w:r w:rsidR="00440C9C">
        <w:rPr>
          <w:rFonts w:ascii="Arial" w:hAnsi="Arial" w:cs="Arial"/>
          <w:sz w:val="20"/>
        </w:rPr>
        <w:t>razdoblju</w:t>
      </w:r>
      <w:r w:rsidR="0042308F" w:rsidRPr="00677AB0">
        <w:rPr>
          <w:rFonts w:ascii="Arial" w:hAnsi="Arial" w:cs="Arial"/>
          <w:sz w:val="20"/>
        </w:rPr>
        <w:t xml:space="preserve"> 2024 – 2026. godina korištene u MTDS AT</w:t>
      </w:r>
    </w:p>
    <w:tbl>
      <w:tblPr>
        <w:tblW w:w="5000" w:type="pct"/>
        <w:jc w:val="cente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Look w:val="04A0" w:firstRow="1" w:lastRow="0" w:firstColumn="1" w:lastColumn="0" w:noHBand="0" w:noVBand="1"/>
      </w:tblPr>
      <w:tblGrid>
        <w:gridCol w:w="4119"/>
        <w:gridCol w:w="1643"/>
        <w:gridCol w:w="1643"/>
        <w:gridCol w:w="1645"/>
      </w:tblGrid>
      <w:tr w:rsidR="0042308F" w:rsidRPr="00677AB0" w14:paraId="18D4AC7A" w14:textId="77777777" w:rsidTr="0042308F">
        <w:trPr>
          <w:trHeight w:val="302"/>
          <w:jc w:val="center"/>
        </w:trPr>
        <w:tc>
          <w:tcPr>
            <w:tcW w:w="2275" w:type="pct"/>
            <w:shd w:val="clear" w:color="auto" w:fill="auto"/>
            <w:noWrap/>
            <w:vAlign w:val="center"/>
            <w:hideMark/>
          </w:tcPr>
          <w:p w14:paraId="4A2D9E60" w14:textId="77777777" w:rsidR="0042308F" w:rsidRPr="00677AB0" w:rsidRDefault="0042308F" w:rsidP="0042308F">
            <w:pPr>
              <w:spacing w:after="0" w:line="240" w:lineRule="auto"/>
              <w:rPr>
                <w:rFonts w:ascii="Arial" w:eastAsia="Times New Roman" w:hAnsi="Arial" w:cs="Arial"/>
                <w:b/>
                <w:bCs/>
                <w:color w:val="FFFFFF"/>
                <w:sz w:val="20"/>
                <w:szCs w:val="20"/>
              </w:rPr>
            </w:pPr>
            <w:r w:rsidRPr="00677AB0">
              <w:rPr>
                <w:rFonts w:ascii="Arial" w:eastAsia="Times New Roman" w:hAnsi="Arial" w:cs="Arial"/>
                <w:b/>
                <w:bCs/>
                <w:color w:val="FFFFFF"/>
                <w:sz w:val="20"/>
                <w:szCs w:val="20"/>
              </w:rPr>
              <w:t> </w:t>
            </w:r>
          </w:p>
        </w:tc>
        <w:tc>
          <w:tcPr>
            <w:tcW w:w="908" w:type="pct"/>
            <w:shd w:val="clear" w:color="auto" w:fill="auto"/>
            <w:noWrap/>
            <w:vAlign w:val="center"/>
            <w:hideMark/>
          </w:tcPr>
          <w:p w14:paraId="53219527" w14:textId="77777777" w:rsidR="0042308F" w:rsidRPr="00677AB0" w:rsidRDefault="0042308F" w:rsidP="0042308F">
            <w:pPr>
              <w:spacing w:after="0" w:line="240" w:lineRule="auto"/>
              <w:jc w:val="center"/>
              <w:rPr>
                <w:rFonts w:ascii="Arial" w:eastAsia="Times New Roman" w:hAnsi="Arial" w:cs="Arial"/>
                <w:color w:val="000000"/>
                <w:sz w:val="20"/>
                <w:szCs w:val="20"/>
              </w:rPr>
            </w:pPr>
            <w:r w:rsidRPr="00677AB0">
              <w:rPr>
                <w:rFonts w:ascii="Arial" w:eastAsia="Times New Roman" w:hAnsi="Arial" w:cs="Arial"/>
                <w:color w:val="000000"/>
                <w:sz w:val="20"/>
                <w:szCs w:val="20"/>
              </w:rPr>
              <w:t>2024</w:t>
            </w:r>
          </w:p>
        </w:tc>
        <w:tc>
          <w:tcPr>
            <w:tcW w:w="908" w:type="pct"/>
            <w:shd w:val="clear" w:color="auto" w:fill="auto"/>
            <w:noWrap/>
            <w:vAlign w:val="center"/>
            <w:hideMark/>
          </w:tcPr>
          <w:p w14:paraId="4A63CF8F" w14:textId="77777777" w:rsidR="0042308F" w:rsidRPr="00677AB0" w:rsidRDefault="0042308F" w:rsidP="0042308F">
            <w:pPr>
              <w:spacing w:after="0" w:line="240" w:lineRule="auto"/>
              <w:jc w:val="center"/>
              <w:rPr>
                <w:rFonts w:ascii="Arial" w:eastAsia="Times New Roman" w:hAnsi="Arial" w:cs="Arial"/>
                <w:color w:val="000000"/>
                <w:sz w:val="20"/>
                <w:szCs w:val="20"/>
              </w:rPr>
            </w:pPr>
            <w:r w:rsidRPr="00677AB0">
              <w:rPr>
                <w:rFonts w:ascii="Arial" w:eastAsia="Times New Roman" w:hAnsi="Arial" w:cs="Arial"/>
                <w:color w:val="000000"/>
                <w:sz w:val="20"/>
                <w:szCs w:val="20"/>
              </w:rPr>
              <w:t>2025</w:t>
            </w:r>
          </w:p>
        </w:tc>
        <w:tc>
          <w:tcPr>
            <w:tcW w:w="909" w:type="pct"/>
            <w:shd w:val="clear" w:color="auto" w:fill="auto"/>
            <w:noWrap/>
            <w:vAlign w:val="center"/>
            <w:hideMark/>
          </w:tcPr>
          <w:p w14:paraId="721E8B58" w14:textId="77777777" w:rsidR="0042308F" w:rsidRPr="00677AB0" w:rsidRDefault="0042308F" w:rsidP="0042308F">
            <w:pPr>
              <w:spacing w:after="0" w:line="240" w:lineRule="auto"/>
              <w:jc w:val="center"/>
              <w:rPr>
                <w:rFonts w:ascii="Arial" w:eastAsia="Times New Roman" w:hAnsi="Arial" w:cs="Arial"/>
                <w:color w:val="000000"/>
                <w:sz w:val="20"/>
                <w:szCs w:val="20"/>
              </w:rPr>
            </w:pPr>
            <w:r w:rsidRPr="00677AB0">
              <w:rPr>
                <w:rFonts w:ascii="Arial" w:eastAsia="Times New Roman" w:hAnsi="Arial" w:cs="Arial"/>
                <w:color w:val="000000"/>
                <w:sz w:val="20"/>
                <w:szCs w:val="20"/>
              </w:rPr>
              <w:t>2026</w:t>
            </w:r>
          </w:p>
        </w:tc>
      </w:tr>
      <w:tr w:rsidR="0042308F" w:rsidRPr="00677AB0" w14:paraId="1F0DDF7A" w14:textId="77777777" w:rsidTr="0042308F">
        <w:trPr>
          <w:trHeight w:val="302"/>
          <w:jc w:val="center"/>
        </w:trPr>
        <w:tc>
          <w:tcPr>
            <w:tcW w:w="2275" w:type="pct"/>
            <w:shd w:val="clear" w:color="auto" w:fill="auto"/>
            <w:noWrap/>
            <w:vAlign w:val="center"/>
            <w:hideMark/>
          </w:tcPr>
          <w:p w14:paraId="31E98163" w14:textId="77777777" w:rsidR="0042308F" w:rsidRPr="00677AB0" w:rsidRDefault="0042308F" w:rsidP="0042308F">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Koncesionalni USD Varijabilni</w:t>
            </w:r>
          </w:p>
        </w:tc>
        <w:tc>
          <w:tcPr>
            <w:tcW w:w="908" w:type="pct"/>
            <w:shd w:val="clear" w:color="auto" w:fill="auto"/>
            <w:noWrap/>
            <w:vAlign w:val="center"/>
            <w:hideMark/>
          </w:tcPr>
          <w:p w14:paraId="66158E3A"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1,50%</w:t>
            </w:r>
          </w:p>
        </w:tc>
        <w:tc>
          <w:tcPr>
            <w:tcW w:w="908" w:type="pct"/>
            <w:shd w:val="clear" w:color="auto" w:fill="auto"/>
            <w:noWrap/>
            <w:vAlign w:val="center"/>
            <w:hideMark/>
          </w:tcPr>
          <w:p w14:paraId="63FE2A0C"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1,50%</w:t>
            </w:r>
          </w:p>
        </w:tc>
        <w:tc>
          <w:tcPr>
            <w:tcW w:w="909" w:type="pct"/>
            <w:shd w:val="clear" w:color="auto" w:fill="auto"/>
            <w:noWrap/>
            <w:vAlign w:val="center"/>
            <w:hideMark/>
          </w:tcPr>
          <w:p w14:paraId="28A00C8A"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1,50%</w:t>
            </w:r>
          </w:p>
        </w:tc>
      </w:tr>
      <w:tr w:rsidR="0042308F" w:rsidRPr="00677AB0" w14:paraId="732F9A07" w14:textId="77777777" w:rsidTr="0042308F">
        <w:trPr>
          <w:trHeight w:val="302"/>
          <w:jc w:val="center"/>
        </w:trPr>
        <w:tc>
          <w:tcPr>
            <w:tcW w:w="2275" w:type="pct"/>
            <w:shd w:val="clear" w:color="auto" w:fill="auto"/>
            <w:noWrap/>
            <w:vAlign w:val="center"/>
            <w:hideMark/>
          </w:tcPr>
          <w:p w14:paraId="724320E3" w14:textId="77777777" w:rsidR="0042308F" w:rsidRPr="00677AB0" w:rsidRDefault="0042308F" w:rsidP="0042308F">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Koncesionalni EUR Varijabilni</w:t>
            </w:r>
          </w:p>
        </w:tc>
        <w:tc>
          <w:tcPr>
            <w:tcW w:w="908" w:type="pct"/>
            <w:shd w:val="clear" w:color="auto" w:fill="auto"/>
            <w:noWrap/>
            <w:vAlign w:val="center"/>
            <w:hideMark/>
          </w:tcPr>
          <w:p w14:paraId="14518EF1"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1,35%</w:t>
            </w:r>
          </w:p>
        </w:tc>
        <w:tc>
          <w:tcPr>
            <w:tcW w:w="908" w:type="pct"/>
            <w:shd w:val="clear" w:color="auto" w:fill="auto"/>
            <w:noWrap/>
            <w:vAlign w:val="center"/>
            <w:hideMark/>
          </w:tcPr>
          <w:p w14:paraId="17E56B60"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1,35%</w:t>
            </w:r>
          </w:p>
        </w:tc>
        <w:tc>
          <w:tcPr>
            <w:tcW w:w="909" w:type="pct"/>
            <w:shd w:val="clear" w:color="auto" w:fill="auto"/>
            <w:noWrap/>
            <w:vAlign w:val="center"/>
            <w:hideMark/>
          </w:tcPr>
          <w:p w14:paraId="575501B6"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1,35%</w:t>
            </w:r>
          </w:p>
        </w:tc>
      </w:tr>
      <w:tr w:rsidR="0042308F" w:rsidRPr="00677AB0" w14:paraId="453857AB" w14:textId="77777777" w:rsidTr="0042308F">
        <w:trPr>
          <w:trHeight w:val="302"/>
          <w:jc w:val="center"/>
        </w:trPr>
        <w:tc>
          <w:tcPr>
            <w:tcW w:w="2275" w:type="pct"/>
            <w:shd w:val="clear" w:color="auto" w:fill="auto"/>
            <w:noWrap/>
            <w:vAlign w:val="center"/>
            <w:hideMark/>
          </w:tcPr>
          <w:p w14:paraId="0434E280" w14:textId="77777777" w:rsidR="0042308F" w:rsidRPr="00677AB0" w:rsidRDefault="0042308F" w:rsidP="0042308F">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IMF RFI USD Varijabilni</w:t>
            </w:r>
          </w:p>
        </w:tc>
        <w:tc>
          <w:tcPr>
            <w:tcW w:w="908" w:type="pct"/>
            <w:shd w:val="clear" w:color="auto" w:fill="auto"/>
            <w:noWrap/>
            <w:vAlign w:val="center"/>
            <w:hideMark/>
          </w:tcPr>
          <w:p w14:paraId="7BE207F6"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8" w:type="pct"/>
            <w:shd w:val="clear" w:color="auto" w:fill="auto"/>
            <w:noWrap/>
            <w:vAlign w:val="center"/>
            <w:hideMark/>
          </w:tcPr>
          <w:p w14:paraId="295862CD"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9" w:type="pct"/>
            <w:shd w:val="clear" w:color="auto" w:fill="auto"/>
            <w:noWrap/>
            <w:vAlign w:val="center"/>
            <w:hideMark/>
          </w:tcPr>
          <w:p w14:paraId="3ED324D2"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r>
      <w:tr w:rsidR="0042308F" w:rsidRPr="00677AB0" w14:paraId="13E84CC4" w14:textId="77777777" w:rsidTr="0042308F">
        <w:trPr>
          <w:trHeight w:val="318"/>
          <w:jc w:val="center"/>
        </w:trPr>
        <w:tc>
          <w:tcPr>
            <w:tcW w:w="2275" w:type="pct"/>
            <w:shd w:val="clear" w:color="auto" w:fill="auto"/>
            <w:noWrap/>
            <w:vAlign w:val="center"/>
            <w:hideMark/>
          </w:tcPr>
          <w:p w14:paraId="1D880A9F" w14:textId="77777777" w:rsidR="0042308F" w:rsidRPr="00677AB0" w:rsidRDefault="0042308F" w:rsidP="0042308F">
            <w:pPr>
              <w:spacing w:after="0" w:line="240" w:lineRule="auto"/>
              <w:rPr>
                <w:rFonts w:ascii="Arial" w:eastAsia="Times New Roman" w:hAnsi="Arial" w:cs="Arial"/>
                <w:bCs/>
                <w:color w:val="000000"/>
                <w:sz w:val="20"/>
                <w:szCs w:val="20"/>
              </w:rPr>
            </w:pPr>
            <w:r w:rsidRPr="00677AB0">
              <w:rPr>
                <w:rFonts w:ascii="Arial" w:eastAsia="Times New Roman" w:hAnsi="Arial" w:cs="Arial"/>
                <w:bCs/>
                <w:color w:val="000000"/>
                <w:sz w:val="20"/>
                <w:szCs w:val="20"/>
              </w:rPr>
              <w:t>IMF EFF USD Varijabilni</w:t>
            </w:r>
          </w:p>
        </w:tc>
        <w:tc>
          <w:tcPr>
            <w:tcW w:w="908" w:type="pct"/>
            <w:shd w:val="clear" w:color="auto" w:fill="auto"/>
            <w:noWrap/>
            <w:vAlign w:val="center"/>
            <w:hideMark/>
          </w:tcPr>
          <w:p w14:paraId="070C44E4"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8" w:type="pct"/>
            <w:shd w:val="clear" w:color="auto" w:fill="auto"/>
            <w:noWrap/>
            <w:vAlign w:val="center"/>
            <w:hideMark/>
          </w:tcPr>
          <w:p w14:paraId="7CBB8B1B"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c>
          <w:tcPr>
            <w:tcW w:w="909" w:type="pct"/>
            <w:shd w:val="clear" w:color="auto" w:fill="auto"/>
            <w:noWrap/>
            <w:vAlign w:val="center"/>
            <w:hideMark/>
          </w:tcPr>
          <w:p w14:paraId="41D4986C" w14:textId="77777777" w:rsidR="0042308F" w:rsidRPr="00677AB0" w:rsidRDefault="0042308F" w:rsidP="0042308F">
            <w:pPr>
              <w:spacing w:after="0" w:line="240" w:lineRule="auto"/>
              <w:jc w:val="right"/>
              <w:rPr>
                <w:rFonts w:ascii="Arial" w:eastAsia="Times New Roman" w:hAnsi="Arial" w:cs="Arial"/>
                <w:color w:val="000000"/>
                <w:sz w:val="20"/>
                <w:szCs w:val="20"/>
              </w:rPr>
            </w:pPr>
            <w:r w:rsidRPr="00677AB0">
              <w:rPr>
                <w:rFonts w:ascii="Arial" w:eastAsia="Times New Roman" w:hAnsi="Arial" w:cs="Arial"/>
                <w:color w:val="000000"/>
                <w:sz w:val="20"/>
                <w:szCs w:val="20"/>
              </w:rPr>
              <w:t>1,00%</w:t>
            </w:r>
          </w:p>
        </w:tc>
      </w:tr>
    </w:tbl>
    <w:p w14:paraId="51D5B366" w14:textId="77777777" w:rsidR="0042308F" w:rsidRPr="00677AB0" w:rsidRDefault="0042308F" w:rsidP="0042308F">
      <w:pPr>
        <w:spacing w:after="0"/>
        <w:jc w:val="both"/>
        <w:rPr>
          <w:rFonts w:ascii="Arial" w:hAnsi="Arial" w:cs="Arial"/>
          <w:sz w:val="24"/>
          <w:szCs w:val="24"/>
        </w:rPr>
      </w:pPr>
    </w:p>
    <w:p w14:paraId="0E5032BD" w14:textId="77777777" w:rsidR="0042308F" w:rsidRPr="00677AB0" w:rsidRDefault="0042308F" w:rsidP="0042308F">
      <w:pPr>
        <w:autoSpaceDE w:val="0"/>
        <w:autoSpaceDN w:val="0"/>
        <w:adjustRightInd w:val="0"/>
        <w:spacing w:after="18" w:line="240" w:lineRule="auto"/>
        <w:ind w:firstLine="720"/>
        <w:jc w:val="both"/>
        <w:rPr>
          <w:rFonts w:ascii="Arial" w:hAnsi="Arial" w:cs="Arial"/>
          <w:color w:val="000000"/>
        </w:rPr>
      </w:pPr>
      <w:r w:rsidRPr="00677AB0">
        <w:rPr>
          <w:rFonts w:ascii="Arial" w:hAnsi="Arial" w:cs="Arial"/>
          <w:color w:val="000000"/>
        </w:rPr>
        <w:t>Projekcije E</w:t>
      </w:r>
      <w:r w:rsidR="00440C9C">
        <w:rPr>
          <w:rFonts w:ascii="Arial" w:hAnsi="Arial" w:cs="Arial"/>
          <w:color w:val="000000"/>
        </w:rPr>
        <w:t>u</w:t>
      </w:r>
      <w:r w:rsidRPr="00677AB0">
        <w:rPr>
          <w:rFonts w:ascii="Arial" w:hAnsi="Arial" w:cs="Arial"/>
          <w:color w:val="000000"/>
        </w:rPr>
        <w:t xml:space="preserve">ropske centralne banke iz </w:t>
      </w:r>
      <w:r w:rsidR="00440C9C">
        <w:rPr>
          <w:rFonts w:ascii="Arial" w:hAnsi="Arial" w:cs="Arial"/>
          <w:color w:val="000000"/>
        </w:rPr>
        <w:t>svibnja</w:t>
      </w:r>
      <w:r w:rsidRPr="00677AB0">
        <w:rPr>
          <w:rFonts w:ascii="Arial" w:hAnsi="Arial" w:cs="Arial"/>
          <w:color w:val="000000"/>
        </w:rPr>
        <w:t xml:space="preserve"> 2023. godine ukazuju na </w:t>
      </w:r>
      <w:r w:rsidRPr="0099055F">
        <w:rPr>
          <w:rFonts w:ascii="Arial" w:hAnsi="Arial" w:cs="Arial"/>
        </w:rPr>
        <w:t>depre</w:t>
      </w:r>
      <w:r w:rsidR="0099055F" w:rsidRPr="0099055F">
        <w:rPr>
          <w:rFonts w:ascii="Arial" w:hAnsi="Arial" w:cs="Arial"/>
        </w:rPr>
        <w:t>c</w:t>
      </w:r>
      <w:r w:rsidRPr="0099055F">
        <w:rPr>
          <w:rFonts w:ascii="Arial" w:hAnsi="Arial" w:cs="Arial"/>
        </w:rPr>
        <w:t>ijaciju</w:t>
      </w:r>
      <w:r w:rsidRPr="00677AB0">
        <w:rPr>
          <w:rFonts w:ascii="Arial" w:hAnsi="Arial" w:cs="Arial"/>
          <w:color w:val="000000"/>
        </w:rPr>
        <w:t xml:space="preserve"> USD-a u odnosu na kraj 2022. godine za 1,2% u 2023. godini, 0.9% u 2024. godini u odnosu na 2023. godinu i zadržavanje na isto</w:t>
      </w:r>
      <w:r w:rsidR="00440C9C">
        <w:rPr>
          <w:rFonts w:ascii="Arial" w:hAnsi="Arial" w:cs="Arial"/>
          <w:color w:val="000000"/>
        </w:rPr>
        <w:t>j</w:t>
      </w:r>
      <w:r w:rsidRPr="00677AB0">
        <w:rPr>
          <w:rFonts w:ascii="Arial" w:hAnsi="Arial" w:cs="Arial"/>
          <w:color w:val="000000"/>
        </w:rPr>
        <w:t xml:space="preserve"> </w:t>
      </w:r>
      <w:r w:rsidR="00440C9C">
        <w:rPr>
          <w:rFonts w:ascii="Arial" w:hAnsi="Arial" w:cs="Arial"/>
          <w:color w:val="000000"/>
        </w:rPr>
        <w:t>razini</w:t>
      </w:r>
      <w:r w:rsidRPr="00677AB0">
        <w:rPr>
          <w:rFonts w:ascii="Arial" w:hAnsi="Arial" w:cs="Arial"/>
          <w:color w:val="000000"/>
        </w:rPr>
        <w:t xml:space="preserve"> u 2025. godini.  </w:t>
      </w:r>
    </w:p>
    <w:p w14:paraId="35B7389B" w14:textId="77777777" w:rsidR="0042308F" w:rsidRPr="00677AB0" w:rsidRDefault="0042308F" w:rsidP="0042308F">
      <w:pPr>
        <w:autoSpaceDE w:val="0"/>
        <w:autoSpaceDN w:val="0"/>
        <w:adjustRightInd w:val="0"/>
        <w:spacing w:after="18" w:line="240" w:lineRule="auto"/>
        <w:ind w:firstLine="720"/>
        <w:jc w:val="both"/>
        <w:rPr>
          <w:rFonts w:ascii="Arial" w:hAnsi="Arial" w:cs="Arial"/>
          <w:color w:val="000000"/>
        </w:rPr>
      </w:pPr>
      <w:r w:rsidRPr="00677AB0">
        <w:rPr>
          <w:rFonts w:ascii="Arial" w:hAnsi="Arial" w:cs="Arial"/>
          <w:color w:val="000000"/>
        </w:rPr>
        <w:t>Prema procjenama koje je objavio MMF-a (World Economic Outlook iz aprila 2023. godine) vrijednost USD-a za EUR u 2023. godini u odnosu na 31.</w:t>
      </w:r>
      <w:r w:rsidR="00440C9C">
        <w:rPr>
          <w:rFonts w:ascii="Arial" w:hAnsi="Arial" w:cs="Arial"/>
          <w:color w:val="000000"/>
        </w:rPr>
        <w:t xml:space="preserve"> </w:t>
      </w:r>
      <w:r w:rsidRPr="00677AB0">
        <w:rPr>
          <w:rFonts w:ascii="Arial" w:hAnsi="Arial" w:cs="Arial"/>
          <w:color w:val="000000"/>
        </w:rPr>
        <w:t>12.</w:t>
      </w:r>
      <w:r w:rsidR="00440C9C">
        <w:rPr>
          <w:rFonts w:ascii="Arial" w:hAnsi="Arial" w:cs="Arial"/>
          <w:color w:val="000000"/>
        </w:rPr>
        <w:t xml:space="preserve"> </w:t>
      </w:r>
      <w:r w:rsidRPr="00677AB0">
        <w:rPr>
          <w:rFonts w:ascii="Arial" w:hAnsi="Arial" w:cs="Arial"/>
          <w:color w:val="000000"/>
        </w:rPr>
        <w:t xml:space="preserve">2022. veća je za 0,3%, a u 2024. godini za 0,8%. </w:t>
      </w:r>
    </w:p>
    <w:p w14:paraId="510351C6" w14:textId="77777777" w:rsidR="0042308F" w:rsidRPr="00677AB0" w:rsidRDefault="0042308F" w:rsidP="0042308F">
      <w:pPr>
        <w:spacing w:after="0"/>
        <w:ind w:firstLine="720"/>
        <w:jc w:val="both"/>
        <w:rPr>
          <w:rFonts w:ascii="Arial" w:hAnsi="Arial" w:cs="Arial"/>
          <w:sz w:val="24"/>
          <w:szCs w:val="24"/>
        </w:rPr>
      </w:pPr>
      <w:r w:rsidRPr="00677AB0">
        <w:rPr>
          <w:rFonts w:ascii="Arial" w:hAnsi="Arial" w:cs="Arial"/>
          <w:color w:val="000000"/>
        </w:rPr>
        <w:lastRenderedPageBreak/>
        <w:t xml:space="preserve">Uzimajući u obzir sve navedeno prilikom izrade strategije predviđen je pad vrijednost USD u odnosu na EUR za 2024. godinu u iznosu 0,9%, a za 2024. i 2025. godinu 0%. </w:t>
      </w:r>
    </w:p>
    <w:p w14:paraId="0764ED01" w14:textId="77777777" w:rsidR="0042308F" w:rsidRPr="00677AB0" w:rsidRDefault="0042308F" w:rsidP="0042308F">
      <w:pPr>
        <w:spacing w:after="0" w:line="240" w:lineRule="auto"/>
        <w:rPr>
          <w:rFonts w:ascii="Arial" w:hAnsi="Arial" w:cs="Arial"/>
        </w:rPr>
      </w:pPr>
      <w:r w:rsidRPr="00677AB0">
        <w:rPr>
          <w:rFonts w:ascii="Arial" w:hAnsi="Arial" w:cs="Arial"/>
        </w:rPr>
        <w:tab/>
      </w:r>
    </w:p>
    <w:p w14:paraId="45E4EB32" w14:textId="55F8F609" w:rsidR="0042308F" w:rsidRDefault="0042308F" w:rsidP="00CE7F67">
      <w:pPr>
        <w:spacing w:after="0" w:line="240" w:lineRule="auto"/>
        <w:ind w:firstLine="720"/>
        <w:jc w:val="both"/>
        <w:rPr>
          <w:rFonts w:ascii="Arial" w:hAnsi="Arial" w:cs="Arial"/>
        </w:rPr>
      </w:pPr>
      <w:r w:rsidRPr="00677AB0">
        <w:rPr>
          <w:rFonts w:ascii="Arial" w:hAnsi="Arial" w:cs="Arial"/>
        </w:rPr>
        <w:t xml:space="preserve">Za potrebe izrade različitih scenarija </w:t>
      </w:r>
      <w:r w:rsidR="00440C9C" w:rsidRPr="00677AB0">
        <w:rPr>
          <w:rFonts w:ascii="Arial" w:hAnsi="Arial" w:cs="Arial"/>
        </w:rPr>
        <w:t>Strategije</w:t>
      </w:r>
      <w:r w:rsidRPr="00677AB0">
        <w:rPr>
          <w:rFonts w:ascii="Arial" w:hAnsi="Arial" w:cs="Arial"/>
        </w:rPr>
        <w:t xml:space="preserve"> upravljanja dugom korišteni su prilagođeni instrumenti kako bi se različiti </w:t>
      </w:r>
      <w:r w:rsidR="00153015">
        <w:rPr>
          <w:rFonts w:ascii="Arial" w:hAnsi="Arial" w:cs="Arial"/>
        </w:rPr>
        <w:t>uvjet</w:t>
      </w:r>
      <w:r w:rsidRPr="00677AB0">
        <w:rPr>
          <w:rFonts w:ascii="Arial" w:hAnsi="Arial" w:cs="Arial"/>
        </w:rPr>
        <w:t xml:space="preserve">i kredita u portfelju sveli na sličan instrument (razlika postoji u valuti, godinama </w:t>
      </w:r>
      <w:r w:rsidR="00440C9C" w:rsidRPr="00677AB0">
        <w:rPr>
          <w:rFonts w:ascii="Arial" w:hAnsi="Arial" w:cs="Arial"/>
        </w:rPr>
        <w:t>dospijeća</w:t>
      </w:r>
      <w:r w:rsidRPr="00677AB0">
        <w:rPr>
          <w:rFonts w:ascii="Arial" w:hAnsi="Arial" w:cs="Arial"/>
        </w:rPr>
        <w:t xml:space="preserve">, kamatnoj stopi i „grace“ </w:t>
      </w:r>
      <w:r w:rsidR="00440C9C">
        <w:rPr>
          <w:rFonts w:ascii="Arial" w:hAnsi="Arial" w:cs="Arial"/>
        </w:rPr>
        <w:t>razdoblju</w:t>
      </w:r>
      <w:r w:rsidRPr="00677AB0">
        <w:rPr>
          <w:rFonts w:ascii="Arial" w:hAnsi="Arial" w:cs="Arial"/>
        </w:rPr>
        <w:t>)</w:t>
      </w:r>
      <w:r w:rsidR="00440C9C">
        <w:rPr>
          <w:rFonts w:ascii="Arial" w:hAnsi="Arial" w:cs="Arial"/>
        </w:rPr>
        <w:t>.</w:t>
      </w:r>
    </w:p>
    <w:p w14:paraId="4B03A02B" w14:textId="652476D9" w:rsidR="001967B2" w:rsidRDefault="001967B2" w:rsidP="00CE7F67">
      <w:pPr>
        <w:spacing w:after="0" w:line="240" w:lineRule="auto"/>
        <w:ind w:firstLine="720"/>
        <w:jc w:val="both"/>
        <w:rPr>
          <w:rFonts w:ascii="Arial" w:hAnsi="Arial" w:cs="Arial"/>
        </w:rPr>
      </w:pPr>
    </w:p>
    <w:p w14:paraId="42F04BE2" w14:textId="179BE9E8" w:rsidR="001967B2" w:rsidRDefault="001967B2" w:rsidP="00CE7F67">
      <w:pPr>
        <w:spacing w:after="0" w:line="240" w:lineRule="auto"/>
        <w:ind w:firstLine="720"/>
        <w:jc w:val="both"/>
        <w:rPr>
          <w:rFonts w:ascii="Arial" w:hAnsi="Arial" w:cs="Arial"/>
        </w:rPr>
      </w:pPr>
    </w:p>
    <w:p w14:paraId="536923B9" w14:textId="038C6420" w:rsidR="001967B2" w:rsidRDefault="001967B2" w:rsidP="00CE7F67">
      <w:pPr>
        <w:spacing w:after="0" w:line="240" w:lineRule="auto"/>
        <w:ind w:firstLine="720"/>
        <w:jc w:val="both"/>
        <w:rPr>
          <w:rFonts w:ascii="Arial" w:hAnsi="Arial" w:cs="Arial"/>
        </w:rPr>
      </w:pPr>
    </w:p>
    <w:p w14:paraId="3BE9D307" w14:textId="14517E40" w:rsidR="001967B2" w:rsidRDefault="001967B2" w:rsidP="00CE7F67">
      <w:pPr>
        <w:spacing w:after="0" w:line="240" w:lineRule="auto"/>
        <w:ind w:firstLine="720"/>
        <w:jc w:val="both"/>
        <w:rPr>
          <w:rFonts w:ascii="Arial" w:hAnsi="Arial" w:cs="Arial"/>
        </w:rPr>
      </w:pPr>
    </w:p>
    <w:p w14:paraId="15651466" w14:textId="77777777" w:rsidR="001967B2" w:rsidRPr="00677AB0" w:rsidRDefault="001967B2" w:rsidP="00CE7F67">
      <w:pPr>
        <w:spacing w:after="0" w:line="240" w:lineRule="auto"/>
        <w:ind w:firstLine="720"/>
        <w:jc w:val="both"/>
        <w:rPr>
          <w:rFonts w:ascii="Arial" w:hAnsi="Arial" w:cs="Arial"/>
        </w:rPr>
      </w:pPr>
    </w:p>
    <w:p w14:paraId="7A1FC0F7" w14:textId="77777777" w:rsidR="0042308F" w:rsidRPr="00677AB0" w:rsidRDefault="0042308F" w:rsidP="0042308F">
      <w:pPr>
        <w:spacing w:after="0" w:line="240" w:lineRule="auto"/>
        <w:rPr>
          <w:rFonts w:ascii="Arial" w:hAnsi="Arial" w:cs="Arial"/>
        </w:rPr>
      </w:pPr>
    </w:p>
    <w:p w14:paraId="2F3AC1D6" w14:textId="77777777" w:rsidR="0042308F" w:rsidRPr="00677AB0" w:rsidRDefault="00153015" w:rsidP="0042308F">
      <w:pPr>
        <w:spacing w:after="0" w:line="240" w:lineRule="auto"/>
        <w:jc w:val="both"/>
        <w:rPr>
          <w:rFonts w:ascii="Arial" w:hAnsi="Arial" w:cs="Arial"/>
        </w:rPr>
      </w:pPr>
      <w:r>
        <w:rPr>
          <w:rFonts w:ascii="Arial" w:hAnsi="Arial" w:cs="Arial"/>
          <w:sz w:val="20"/>
        </w:rPr>
        <w:t>Tablica</w:t>
      </w:r>
      <w:r w:rsidR="0042308F" w:rsidRPr="00677AB0">
        <w:rPr>
          <w:rFonts w:ascii="Arial" w:hAnsi="Arial" w:cs="Arial"/>
          <w:sz w:val="20"/>
        </w:rPr>
        <w:t xml:space="preserve"> 13. Stilizirani instrumenti </w:t>
      </w:r>
      <w:r w:rsidR="0042308F">
        <w:rPr>
          <w:rFonts w:ascii="Arial" w:hAnsi="Arial" w:cs="Arial"/>
          <w:sz w:val="20"/>
        </w:rPr>
        <w:t>portfelja</w:t>
      </w:r>
      <w:r w:rsidR="0042308F" w:rsidRPr="00677AB0">
        <w:rPr>
          <w:rFonts w:ascii="Arial" w:hAnsi="Arial" w:cs="Arial"/>
          <w:sz w:val="20"/>
        </w:rPr>
        <w:t xml:space="preserve"> duga Federacije BiH</w:t>
      </w:r>
    </w:p>
    <w:tbl>
      <w:tblPr>
        <w:tblW w:w="5000" w:type="pct"/>
        <w:tblLook w:val="04A0" w:firstRow="1" w:lastRow="0" w:firstColumn="1" w:lastColumn="0" w:noHBand="0" w:noVBand="1"/>
      </w:tblPr>
      <w:tblGrid>
        <w:gridCol w:w="1000"/>
        <w:gridCol w:w="1862"/>
        <w:gridCol w:w="1014"/>
        <w:gridCol w:w="1294"/>
        <w:gridCol w:w="970"/>
        <w:gridCol w:w="970"/>
        <w:gridCol w:w="970"/>
        <w:gridCol w:w="970"/>
      </w:tblGrid>
      <w:tr w:rsidR="0042308F" w:rsidRPr="00677AB0" w14:paraId="6AB4F01C" w14:textId="77777777" w:rsidTr="0042308F">
        <w:trPr>
          <w:trHeight w:val="555"/>
        </w:trPr>
        <w:tc>
          <w:tcPr>
            <w:tcW w:w="552" w:type="pc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C2AFD3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Oznaka instrumenta</w:t>
            </w:r>
          </w:p>
        </w:tc>
        <w:tc>
          <w:tcPr>
            <w:tcW w:w="1029" w:type="pct"/>
            <w:tcBorders>
              <w:top w:val="single" w:sz="8" w:space="0" w:color="4F81BD"/>
              <w:left w:val="nil"/>
              <w:bottom w:val="single" w:sz="8" w:space="0" w:color="4F81BD"/>
              <w:right w:val="single" w:sz="8" w:space="0" w:color="4F81BD"/>
            </w:tcBorders>
            <w:shd w:val="clear" w:color="auto" w:fill="auto"/>
            <w:vAlign w:val="center"/>
            <w:hideMark/>
          </w:tcPr>
          <w:p w14:paraId="1840217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Ime ili vrsta instrumenta</w:t>
            </w:r>
          </w:p>
        </w:tc>
        <w:tc>
          <w:tcPr>
            <w:tcW w:w="560" w:type="pct"/>
            <w:tcBorders>
              <w:top w:val="single" w:sz="8" w:space="0" w:color="4F81BD"/>
              <w:left w:val="nil"/>
              <w:bottom w:val="single" w:sz="8" w:space="0" w:color="4F81BD"/>
              <w:right w:val="single" w:sz="8" w:space="0" w:color="4F81BD"/>
            </w:tcBorders>
            <w:shd w:val="clear" w:color="auto" w:fill="auto"/>
            <w:vAlign w:val="center"/>
            <w:hideMark/>
          </w:tcPr>
          <w:p w14:paraId="6F506BA1"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 ili varijabilni</w:t>
            </w:r>
          </w:p>
        </w:tc>
        <w:tc>
          <w:tcPr>
            <w:tcW w:w="715" w:type="pct"/>
            <w:tcBorders>
              <w:top w:val="single" w:sz="8" w:space="0" w:color="4F81BD"/>
              <w:left w:val="nil"/>
              <w:bottom w:val="single" w:sz="8" w:space="0" w:color="4F81BD"/>
              <w:right w:val="single" w:sz="8" w:space="0" w:color="4F81BD"/>
            </w:tcBorders>
            <w:shd w:val="clear" w:color="auto" w:fill="auto"/>
            <w:vAlign w:val="center"/>
            <w:hideMark/>
          </w:tcPr>
          <w:p w14:paraId="7B3DEF6E"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 ili tržni</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1217373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Dospijeće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1FACF96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Grace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49E839B5"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Vrsta valute</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6CFAC06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Valuta</w:t>
            </w:r>
          </w:p>
        </w:tc>
      </w:tr>
      <w:tr w:rsidR="0042308F" w:rsidRPr="00677AB0" w14:paraId="4A783ED8" w14:textId="77777777" w:rsidTr="0042308F">
        <w:trPr>
          <w:trHeight w:val="34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3A6C4C3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USD_2</w:t>
            </w:r>
          </w:p>
        </w:tc>
        <w:tc>
          <w:tcPr>
            <w:tcW w:w="1029" w:type="pct"/>
            <w:tcBorders>
              <w:top w:val="nil"/>
              <w:left w:val="nil"/>
              <w:bottom w:val="single" w:sz="8" w:space="0" w:color="4F81BD"/>
              <w:right w:val="single" w:sz="8" w:space="0" w:color="4F81BD"/>
            </w:tcBorders>
            <w:shd w:val="clear" w:color="auto" w:fill="auto"/>
            <w:noWrap/>
            <w:vAlign w:val="center"/>
            <w:hideMark/>
          </w:tcPr>
          <w:p w14:paraId="67B3F4D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USD </w:t>
            </w:r>
          </w:p>
        </w:tc>
        <w:tc>
          <w:tcPr>
            <w:tcW w:w="560" w:type="pct"/>
            <w:tcBorders>
              <w:top w:val="nil"/>
              <w:left w:val="nil"/>
              <w:bottom w:val="single" w:sz="8" w:space="0" w:color="4F81BD"/>
              <w:right w:val="single" w:sz="8" w:space="0" w:color="4F81BD"/>
            </w:tcBorders>
            <w:shd w:val="clear" w:color="auto" w:fill="auto"/>
            <w:noWrap/>
            <w:vAlign w:val="center"/>
            <w:hideMark/>
          </w:tcPr>
          <w:p w14:paraId="7DC43A9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6C096B7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406C39DA"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12F42BA7"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3C3B55C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B5657E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42308F" w:rsidRPr="00677AB0" w14:paraId="17B7672A" w14:textId="77777777" w:rsidTr="0042308F">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20FC83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USD_3</w:t>
            </w:r>
          </w:p>
        </w:tc>
        <w:tc>
          <w:tcPr>
            <w:tcW w:w="1029" w:type="pct"/>
            <w:tcBorders>
              <w:top w:val="nil"/>
              <w:left w:val="nil"/>
              <w:bottom w:val="single" w:sz="8" w:space="0" w:color="4F81BD"/>
              <w:right w:val="single" w:sz="8" w:space="0" w:color="4F81BD"/>
            </w:tcBorders>
            <w:shd w:val="clear" w:color="auto" w:fill="auto"/>
            <w:noWrap/>
            <w:vAlign w:val="center"/>
            <w:hideMark/>
          </w:tcPr>
          <w:p w14:paraId="32801D4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EUR </w:t>
            </w:r>
          </w:p>
        </w:tc>
        <w:tc>
          <w:tcPr>
            <w:tcW w:w="560" w:type="pct"/>
            <w:tcBorders>
              <w:top w:val="nil"/>
              <w:left w:val="nil"/>
              <w:bottom w:val="single" w:sz="8" w:space="0" w:color="4F81BD"/>
              <w:right w:val="single" w:sz="8" w:space="0" w:color="4F81BD"/>
            </w:tcBorders>
            <w:shd w:val="clear" w:color="auto" w:fill="auto"/>
            <w:noWrap/>
            <w:vAlign w:val="center"/>
            <w:hideMark/>
          </w:tcPr>
          <w:p w14:paraId="77F0E578"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6FA01CE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6C81FB45"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5191842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56885A6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80234F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42308F" w:rsidRPr="00677AB0" w14:paraId="5DE40A62" w14:textId="77777777" w:rsidTr="0042308F">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1FD71E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USD_4</w:t>
            </w:r>
          </w:p>
        </w:tc>
        <w:tc>
          <w:tcPr>
            <w:tcW w:w="1029" w:type="pct"/>
            <w:tcBorders>
              <w:top w:val="nil"/>
              <w:left w:val="nil"/>
              <w:bottom w:val="single" w:sz="8" w:space="0" w:color="4F81BD"/>
              <w:right w:val="single" w:sz="8" w:space="0" w:color="4F81BD"/>
            </w:tcBorders>
            <w:shd w:val="clear" w:color="auto" w:fill="auto"/>
            <w:noWrap/>
            <w:vAlign w:val="center"/>
            <w:hideMark/>
          </w:tcPr>
          <w:p w14:paraId="230774E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USD </w:t>
            </w:r>
          </w:p>
        </w:tc>
        <w:tc>
          <w:tcPr>
            <w:tcW w:w="560" w:type="pct"/>
            <w:tcBorders>
              <w:top w:val="nil"/>
              <w:left w:val="nil"/>
              <w:bottom w:val="single" w:sz="8" w:space="0" w:color="4F81BD"/>
              <w:right w:val="single" w:sz="8" w:space="0" w:color="4F81BD"/>
            </w:tcBorders>
            <w:shd w:val="clear" w:color="auto" w:fill="auto"/>
            <w:noWrap/>
            <w:vAlign w:val="center"/>
            <w:hideMark/>
          </w:tcPr>
          <w:p w14:paraId="701B73A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6830323E"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1C04627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18</w:t>
            </w:r>
          </w:p>
        </w:tc>
        <w:tc>
          <w:tcPr>
            <w:tcW w:w="536" w:type="pct"/>
            <w:tcBorders>
              <w:top w:val="nil"/>
              <w:left w:val="nil"/>
              <w:bottom w:val="single" w:sz="8" w:space="0" w:color="4F81BD"/>
              <w:right w:val="single" w:sz="8" w:space="0" w:color="4F81BD"/>
            </w:tcBorders>
            <w:shd w:val="clear" w:color="auto" w:fill="auto"/>
            <w:noWrap/>
            <w:vAlign w:val="center"/>
            <w:hideMark/>
          </w:tcPr>
          <w:p w14:paraId="6F4174C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3D2A9797"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260661D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42308F" w:rsidRPr="00677AB0" w14:paraId="6A0F0A1D" w14:textId="77777777" w:rsidTr="0042308F">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06F41E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USD_5</w:t>
            </w:r>
          </w:p>
        </w:tc>
        <w:tc>
          <w:tcPr>
            <w:tcW w:w="1029" w:type="pct"/>
            <w:tcBorders>
              <w:top w:val="nil"/>
              <w:left w:val="nil"/>
              <w:bottom w:val="single" w:sz="8" w:space="0" w:color="4F81BD"/>
              <w:right w:val="single" w:sz="8" w:space="0" w:color="4F81BD"/>
            </w:tcBorders>
            <w:shd w:val="clear" w:color="auto" w:fill="auto"/>
            <w:noWrap/>
            <w:vAlign w:val="center"/>
            <w:hideMark/>
          </w:tcPr>
          <w:p w14:paraId="1740B8E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Koncesionalni EUR </w:t>
            </w:r>
          </w:p>
        </w:tc>
        <w:tc>
          <w:tcPr>
            <w:tcW w:w="560" w:type="pct"/>
            <w:tcBorders>
              <w:top w:val="nil"/>
              <w:left w:val="nil"/>
              <w:bottom w:val="single" w:sz="8" w:space="0" w:color="4F81BD"/>
              <w:right w:val="single" w:sz="8" w:space="0" w:color="4F81BD"/>
            </w:tcBorders>
            <w:shd w:val="clear" w:color="auto" w:fill="auto"/>
            <w:noWrap/>
            <w:vAlign w:val="center"/>
            <w:hideMark/>
          </w:tcPr>
          <w:p w14:paraId="29032CC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79DA59A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48AD9FA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47D290A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7403247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379BAB7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42308F" w:rsidRPr="00677AB0" w14:paraId="6703B0D2" w14:textId="77777777" w:rsidTr="0042308F">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5E03F8B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USD_6</w:t>
            </w:r>
          </w:p>
        </w:tc>
        <w:tc>
          <w:tcPr>
            <w:tcW w:w="1029" w:type="pct"/>
            <w:tcBorders>
              <w:top w:val="nil"/>
              <w:left w:val="nil"/>
              <w:bottom w:val="single" w:sz="8" w:space="0" w:color="4F81BD"/>
              <w:right w:val="single" w:sz="8" w:space="0" w:color="4F81BD"/>
            </w:tcBorders>
            <w:shd w:val="clear" w:color="auto" w:fill="auto"/>
            <w:noWrap/>
            <w:vAlign w:val="center"/>
            <w:hideMark/>
          </w:tcPr>
          <w:p w14:paraId="596959D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IMF EFF USD </w:t>
            </w:r>
          </w:p>
        </w:tc>
        <w:tc>
          <w:tcPr>
            <w:tcW w:w="560" w:type="pct"/>
            <w:tcBorders>
              <w:top w:val="nil"/>
              <w:left w:val="nil"/>
              <w:bottom w:val="single" w:sz="8" w:space="0" w:color="4F81BD"/>
              <w:right w:val="single" w:sz="8" w:space="0" w:color="4F81BD"/>
            </w:tcBorders>
            <w:shd w:val="clear" w:color="auto" w:fill="auto"/>
            <w:noWrap/>
            <w:vAlign w:val="center"/>
            <w:hideMark/>
          </w:tcPr>
          <w:p w14:paraId="39A7C93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74DF53D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369F570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19DAD38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7AF0D087"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037CD4F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42308F" w:rsidRPr="00677AB0" w14:paraId="7610A4E9" w14:textId="77777777" w:rsidTr="0042308F">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3A34A0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USD_7</w:t>
            </w:r>
          </w:p>
        </w:tc>
        <w:tc>
          <w:tcPr>
            <w:tcW w:w="1029" w:type="pct"/>
            <w:tcBorders>
              <w:top w:val="nil"/>
              <w:left w:val="nil"/>
              <w:bottom w:val="single" w:sz="8" w:space="0" w:color="4F81BD"/>
              <w:right w:val="single" w:sz="8" w:space="0" w:color="4F81BD"/>
            </w:tcBorders>
            <w:shd w:val="clear" w:color="auto" w:fill="auto"/>
            <w:noWrap/>
            <w:vAlign w:val="center"/>
            <w:hideMark/>
          </w:tcPr>
          <w:p w14:paraId="7A5A901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IMF RFI USD</w:t>
            </w:r>
          </w:p>
        </w:tc>
        <w:tc>
          <w:tcPr>
            <w:tcW w:w="560" w:type="pct"/>
            <w:tcBorders>
              <w:top w:val="nil"/>
              <w:left w:val="nil"/>
              <w:bottom w:val="single" w:sz="8" w:space="0" w:color="4F81BD"/>
              <w:right w:val="single" w:sz="8" w:space="0" w:color="4F81BD"/>
            </w:tcBorders>
            <w:shd w:val="clear" w:color="auto" w:fill="auto"/>
            <w:noWrap/>
            <w:vAlign w:val="center"/>
            <w:hideMark/>
          </w:tcPr>
          <w:p w14:paraId="7F56444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2B8733B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7CD6A83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51FF8E6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5406282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0B3E74B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42308F" w:rsidRPr="00677AB0" w14:paraId="5943D6D1" w14:textId="77777777" w:rsidTr="0042308F">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793785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BAM_9</w:t>
            </w:r>
          </w:p>
        </w:tc>
        <w:tc>
          <w:tcPr>
            <w:tcW w:w="1029" w:type="pct"/>
            <w:tcBorders>
              <w:top w:val="nil"/>
              <w:left w:val="nil"/>
              <w:bottom w:val="single" w:sz="8" w:space="0" w:color="4F81BD"/>
              <w:right w:val="single" w:sz="8" w:space="0" w:color="4F81BD"/>
            </w:tcBorders>
            <w:shd w:val="clear" w:color="auto" w:fill="auto"/>
            <w:noWrap/>
            <w:vAlign w:val="center"/>
            <w:hideMark/>
          </w:tcPr>
          <w:p w14:paraId="6F7C07C1"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T zapis </w:t>
            </w:r>
          </w:p>
        </w:tc>
        <w:tc>
          <w:tcPr>
            <w:tcW w:w="560" w:type="pct"/>
            <w:tcBorders>
              <w:top w:val="nil"/>
              <w:left w:val="nil"/>
              <w:bottom w:val="single" w:sz="8" w:space="0" w:color="4F81BD"/>
              <w:right w:val="single" w:sz="8" w:space="0" w:color="4F81BD"/>
            </w:tcBorders>
            <w:shd w:val="clear" w:color="auto" w:fill="auto"/>
            <w:noWrap/>
            <w:vAlign w:val="center"/>
            <w:hideMark/>
          </w:tcPr>
          <w:p w14:paraId="04425DD8"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0116DC2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6508458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w:t>
            </w:r>
          </w:p>
        </w:tc>
        <w:tc>
          <w:tcPr>
            <w:tcW w:w="536" w:type="pct"/>
            <w:tcBorders>
              <w:top w:val="nil"/>
              <w:left w:val="nil"/>
              <w:bottom w:val="single" w:sz="8" w:space="0" w:color="4F81BD"/>
              <w:right w:val="single" w:sz="8" w:space="0" w:color="4F81BD"/>
            </w:tcBorders>
            <w:shd w:val="clear" w:color="auto" w:fill="auto"/>
            <w:noWrap/>
            <w:vAlign w:val="center"/>
            <w:hideMark/>
          </w:tcPr>
          <w:p w14:paraId="095FBD2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0</w:t>
            </w:r>
          </w:p>
        </w:tc>
        <w:tc>
          <w:tcPr>
            <w:tcW w:w="536" w:type="pct"/>
            <w:tcBorders>
              <w:top w:val="nil"/>
              <w:left w:val="nil"/>
              <w:bottom w:val="single" w:sz="8" w:space="0" w:color="4F81BD"/>
              <w:right w:val="single" w:sz="8" w:space="0" w:color="4F81BD"/>
            </w:tcBorders>
            <w:shd w:val="clear" w:color="auto" w:fill="auto"/>
            <w:noWrap/>
            <w:vAlign w:val="center"/>
            <w:hideMark/>
          </w:tcPr>
          <w:p w14:paraId="38E7A10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2919AE6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42308F" w:rsidRPr="00677AB0" w14:paraId="295A1B2E" w14:textId="77777777" w:rsidTr="0042308F">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A94FB6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BAM_11</w:t>
            </w:r>
          </w:p>
        </w:tc>
        <w:tc>
          <w:tcPr>
            <w:tcW w:w="1029" w:type="pct"/>
            <w:tcBorders>
              <w:top w:val="nil"/>
              <w:left w:val="nil"/>
              <w:bottom w:val="single" w:sz="8" w:space="0" w:color="4F81BD"/>
              <w:right w:val="single" w:sz="8" w:space="0" w:color="4F81BD"/>
            </w:tcBorders>
            <w:shd w:val="clear" w:color="auto" w:fill="auto"/>
            <w:noWrap/>
            <w:vAlign w:val="center"/>
            <w:hideMark/>
          </w:tcPr>
          <w:p w14:paraId="607C577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2-3y T obveznica </w:t>
            </w:r>
          </w:p>
        </w:tc>
        <w:tc>
          <w:tcPr>
            <w:tcW w:w="560" w:type="pct"/>
            <w:tcBorders>
              <w:top w:val="nil"/>
              <w:left w:val="nil"/>
              <w:bottom w:val="single" w:sz="8" w:space="0" w:color="4F81BD"/>
              <w:right w:val="single" w:sz="8" w:space="0" w:color="4F81BD"/>
            </w:tcBorders>
            <w:shd w:val="clear" w:color="auto" w:fill="auto"/>
            <w:noWrap/>
            <w:vAlign w:val="center"/>
            <w:hideMark/>
          </w:tcPr>
          <w:p w14:paraId="1D35001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15508C15"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4E1AB76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71FBBA78"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2</w:t>
            </w:r>
          </w:p>
        </w:tc>
        <w:tc>
          <w:tcPr>
            <w:tcW w:w="536" w:type="pct"/>
            <w:tcBorders>
              <w:top w:val="nil"/>
              <w:left w:val="nil"/>
              <w:bottom w:val="single" w:sz="8" w:space="0" w:color="4F81BD"/>
              <w:right w:val="single" w:sz="8" w:space="0" w:color="4F81BD"/>
            </w:tcBorders>
            <w:shd w:val="clear" w:color="auto" w:fill="auto"/>
            <w:noWrap/>
            <w:vAlign w:val="center"/>
            <w:hideMark/>
          </w:tcPr>
          <w:p w14:paraId="612D80A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29AE936A"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42308F" w:rsidRPr="00677AB0" w14:paraId="787E5A17" w14:textId="77777777" w:rsidTr="0042308F">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0D18D1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BAM_12</w:t>
            </w:r>
          </w:p>
        </w:tc>
        <w:tc>
          <w:tcPr>
            <w:tcW w:w="1029" w:type="pct"/>
            <w:tcBorders>
              <w:top w:val="nil"/>
              <w:left w:val="nil"/>
              <w:bottom w:val="single" w:sz="8" w:space="0" w:color="4F81BD"/>
              <w:right w:val="single" w:sz="8" w:space="0" w:color="4F81BD"/>
            </w:tcBorders>
            <w:shd w:val="clear" w:color="auto" w:fill="auto"/>
            <w:noWrap/>
            <w:vAlign w:val="center"/>
            <w:hideMark/>
          </w:tcPr>
          <w:p w14:paraId="021EECA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 xml:space="preserve">5-7y T obveznica </w:t>
            </w:r>
          </w:p>
        </w:tc>
        <w:tc>
          <w:tcPr>
            <w:tcW w:w="560" w:type="pct"/>
            <w:tcBorders>
              <w:top w:val="nil"/>
              <w:left w:val="nil"/>
              <w:bottom w:val="single" w:sz="8" w:space="0" w:color="4F81BD"/>
              <w:right w:val="single" w:sz="8" w:space="0" w:color="4F81BD"/>
            </w:tcBorders>
            <w:shd w:val="clear" w:color="auto" w:fill="auto"/>
            <w:noWrap/>
            <w:vAlign w:val="center"/>
            <w:hideMark/>
          </w:tcPr>
          <w:p w14:paraId="776A4E3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44851A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2570B2D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6F8A50D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284BA39E"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78D0ACB3"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42308F" w:rsidRPr="00677AB0" w14:paraId="24FA1028" w14:textId="77777777" w:rsidTr="0042308F">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253295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BAM_16</w:t>
            </w:r>
          </w:p>
        </w:tc>
        <w:tc>
          <w:tcPr>
            <w:tcW w:w="1029" w:type="pct"/>
            <w:tcBorders>
              <w:top w:val="nil"/>
              <w:left w:val="nil"/>
              <w:bottom w:val="single" w:sz="8" w:space="0" w:color="4F81BD"/>
              <w:right w:val="single" w:sz="8" w:space="0" w:color="4F81BD"/>
            </w:tcBorders>
            <w:shd w:val="clear" w:color="auto" w:fill="auto"/>
            <w:noWrap/>
            <w:vAlign w:val="center"/>
            <w:hideMark/>
          </w:tcPr>
          <w:p w14:paraId="6B664B6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10y T obveznica</w:t>
            </w:r>
          </w:p>
        </w:tc>
        <w:tc>
          <w:tcPr>
            <w:tcW w:w="560" w:type="pct"/>
            <w:tcBorders>
              <w:top w:val="nil"/>
              <w:left w:val="nil"/>
              <w:bottom w:val="single" w:sz="8" w:space="0" w:color="4F81BD"/>
              <w:right w:val="single" w:sz="8" w:space="0" w:color="4F81BD"/>
            </w:tcBorders>
            <w:shd w:val="clear" w:color="auto" w:fill="auto"/>
            <w:noWrap/>
            <w:vAlign w:val="center"/>
            <w:hideMark/>
          </w:tcPr>
          <w:p w14:paraId="4E682D0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0D94216A"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06D2980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581E368E"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1A1FB76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4DCBF81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42308F" w:rsidRPr="00677AB0" w14:paraId="5C7E0828" w14:textId="77777777" w:rsidTr="0042308F">
        <w:trPr>
          <w:trHeight w:val="420"/>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84A9B0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lastRenderedPageBreak/>
              <w:t>BAM_17</w:t>
            </w:r>
          </w:p>
        </w:tc>
        <w:tc>
          <w:tcPr>
            <w:tcW w:w="1029" w:type="pct"/>
            <w:tcBorders>
              <w:top w:val="nil"/>
              <w:left w:val="nil"/>
              <w:bottom w:val="single" w:sz="8" w:space="0" w:color="4F81BD"/>
              <w:right w:val="single" w:sz="8" w:space="0" w:color="4F81BD"/>
            </w:tcBorders>
            <w:shd w:val="clear" w:color="auto" w:fill="auto"/>
            <w:noWrap/>
            <w:vAlign w:val="center"/>
            <w:hideMark/>
          </w:tcPr>
          <w:p w14:paraId="512A6D3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15y T obveznica</w:t>
            </w:r>
          </w:p>
        </w:tc>
        <w:tc>
          <w:tcPr>
            <w:tcW w:w="560" w:type="pct"/>
            <w:tcBorders>
              <w:top w:val="nil"/>
              <w:left w:val="nil"/>
              <w:bottom w:val="single" w:sz="8" w:space="0" w:color="4F81BD"/>
              <w:right w:val="single" w:sz="8" w:space="0" w:color="4F81BD"/>
            </w:tcBorders>
            <w:shd w:val="clear" w:color="auto" w:fill="auto"/>
            <w:noWrap/>
            <w:vAlign w:val="center"/>
            <w:hideMark/>
          </w:tcPr>
          <w:p w14:paraId="63AC41E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6269F95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16903D9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3697139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5CD80E07"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679F11E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42308F" w:rsidRPr="00677AB0" w14:paraId="21305D8A" w14:textId="77777777" w:rsidTr="0042308F">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6A0BC67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USD_8</w:t>
            </w:r>
          </w:p>
        </w:tc>
        <w:tc>
          <w:tcPr>
            <w:tcW w:w="1029" w:type="pct"/>
            <w:tcBorders>
              <w:top w:val="nil"/>
              <w:left w:val="nil"/>
              <w:bottom w:val="single" w:sz="8" w:space="0" w:color="4F81BD"/>
              <w:right w:val="single" w:sz="8" w:space="0" w:color="4F81BD"/>
            </w:tcBorders>
            <w:shd w:val="clear" w:color="auto" w:fill="auto"/>
            <w:noWrap/>
            <w:vAlign w:val="center"/>
            <w:hideMark/>
          </w:tcPr>
          <w:p w14:paraId="60C8A3B5"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5y Eurobond</w:t>
            </w:r>
          </w:p>
        </w:tc>
        <w:tc>
          <w:tcPr>
            <w:tcW w:w="560" w:type="pct"/>
            <w:tcBorders>
              <w:top w:val="nil"/>
              <w:left w:val="nil"/>
              <w:bottom w:val="single" w:sz="8" w:space="0" w:color="4F81BD"/>
              <w:right w:val="single" w:sz="8" w:space="0" w:color="4F81BD"/>
            </w:tcBorders>
            <w:shd w:val="clear" w:color="auto" w:fill="auto"/>
            <w:noWrap/>
            <w:vAlign w:val="center"/>
            <w:hideMark/>
          </w:tcPr>
          <w:p w14:paraId="0C3D3B9C"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242495E2"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2A96BA2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736FFC5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2A31CE09"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53B9FD1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42308F" w:rsidRPr="00677AB0" w14:paraId="6903DBBB" w14:textId="77777777" w:rsidTr="0042308F">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5781315A"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USD_18</w:t>
            </w:r>
          </w:p>
        </w:tc>
        <w:tc>
          <w:tcPr>
            <w:tcW w:w="1029" w:type="pct"/>
            <w:tcBorders>
              <w:top w:val="nil"/>
              <w:left w:val="nil"/>
              <w:bottom w:val="single" w:sz="8" w:space="0" w:color="4F81BD"/>
              <w:right w:val="single" w:sz="8" w:space="0" w:color="4F81BD"/>
            </w:tcBorders>
            <w:shd w:val="clear" w:color="auto" w:fill="auto"/>
            <w:noWrap/>
            <w:vAlign w:val="center"/>
            <w:hideMark/>
          </w:tcPr>
          <w:p w14:paraId="124F28B5"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10Y Eurobond</w:t>
            </w:r>
          </w:p>
        </w:tc>
        <w:tc>
          <w:tcPr>
            <w:tcW w:w="560" w:type="pct"/>
            <w:tcBorders>
              <w:top w:val="nil"/>
              <w:left w:val="nil"/>
              <w:bottom w:val="single" w:sz="8" w:space="0" w:color="4F81BD"/>
              <w:right w:val="single" w:sz="8" w:space="0" w:color="4F81BD"/>
            </w:tcBorders>
            <w:shd w:val="clear" w:color="auto" w:fill="auto"/>
            <w:noWrap/>
            <w:vAlign w:val="center"/>
            <w:hideMark/>
          </w:tcPr>
          <w:p w14:paraId="01D9678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0C6522E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1EF8934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4136940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65D89BB4"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1DA2680"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42308F" w:rsidRPr="00677AB0" w14:paraId="28102763" w14:textId="77777777" w:rsidTr="0042308F">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54118FF7"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USD_19</w:t>
            </w:r>
          </w:p>
        </w:tc>
        <w:tc>
          <w:tcPr>
            <w:tcW w:w="1029" w:type="pct"/>
            <w:tcBorders>
              <w:top w:val="nil"/>
              <w:left w:val="nil"/>
              <w:bottom w:val="single" w:sz="8" w:space="0" w:color="4F81BD"/>
              <w:right w:val="single" w:sz="8" w:space="0" w:color="4F81BD"/>
            </w:tcBorders>
            <w:shd w:val="clear" w:color="auto" w:fill="auto"/>
            <w:noWrap/>
            <w:vAlign w:val="center"/>
            <w:hideMark/>
          </w:tcPr>
          <w:p w14:paraId="40CCDA4F"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15Y Eurobond</w:t>
            </w:r>
          </w:p>
        </w:tc>
        <w:tc>
          <w:tcPr>
            <w:tcW w:w="560" w:type="pct"/>
            <w:tcBorders>
              <w:top w:val="nil"/>
              <w:left w:val="nil"/>
              <w:bottom w:val="single" w:sz="8" w:space="0" w:color="4F81BD"/>
              <w:right w:val="single" w:sz="8" w:space="0" w:color="4F81BD"/>
            </w:tcBorders>
            <w:shd w:val="clear" w:color="auto" w:fill="auto"/>
            <w:noWrap/>
            <w:vAlign w:val="center"/>
            <w:hideMark/>
          </w:tcPr>
          <w:p w14:paraId="0DDFF1E7"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634FDF4B"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0A3618D1"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5862B1DD"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5D4E3E01"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DAD9A96" w14:textId="77777777" w:rsidR="0042308F" w:rsidRPr="00677AB0" w:rsidRDefault="0042308F" w:rsidP="001967B2">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bl>
    <w:p w14:paraId="0EC3D1F7" w14:textId="77777777" w:rsidR="0042308F" w:rsidRPr="00677AB0" w:rsidRDefault="0042308F" w:rsidP="0042308F">
      <w:pPr>
        <w:spacing w:after="0" w:line="240" w:lineRule="auto"/>
        <w:jc w:val="both"/>
        <w:rPr>
          <w:rFonts w:ascii="Arial" w:hAnsi="Arial" w:cs="Arial"/>
          <w:szCs w:val="24"/>
        </w:rPr>
      </w:pPr>
    </w:p>
    <w:p w14:paraId="77629F84" w14:textId="55A128DD" w:rsidR="00CE7F67" w:rsidRDefault="00CE7F67">
      <w:pPr>
        <w:spacing w:after="160" w:line="259" w:lineRule="auto"/>
        <w:rPr>
          <w:rFonts w:ascii="Arial" w:hAnsi="Arial" w:cs="Arial"/>
          <w:sz w:val="20"/>
        </w:rPr>
      </w:pPr>
    </w:p>
    <w:p w14:paraId="1D8E79B3" w14:textId="77777777" w:rsidR="0042308F" w:rsidRPr="00677AB0" w:rsidRDefault="00153015" w:rsidP="0042308F">
      <w:pPr>
        <w:spacing w:after="0" w:line="240" w:lineRule="auto"/>
        <w:jc w:val="both"/>
        <w:rPr>
          <w:rFonts w:ascii="Arial" w:hAnsi="Arial" w:cs="Arial"/>
          <w:sz w:val="20"/>
        </w:rPr>
      </w:pPr>
      <w:r>
        <w:rPr>
          <w:rFonts w:ascii="Arial" w:hAnsi="Arial" w:cs="Arial"/>
          <w:sz w:val="20"/>
        </w:rPr>
        <w:t>Tablica</w:t>
      </w:r>
      <w:r w:rsidR="0042308F" w:rsidRPr="00677AB0">
        <w:rPr>
          <w:rFonts w:ascii="Arial" w:hAnsi="Arial" w:cs="Arial"/>
          <w:sz w:val="20"/>
        </w:rPr>
        <w:t xml:space="preserve"> 14. </w:t>
      </w:r>
      <w:r w:rsidR="00CE7F67">
        <w:rPr>
          <w:rFonts w:ascii="Arial" w:hAnsi="Arial" w:cs="Arial"/>
          <w:sz w:val="20"/>
        </w:rPr>
        <w:t>Usporedba</w:t>
      </w:r>
      <w:r w:rsidR="0042308F" w:rsidRPr="00677AB0">
        <w:rPr>
          <w:rFonts w:ascii="Arial" w:hAnsi="Arial" w:cs="Arial"/>
          <w:sz w:val="20"/>
        </w:rPr>
        <w:t xml:space="preserve"> trenutnih indikatora rizika </w:t>
      </w:r>
      <w:r w:rsidR="0042308F">
        <w:rPr>
          <w:rFonts w:ascii="Arial" w:hAnsi="Arial" w:cs="Arial"/>
          <w:sz w:val="20"/>
        </w:rPr>
        <w:t>portfelja</w:t>
      </w:r>
      <w:r w:rsidR="0042308F" w:rsidRPr="00677AB0">
        <w:rPr>
          <w:rFonts w:ascii="Arial" w:hAnsi="Arial" w:cs="Arial"/>
          <w:sz w:val="20"/>
        </w:rPr>
        <w:t xml:space="preserve"> duga i rizika strategije</w:t>
      </w:r>
    </w:p>
    <w:tbl>
      <w:tblPr>
        <w:tblW w:w="5000" w:type="pct"/>
        <w:jc w:val="center"/>
        <w:tblLook w:val="04A0" w:firstRow="1" w:lastRow="0" w:firstColumn="1" w:lastColumn="0" w:noHBand="0" w:noVBand="1"/>
      </w:tblPr>
      <w:tblGrid>
        <w:gridCol w:w="1764"/>
        <w:gridCol w:w="3817"/>
        <w:gridCol w:w="1260"/>
        <w:gridCol w:w="1260"/>
        <w:gridCol w:w="949"/>
      </w:tblGrid>
      <w:tr w:rsidR="0042308F" w:rsidRPr="00677AB0" w14:paraId="34BD0812" w14:textId="77777777" w:rsidTr="0042308F">
        <w:trPr>
          <w:trHeight w:val="345"/>
          <w:jc w:val="center"/>
        </w:trPr>
        <w:tc>
          <w:tcPr>
            <w:tcW w:w="3083" w:type="pct"/>
            <w:gridSpan w:val="2"/>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14:paraId="7DDF8D7C"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Indikatori rizika</w:t>
            </w:r>
          </w:p>
        </w:tc>
        <w:tc>
          <w:tcPr>
            <w:tcW w:w="1917" w:type="pct"/>
            <w:gridSpan w:val="3"/>
            <w:tcBorders>
              <w:top w:val="single" w:sz="8" w:space="0" w:color="4F81BD"/>
              <w:left w:val="nil"/>
              <w:bottom w:val="single" w:sz="8" w:space="0" w:color="4F81BD"/>
              <w:right w:val="single" w:sz="8" w:space="0" w:color="4F81BD"/>
            </w:tcBorders>
            <w:shd w:val="clear" w:color="auto" w:fill="auto"/>
            <w:vAlign w:val="center"/>
            <w:hideMark/>
          </w:tcPr>
          <w:p w14:paraId="0443B680" w14:textId="77777777" w:rsidR="0042308F" w:rsidRPr="00677AB0" w:rsidRDefault="0042308F" w:rsidP="001967B2">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Portfelj</w:t>
            </w:r>
            <w:r w:rsidRPr="00677AB0">
              <w:rPr>
                <w:rFonts w:ascii="Arial Narrow" w:eastAsia="Times New Roman" w:hAnsi="Arial Narrow" w:cs="Calibri"/>
                <w:color w:val="000000"/>
              </w:rPr>
              <w:t xml:space="preserve"> duga</w:t>
            </w:r>
          </w:p>
        </w:tc>
      </w:tr>
      <w:tr w:rsidR="0042308F" w:rsidRPr="00677AB0" w14:paraId="7D60C158" w14:textId="77777777" w:rsidTr="0042308F">
        <w:trPr>
          <w:trHeight w:val="675"/>
          <w:jc w:val="center"/>
        </w:trPr>
        <w:tc>
          <w:tcPr>
            <w:tcW w:w="3083" w:type="pct"/>
            <w:gridSpan w:val="2"/>
            <w:vMerge/>
            <w:tcBorders>
              <w:top w:val="single" w:sz="8" w:space="0" w:color="4F81BD"/>
              <w:left w:val="single" w:sz="8" w:space="0" w:color="4F81BD"/>
              <w:bottom w:val="single" w:sz="8" w:space="0" w:color="4F81BD"/>
              <w:right w:val="single" w:sz="8" w:space="0" w:color="4F81BD"/>
            </w:tcBorders>
            <w:vAlign w:val="center"/>
            <w:hideMark/>
          </w:tcPr>
          <w:p w14:paraId="52EB5D86" w14:textId="77777777" w:rsidR="0042308F" w:rsidRPr="00677AB0" w:rsidRDefault="0042308F" w:rsidP="001967B2">
            <w:pPr>
              <w:spacing w:after="0" w:line="240" w:lineRule="auto"/>
              <w:rPr>
                <w:rFonts w:ascii="Arial Narrow" w:eastAsia="Times New Roman" w:hAnsi="Arial Narrow" w:cs="Calibri"/>
                <w:color w:val="000000"/>
              </w:rPr>
            </w:pPr>
          </w:p>
        </w:tc>
        <w:tc>
          <w:tcPr>
            <w:tcW w:w="69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A6FC65B"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2022. godina</w:t>
            </w:r>
          </w:p>
        </w:tc>
        <w:tc>
          <w:tcPr>
            <w:tcW w:w="69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1D196162"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2023. godina</w:t>
            </w:r>
          </w:p>
        </w:tc>
        <w:tc>
          <w:tcPr>
            <w:tcW w:w="524" w:type="pct"/>
            <w:tcBorders>
              <w:top w:val="nil"/>
              <w:left w:val="nil"/>
              <w:bottom w:val="single" w:sz="8" w:space="0" w:color="4F81BD"/>
              <w:right w:val="single" w:sz="8" w:space="0" w:color="4F81BD"/>
            </w:tcBorders>
            <w:shd w:val="clear" w:color="auto" w:fill="auto"/>
            <w:vAlign w:val="center"/>
            <w:hideMark/>
          </w:tcPr>
          <w:p w14:paraId="71B9BBA6"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Izabrana strategija (S1)</w:t>
            </w:r>
          </w:p>
        </w:tc>
      </w:tr>
      <w:tr w:rsidR="0042308F" w:rsidRPr="00677AB0" w14:paraId="31CA220E" w14:textId="77777777" w:rsidTr="0042308F">
        <w:trPr>
          <w:trHeight w:val="675"/>
          <w:jc w:val="center"/>
        </w:trPr>
        <w:tc>
          <w:tcPr>
            <w:tcW w:w="3083" w:type="pct"/>
            <w:gridSpan w:val="2"/>
            <w:vMerge/>
            <w:tcBorders>
              <w:top w:val="single" w:sz="8" w:space="0" w:color="4F81BD"/>
              <w:left w:val="single" w:sz="8" w:space="0" w:color="4F81BD"/>
              <w:bottom w:val="single" w:sz="8" w:space="0" w:color="4F81BD"/>
              <w:right w:val="single" w:sz="8" w:space="0" w:color="4F81BD"/>
            </w:tcBorders>
            <w:vAlign w:val="center"/>
            <w:hideMark/>
          </w:tcPr>
          <w:p w14:paraId="03E6387F" w14:textId="77777777" w:rsidR="0042308F" w:rsidRPr="00677AB0" w:rsidRDefault="0042308F" w:rsidP="001967B2">
            <w:pPr>
              <w:spacing w:after="0" w:line="240" w:lineRule="auto"/>
              <w:rPr>
                <w:rFonts w:ascii="Arial Narrow" w:eastAsia="Times New Roman" w:hAnsi="Arial Narrow" w:cs="Calibri"/>
                <w:color w:val="000000"/>
              </w:rPr>
            </w:pPr>
          </w:p>
        </w:tc>
        <w:tc>
          <w:tcPr>
            <w:tcW w:w="696" w:type="pct"/>
            <w:vMerge/>
            <w:tcBorders>
              <w:top w:val="nil"/>
              <w:left w:val="single" w:sz="8" w:space="0" w:color="4F81BD"/>
              <w:bottom w:val="single" w:sz="8" w:space="0" w:color="4F81BD"/>
              <w:right w:val="single" w:sz="8" w:space="0" w:color="4F81BD"/>
            </w:tcBorders>
            <w:vAlign w:val="center"/>
            <w:hideMark/>
          </w:tcPr>
          <w:p w14:paraId="3212066D" w14:textId="77777777" w:rsidR="0042308F" w:rsidRPr="00677AB0" w:rsidRDefault="0042308F" w:rsidP="001967B2">
            <w:pPr>
              <w:spacing w:after="0" w:line="240" w:lineRule="auto"/>
              <w:rPr>
                <w:rFonts w:ascii="Arial Narrow" w:eastAsia="Times New Roman" w:hAnsi="Arial Narrow" w:cs="Calibri"/>
                <w:color w:val="000000"/>
              </w:rPr>
            </w:pPr>
          </w:p>
        </w:tc>
        <w:tc>
          <w:tcPr>
            <w:tcW w:w="696" w:type="pct"/>
            <w:vMerge/>
            <w:tcBorders>
              <w:top w:val="nil"/>
              <w:left w:val="single" w:sz="8" w:space="0" w:color="4F81BD"/>
              <w:bottom w:val="single" w:sz="8" w:space="0" w:color="4F81BD"/>
              <w:right w:val="single" w:sz="8" w:space="0" w:color="4F81BD"/>
            </w:tcBorders>
            <w:vAlign w:val="center"/>
            <w:hideMark/>
          </w:tcPr>
          <w:p w14:paraId="788D5677" w14:textId="77777777" w:rsidR="0042308F" w:rsidRPr="00677AB0" w:rsidRDefault="0042308F" w:rsidP="001967B2">
            <w:pPr>
              <w:spacing w:after="0" w:line="240" w:lineRule="auto"/>
              <w:rPr>
                <w:rFonts w:ascii="Arial Narrow" w:eastAsia="Times New Roman" w:hAnsi="Arial Narrow" w:cs="Calibri"/>
                <w:color w:val="000000"/>
              </w:rPr>
            </w:pPr>
          </w:p>
        </w:tc>
        <w:tc>
          <w:tcPr>
            <w:tcW w:w="524" w:type="pct"/>
            <w:tcBorders>
              <w:top w:val="nil"/>
              <w:left w:val="nil"/>
              <w:bottom w:val="single" w:sz="8" w:space="0" w:color="4F81BD"/>
              <w:right w:val="single" w:sz="8" w:space="0" w:color="4F81BD"/>
            </w:tcBorders>
            <w:shd w:val="clear" w:color="auto" w:fill="auto"/>
            <w:vAlign w:val="center"/>
            <w:hideMark/>
          </w:tcPr>
          <w:p w14:paraId="613B0F63"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sz w:val="20"/>
                <w:szCs w:val="20"/>
              </w:rPr>
              <w:t>kraj 2026. godine</w:t>
            </w:r>
          </w:p>
        </w:tc>
      </w:tr>
      <w:tr w:rsidR="0042308F" w:rsidRPr="00677AB0" w14:paraId="0912D8BB" w14:textId="77777777" w:rsidTr="0042308F">
        <w:trPr>
          <w:trHeight w:val="330"/>
          <w:jc w:val="center"/>
        </w:trPr>
        <w:tc>
          <w:tcPr>
            <w:tcW w:w="3083" w:type="pct"/>
            <w:gridSpan w:val="2"/>
            <w:tcBorders>
              <w:top w:val="single" w:sz="8" w:space="0" w:color="4F81BD"/>
              <w:left w:val="single" w:sz="8" w:space="0" w:color="4F81BD"/>
              <w:bottom w:val="nil"/>
              <w:right w:val="single" w:sz="8" w:space="0" w:color="4F81BD"/>
            </w:tcBorders>
            <w:shd w:val="clear" w:color="auto" w:fill="auto"/>
            <w:noWrap/>
            <w:vAlign w:val="center"/>
            <w:hideMark/>
          </w:tcPr>
          <w:p w14:paraId="32894BCD"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Nominalni dug (%  BDP-a)</w:t>
            </w:r>
          </w:p>
        </w:tc>
        <w:tc>
          <w:tcPr>
            <w:tcW w:w="696" w:type="pct"/>
            <w:tcBorders>
              <w:top w:val="nil"/>
              <w:left w:val="nil"/>
              <w:bottom w:val="nil"/>
              <w:right w:val="nil"/>
            </w:tcBorders>
            <w:shd w:val="clear" w:color="auto" w:fill="auto"/>
            <w:vAlign w:val="center"/>
            <w:hideMark/>
          </w:tcPr>
          <w:p w14:paraId="582DD3B5"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15,38</w:t>
            </w:r>
          </w:p>
        </w:tc>
        <w:tc>
          <w:tcPr>
            <w:tcW w:w="696" w:type="pct"/>
            <w:tcBorders>
              <w:top w:val="nil"/>
              <w:left w:val="nil"/>
              <w:bottom w:val="nil"/>
              <w:right w:val="nil"/>
            </w:tcBorders>
            <w:shd w:val="clear" w:color="auto" w:fill="auto"/>
            <w:noWrap/>
            <w:vAlign w:val="center"/>
          </w:tcPr>
          <w:p w14:paraId="711FB798"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12,84</w:t>
            </w:r>
          </w:p>
        </w:tc>
        <w:tc>
          <w:tcPr>
            <w:tcW w:w="524" w:type="pct"/>
            <w:tcBorders>
              <w:top w:val="nil"/>
              <w:left w:val="nil"/>
              <w:bottom w:val="nil"/>
              <w:right w:val="single" w:sz="8" w:space="0" w:color="4F81BD"/>
            </w:tcBorders>
            <w:shd w:val="clear" w:color="auto" w:fill="auto"/>
            <w:vAlign w:val="center"/>
          </w:tcPr>
          <w:p w14:paraId="68D3312F"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12,29</w:t>
            </w:r>
          </w:p>
        </w:tc>
      </w:tr>
      <w:tr w:rsidR="0042308F" w:rsidRPr="00677AB0" w14:paraId="5449E42C" w14:textId="77777777" w:rsidTr="0042308F">
        <w:trPr>
          <w:trHeight w:val="330"/>
          <w:jc w:val="center"/>
        </w:trPr>
        <w:tc>
          <w:tcPr>
            <w:tcW w:w="3083" w:type="pct"/>
            <w:gridSpan w:val="2"/>
            <w:tcBorders>
              <w:top w:val="nil"/>
              <w:left w:val="single" w:sz="8" w:space="0" w:color="4F81BD"/>
              <w:bottom w:val="nil"/>
              <w:right w:val="single" w:sz="8" w:space="0" w:color="4F81BD"/>
            </w:tcBorders>
            <w:shd w:val="clear" w:color="auto" w:fill="auto"/>
            <w:noWrap/>
            <w:vAlign w:val="center"/>
            <w:hideMark/>
          </w:tcPr>
          <w:p w14:paraId="33112CB1"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Sadašnja vrijednost (% BDP-a)</w:t>
            </w:r>
          </w:p>
        </w:tc>
        <w:tc>
          <w:tcPr>
            <w:tcW w:w="696" w:type="pct"/>
            <w:tcBorders>
              <w:top w:val="nil"/>
              <w:left w:val="nil"/>
              <w:bottom w:val="nil"/>
              <w:right w:val="nil"/>
            </w:tcBorders>
            <w:shd w:val="clear" w:color="auto" w:fill="auto"/>
            <w:vAlign w:val="center"/>
            <w:hideMark/>
          </w:tcPr>
          <w:p w14:paraId="34EC42F7"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13,16</w:t>
            </w:r>
          </w:p>
        </w:tc>
        <w:tc>
          <w:tcPr>
            <w:tcW w:w="696" w:type="pct"/>
            <w:tcBorders>
              <w:top w:val="nil"/>
              <w:left w:val="nil"/>
              <w:bottom w:val="nil"/>
              <w:right w:val="nil"/>
            </w:tcBorders>
            <w:shd w:val="clear" w:color="auto" w:fill="auto"/>
            <w:noWrap/>
            <w:vAlign w:val="center"/>
          </w:tcPr>
          <w:p w14:paraId="66D1CE34"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11,27</w:t>
            </w:r>
          </w:p>
        </w:tc>
        <w:tc>
          <w:tcPr>
            <w:tcW w:w="524" w:type="pct"/>
            <w:tcBorders>
              <w:top w:val="nil"/>
              <w:left w:val="nil"/>
              <w:bottom w:val="nil"/>
              <w:right w:val="single" w:sz="8" w:space="0" w:color="4F81BD"/>
            </w:tcBorders>
            <w:shd w:val="clear" w:color="auto" w:fill="auto"/>
            <w:vAlign w:val="center"/>
          </w:tcPr>
          <w:p w14:paraId="19E07DE1"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11,08</w:t>
            </w:r>
          </w:p>
        </w:tc>
      </w:tr>
      <w:tr w:rsidR="0042308F" w:rsidRPr="00677AB0" w14:paraId="0F057AFF" w14:textId="77777777" w:rsidTr="0042308F">
        <w:trPr>
          <w:trHeight w:val="345"/>
          <w:jc w:val="center"/>
        </w:trPr>
        <w:tc>
          <w:tcPr>
            <w:tcW w:w="3083" w:type="pct"/>
            <w:gridSpan w:val="2"/>
            <w:tcBorders>
              <w:top w:val="nil"/>
              <w:left w:val="single" w:sz="8" w:space="0" w:color="4F81BD"/>
              <w:bottom w:val="single" w:sz="8" w:space="0" w:color="4F81BD"/>
              <w:right w:val="single" w:sz="8" w:space="0" w:color="4F81BD"/>
            </w:tcBorders>
            <w:shd w:val="clear" w:color="auto" w:fill="auto"/>
            <w:noWrap/>
            <w:vAlign w:val="center"/>
            <w:hideMark/>
          </w:tcPr>
          <w:p w14:paraId="31C3581B" w14:textId="77777777" w:rsidR="0042308F" w:rsidRPr="00677AB0" w:rsidRDefault="00CE7F67"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Ponderirana</w:t>
            </w:r>
            <w:r w:rsidR="0042308F" w:rsidRPr="00677AB0">
              <w:rPr>
                <w:rFonts w:ascii="Arial Narrow" w:eastAsia="Times New Roman" w:hAnsi="Arial Narrow" w:cs="Calibri"/>
                <w:color w:val="000000"/>
              </w:rPr>
              <w:t xml:space="preserve"> prosječna kamata (%)</w:t>
            </w:r>
          </w:p>
        </w:tc>
        <w:tc>
          <w:tcPr>
            <w:tcW w:w="696" w:type="pct"/>
            <w:tcBorders>
              <w:top w:val="nil"/>
              <w:left w:val="nil"/>
              <w:bottom w:val="single" w:sz="8" w:space="0" w:color="4F81BD"/>
              <w:right w:val="nil"/>
            </w:tcBorders>
            <w:shd w:val="clear" w:color="auto" w:fill="auto"/>
            <w:vAlign w:val="center"/>
            <w:hideMark/>
          </w:tcPr>
          <w:p w14:paraId="2E17E1C5"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1,78</w:t>
            </w:r>
          </w:p>
        </w:tc>
        <w:tc>
          <w:tcPr>
            <w:tcW w:w="696" w:type="pct"/>
            <w:tcBorders>
              <w:top w:val="nil"/>
              <w:left w:val="nil"/>
              <w:bottom w:val="single" w:sz="8" w:space="0" w:color="4F81BD"/>
              <w:right w:val="nil"/>
            </w:tcBorders>
            <w:shd w:val="clear" w:color="auto" w:fill="auto"/>
            <w:noWrap/>
            <w:vAlign w:val="center"/>
          </w:tcPr>
          <w:p w14:paraId="653D13DD"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2,86</w:t>
            </w:r>
          </w:p>
        </w:tc>
        <w:tc>
          <w:tcPr>
            <w:tcW w:w="524" w:type="pct"/>
            <w:tcBorders>
              <w:top w:val="nil"/>
              <w:left w:val="nil"/>
              <w:bottom w:val="single" w:sz="8" w:space="0" w:color="4F81BD"/>
              <w:right w:val="single" w:sz="8" w:space="0" w:color="4F81BD"/>
            </w:tcBorders>
            <w:shd w:val="clear" w:color="auto" w:fill="auto"/>
            <w:vAlign w:val="center"/>
          </w:tcPr>
          <w:p w14:paraId="732FE232"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3,78</w:t>
            </w:r>
          </w:p>
        </w:tc>
      </w:tr>
      <w:tr w:rsidR="0042308F" w:rsidRPr="00677AB0" w14:paraId="7EE7B9AC" w14:textId="77777777" w:rsidTr="0042308F">
        <w:trPr>
          <w:trHeight w:val="330"/>
          <w:jc w:val="center"/>
        </w:trPr>
        <w:tc>
          <w:tcPr>
            <w:tcW w:w="97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604C5297"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Rizik re</w:t>
            </w:r>
            <w:r>
              <w:rPr>
                <w:rFonts w:ascii="Arial Narrow" w:eastAsia="Times New Roman" w:hAnsi="Arial Narrow" w:cs="Calibri"/>
                <w:color w:val="000000"/>
              </w:rPr>
              <w:t>financ</w:t>
            </w:r>
            <w:r w:rsidRPr="00677AB0">
              <w:rPr>
                <w:rFonts w:ascii="Arial Narrow" w:eastAsia="Times New Roman" w:hAnsi="Arial Narrow" w:cs="Calibri"/>
                <w:color w:val="000000"/>
              </w:rPr>
              <w:t>iranja</w:t>
            </w:r>
          </w:p>
        </w:tc>
        <w:tc>
          <w:tcPr>
            <w:tcW w:w="2109" w:type="pct"/>
            <w:tcBorders>
              <w:top w:val="nil"/>
              <w:left w:val="nil"/>
              <w:bottom w:val="nil"/>
              <w:right w:val="single" w:sz="8" w:space="0" w:color="4F81BD"/>
            </w:tcBorders>
            <w:shd w:val="clear" w:color="auto" w:fill="auto"/>
            <w:noWrap/>
            <w:vAlign w:val="center"/>
            <w:hideMark/>
          </w:tcPr>
          <w:p w14:paraId="6B094F68"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ATM Vanjski dug (godine)</w:t>
            </w:r>
          </w:p>
        </w:tc>
        <w:tc>
          <w:tcPr>
            <w:tcW w:w="696" w:type="pct"/>
            <w:tcBorders>
              <w:top w:val="nil"/>
              <w:left w:val="nil"/>
              <w:bottom w:val="nil"/>
              <w:right w:val="nil"/>
            </w:tcBorders>
            <w:shd w:val="clear" w:color="auto" w:fill="auto"/>
            <w:vAlign w:val="center"/>
            <w:hideMark/>
          </w:tcPr>
          <w:p w14:paraId="5F383FD7"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6,42</w:t>
            </w:r>
          </w:p>
        </w:tc>
        <w:tc>
          <w:tcPr>
            <w:tcW w:w="696" w:type="pct"/>
            <w:tcBorders>
              <w:top w:val="nil"/>
              <w:left w:val="nil"/>
              <w:bottom w:val="nil"/>
              <w:right w:val="nil"/>
            </w:tcBorders>
            <w:shd w:val="clear" w:color="auto" w:fill="auto"/>
            <w:noWrap/>
            <w:vAlign w:val="center"/>
          </w:tcPr>
          <w:p w14:paraId="0BF60D13"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6,69</w:t>
            </w:r>
          </w:p>
        </w:tc>
        <w:tc>
          <w:tcPr>
            <w:tcW w:w="524" w:type="pct"/>
            <w:tcBorders>
              <w:top w:val="nil"/>
              <w:left w:val="nil"/>
              <w:bottom w:val="nil"/>
              <w:right w:val="single" w:sz="8" w:space="0" w:color="4F81BD"/>
            </w:tcBorders>
            <w:shd w:val="clear" w:color="auto" w:fill="auto"/>
            <w:vAlign w:val="center"/>
          </w:tcPr>
          <w:p w14:paraId="79604FF1"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7,53</w:t>
            </w:r>
          </w:p>
        </w:tc>
      </w:tr>
      <w:tr w:rsidR="0042308F" w:rsidRPr="00677AB0" w14:paraId="40F7D973" w14:textId="77777777" w:rsidTr="0042308F">
        <w:trPr>
          <w:trHeight w:val="330"/>
          <w:jc w:val="center"/>
        </w:trPr>
        <w:tc>
          <w:tcPr>
            <w:tcW w:w="975" w:type="pct"/>
            <w:vMerge/>
            <w:tcBorders>
              <w:top w:val="nil"/>
              <w:left w:val="single" w:sz="8" w:space="0" w:color="4F81BD"/>
              <w:bottom w:val="single" w:sz="8" w:space="0" w:color="4F81BD"/>
              <w:right w:val="single" w:sz="8" w:space="0" w:color="4F81BD"/>
            </w:tcBorders>
            <w:vAlign w:val="center"/>
            <w:hideMark/>
          </w:tcPr>
          <w:p w14:paraId="1ACAF5B2" w14:textId="77777777" w:rsidR="0042308F" w:rsidRPr="00677AB0" w:rsidRDefault="0042308F" w:rsidP="001967B2">
            <w:pPr>
              <w:spacing w:after="0" w:line="240" w:lineRule="auto"/>
              <w:rPr>
                <w:rFonts w:ascii="Arial Narrow" w:eastAsia="Times New Roman" w:hAnsi="Arial Narrow" w:cs="Calibri"/>
                <w:color w:val="000000"/>
              </w:rPr>
            </w:pPr>
          </w:p>
        </w:tc>
        <w:tc>
          <w:tcPr>
            <w:tcW w:w="2109" w:type="pct"/>
            <w:tcBorders>
              <w:top w:val="nil"/>
              <w:left w:val="nil"/>
              <w:bottom w:val="nil"/>
              <w:right w:val="single" w:sz="8" w:space="0" w:color="4F81BD"/>
            </w:tcBorders>
            <w:shd w:val="clear" w:color="auto" w:fill="auto"/>
            <w:noWrap/>
            <w:vAlign w:val="center"/>
            <w:hideMark/>
          </w:tcPr>
          <w:p w14:paraId="77406B07"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 xml:space="preserve">ATM </w:t>
            </w:r>
            <w:r w:rsidR="007D084A">
              <w:rPr>
                <w:rFonts w:ascii="Arial Narrow" w:eastAsia="Times New Roman" w:hAnsi="Arial Narrow" w:cs="Calibri"/>
                <w:color w:val="000000"/>
              </w:rPr>
              <w:t>Unutarnji</w:t>
            </w:r>
            <w:r w:rsidRPr="00677AB0">
              <w:rPr>
                <w:rFonts w:ascii="Arial Narrow" w:eastAsia="Times New Roman" w:hAnsi="Arial Narrow" w:cs="Calibri"/>
                <w:color w:val="000000"/>
              </w:rPr>
              <w:t xml:space="preserve"> dug (godine)</w:t>
            </w:r>
          </w:p>
        </w:tc>
        <w:tc>
          <w:tcPr>
            <w:tcW w:w="696" w:type="pct"/>
            <w:tcBorders>
              <w:top w:val="nil"/>
              <w:left w:val="nil"/>
              <w:bottom w:val="nil"/>
              <w:right w:val="nil"/>
            </w:tcBorders>
            <w:shd w:val="clear" w:color="auto" w:fill="auto"/>
            <w:vAlign w:val="center"/>
            <w:hideMark/>
          </w:tcPr>
          <w:p w14:paraId="7D56E2AD"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4,19</w:t>
            </w:r>
          </w:p>
        </w:tc>
        <w:tc>
          <w:tcPr>
            <w:tcW w:w="696" w:type="pct"/>
            <w:tcBorders>
              <w:top w:val="nil"/>
              <w:left w:val="nil"/>
              <w:bottom w:val="nil"/>
              <w:right w:val="nil"/>
            </w:tcBorders>
            <w:shd w:val="clear" w:color="auto" w:fill="auto"/>
            <w:noWrap/>
            <w:vAlign w:val="center"/>
          </w:tcPr>
          <w:p w14:paraId="0942FFDC"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3,90</w:t>
            </w:r>
          </w:p>
        </w:tc>
        <w:tc>
          <w:tcPr>
            <w:tcW w:w="524" w:type="pct"/>
            <w:tcBorders>
              <w:top w:val="nil"/>
              <w:left w:val="nil"/>
              <w:bottom w:val="nil"/>
              <w:right w:val="single" w:sz="8" w:space="0" w:color="4F81BD"/>
            </w:tcBorders>
            <w:shd w:val="clear" w:color="auto" w:fill="auto"/>
            <w:vAlign w:val="center"/>
          </w:tcPr>
          <w:p w14:paraId="6A5E5BE2"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3,63</w:t>
            </w:r>
          </w:p>
        </w:tc>
      </w:tr>
      <w:tr w:rsidR="0042308F" w:rsidRPr="00677AB0" w14:paraId="7DE3ABEE" w14:textId="77777777" w:rsidTr="0042308F">
        <w:trPr>
          <w:trHeight w:val="345"/>
          <w:jc w:val="center"/>
        </w:trPr>
        <w:tc>
          <w:tcPr>
            <w:tcW w:w="975" w:type="pct"/>
            <w:vMerge/>
            <w:tcBorders>
              <w:top w:val="nil"/>
              <w:left w:val="single" w:sz="8" w:space="0" w:color="4F81BD"/>
              <w:bottom w:val="single" w:sz="8" w:space="0" w:color="4F81BD"/>
              <w:right w:val="single" w:sz="8" w:space="0" w:color="4F81BD"/>
            </w:tcBorders>
            <w:vAlign w:val="center"/>
            <w:hideMark/>
          </w:tcPr>
          <w:p w14:paraId="7F5DDD47" w14:textId="77777777" w:rsidR="0042308F" w:rsidRPr="00677AB0" w:rsidRDefault="0042308F" w:rsidP="001967B2">
            <w:pPr>
              <w:spacing w:after="0" w:line="240" w:lineRule="auto"/>
              <w:rPr>
                <w:rFonts w:ascii="Arial Narrow" w:eastAsia="Times New Roman" w:hAnsi="Arial Narrow" w:cs="Calibri"/>
                <w:color w:val="000000"/>
              </w:rPr>
            </w:pPr>
          </w:p>
        </w:tc>
        <w:tc>
          <w:tcPr>
            <w:tcW w:w="2109" w:type="pct"/>
            <w:tcBorders>
              <w:top w:val="nil"/>
              <w:left w:val="nil"/>
              <w:bottom w:val="single" w:sz="8" w:space="0" w:color="4F81BD"/>
              <w:right w:val="single" w:sz="8" w:space="0" w:color="4F81BD"/>
            </w:tcBorders>
            <w:shd w:val="clear" w:color="auto" w:fill="auto"/>
            <w:noWrap/>
            <w:vAlign w:val="center"/>
            <w:hideMark/>
          </w:tcPr>
          <w:p w14:paraId="4EFED817"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ATM Ukupni dug (godine)</w:t>
            </w:r>
          </w:p>
        </w:tc>
        <w:tc>
          <w:tcPr>
            <w:tcW w:w="696" w:type="pct"/>
            <w:tcBorders>
              <w:top w:val="nil"/>
              <w:left w:val="nil"/>
              <w:bottom w:val="single" w:sz="8" w:space="0" w:color="4F81BD"/>
              <w:right w:val="nil"/>
            </w:tcBorders>
            <w:shd w:val="clear" w:color="auto" w:fill="auto"/>
            <w:vAlign w:val="center"/>
            <w:hideMark/>
          </w:tcPr>
          <w:p w14:paraId="21B4C865"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6,18</w:t>
            </w:r>
          </w:p>
        </w:tc>
        <w:tc>
          <w:tcPr>
            <w:tcW w:w="696" w:type="pct"/>
            <w:tcBorders>
              <w:top w:val="nil"/>
              <w:left w:val="nil"/>
              <w:bottom w:val="single" w:sz="8" w:space="0" w:color="4F81BD"/>
              <w:right w:val="nil"/>
            </w:tcBorders>
            <w:shd w:val="clear" w:color="auto" w:fill="auto"/>
            <w:noWrap/>
            <w:vAlign w:val="center"/>
          </w:tcPr>
          <w:p w14:paraId="2F787C98"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6,27</w:t>
            </w:r>
          </w:p>
        </w:tc>
        <w:tc>
          <w:tcPr>
            <w:tcW w:w="524" w:type="pct"/>
            <w:tcBorders>
              <w:top w:val="nil"/>
              <w:left w:val="nil"/>
              <w:bottom w:val="single" w:sz="8" w:space="0" w:color="4F81BD"/>
              <w:right w:val="single" w:sz="8" w:space="0" w:color="4F81BD"/>
            </w:tcBorders>
            <w:shd w:val="clear" w:color="auto" w:fill="auto"/>
            <w:vAlign w:val="center"/>
          </w:tcPr>
          <w:p w14:paraId="3C50AC02"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6,73</w:t>
            </w:r>
          </w:p>
        </w:tc>
      </w:tr>
      <w:tr w:rsidR="0042308F" w:rsidRPr="00677AB0" w14:paraId="0C3B6316" w14:textId="77777777" w:rsidTr="0042308F">
        <w:trPr>
          <w:trHeight w:val="330"/>
          <w:jc w:val="center"/>
        </w:trPr>
        <w:tc>
          <w:tcPr>
            <w:tcW w:w="97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247B62F"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Kamatni rizik</w:t>
            </w:r>
          </w:p>
        </w:tc>
        <w:tc>
          <w:tcPr>
            <w:tcW w:w="2109" w:type="pct"/>
            <w:tcBorders>
              <w:top w:val="nil"/>
              <w:left w:val="nil"/>
              <w:bottom w:val="nil"/>
              <w:right w:val="single" w:sz="8" w:space="0" w:color="4F81BD"/>
            </w:tcBorders>
            <w:shd w:val="clear" w:color="auto" w:fill="auto"/>
            <w:noWrap/>
            <w:vAlign w:val="center"/>
            <w:hideMark/>
          </w:tcPr>
          <w:p w14:paraId="3424F221"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ATR (godine)</w:t>
            </w:r>
          </w:p>
        </w:tc>
        <w:tc>
          <w:tcPr>
            <w:tcW w:w="696" w:type="pct"/>
            <w:tcBorders>
              <w:top w:val="nil"/>
              <w:left w:val="nil"/>
              <w:bottom w:val="nil"/>
              <w:right w:val="nil"/>
            </w:tcBorders>
            <w:shd w:val="clear" w:color="auto" w:fill="auto"/>
            <w:vAlign w:val="center"/>
            <w:hideMark/>
          </w:tcPr>
          <w:p w14:paraId="0869B9A7"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4,24</w:t>
            </w:r>
          </w:p>
        </w:tc>
        <w:tc>
          <w:tcPr>
            <w:tcW w:w="696" w:type="pct"/>
            <w:tcBorders>
              <w:top w:val="nil"/>
              <w:left w:val="nil"/>
              <w:bottom w:val="nil"/>
              <w:right w:val="nil"/>
            </w:tcBorders>
            <w:shd w:val="clear" w:color="auto" w:fill="auto"/>
            <w:noWrap/>
            <w:vAlign w:val="center"/>
          </w:tcPr>
          <w:p w14:paraId="5B03F117"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4,15</w:t>
            </w:r>
          </w:p>
        </w:tc>
        <w:tc>
          <w:tcPr>
            <w:tcW w:w="524" w:type="pct"/>
            <w:tcBorders>
              <w:top w:val="nil"/>
              <w:left w:val="nil"/>
              <w:bottom w:val="nil"/>
              <w:right w:val="single" w:sz="8" w:space="0" w:color="4F81BD"/>
            </w:tcBorders>
            <w:shd w:val="clear" w:color="auto" w:fill="auto"/>
            <w:vAlign w:val="center"/>
          </w:tcPr>
          <w:p w14:paraId="4144ECC0"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4,73</w:t>
            </w:r>
          </w:p>
        </w:tc>
      </w:tr>
      <w:tr w:rsidR="0042308F" w:rsidRPr="00677AB0" w14:paraId="1597B997" w14:textId="77777777" w:rsidTr="0042308F">
        <w:trPr>
          <w:trHeight w:val="330"/>
          <w:jc w:val="center"/>
        </w:trPr>
        <w:tc>
          <w:tcPr>
            <w:tcW w:w="975" w:type="pct"/>
            <w:vMerge/>
            <w:tcBorders>
              <w:top w:val="nil"/>
              <w:left w:val="single" w:sz="8" w:space="0" w:color="4F81BD"/>
              <w:bottom w:val="single" w:sz="8" w:space="0" w:color="4F81BD"/>
              <w:right w:val="single" w:sz="8" w:space="0" w:color="4F81BD"/>
            </w:tcBorders>
            <w:vAlign w:val="center"/>
            <w:hideMark/>
          </w:tcPr>
          <w:p w14:paraId="5D54F498" w14:textId="77777777" w:rsidR="0042308F" w:rsidRPr="00677AB0" w:rsidRDefault="0042308F" w:rsidP="001967B2">
            <w:pPr>
              <w:spacing w:after="0" w:line="240" w:lineRule="auto"/>
              <w:rPr>
                <w:rFonts w:ascii="Arial Narrow" w:eastAsia="Times New Roman" w:hAnsi="Arial Narrow" w:cs="Calibri"/>
                <w:color w:val="000000"/>
              </w:rPr>
            </w:pPr>
          </w:p>
        </w:tc>
        <w:tc>
          <w:tcPr>
            <w:tcW w:w="2109" w:type="pct"/>
            <w:tcBorders>
              <w:top w:val="nil"/>
              <w:left w:val="nil"/>
              <w:bottom w:val="nil"/>
              <w:right w:val="single" w:sz="8" w:space="0" w:color="4F81BD"/>
            </w:tcBorders>
            <w:shd w:val="clear" w:color="auto" w:fill="auto"/>
            <w:noWrap/>
            <w:vAlign w:val="center"/>
            <w:hideMark/>
          </w:tcPr>
          <w:p w14:paraId="1F384E80"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Dug koji se refiksira u 1 g  (% ukupnog duga)</w:t>
            </w:r>
          </w:p>
        </w:tc>
        <w:tc>
          <w:tcPr>
            <w:tcW w:w="696" w:type="pct"/>
            <w:tcBorders>
              <w:top w:val="nil"/>
              <w:left w:val="nil"/>
              <w:bottom w:val="nil"/>
              <w:right w:val="nil"/>
            </w:tcBorders>
            <w:shd w:val="clear" w:color="auto" w:fill="auto"/>
            <w:vAlign w:val="center"/>
            <w:hideMark/>
          </w:tcPr>
          <w:p w14:paraId="4E2851D3"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45,23</w:t>
            </w:r>
          </w:p>
        </w:tc>
        <w:tc>
          <w:tcPr>
            <w:tcW w:w="696" w:type="pct"/>
            <w:tcBorders>
              <w:top w:val="nil"/>
              <w:left w:val="nil"/>
              <w:bottom w:val="nil"/>
              <w:right w:val="nil"/>
            </w:tcBorders>
            <w:shd w:val="clear" w:color="auto" w:fill="auto"/>
            <w:noWrap/>
            <w:vAlign w:val="center"/>
          </w:tcPr>
          <w:p w14:paraId="7BD7F6DF"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44,88</w:t>
            </w:r>
          </w:p>
        </w:tc>
        <w:tc>
          <w:tcPr>
            <w:tcW w:w="524" w:type="pct"/>
            <w:tcBorders>
              <w:top w:val="nil"/>
              <w:left w:val="nil"/>
              <w:bottom w:val="nil"/>
              <w:right w:val="single" w:sz="8" w:space="0" w:color="4F81BD"/>
            </w:tcBorders>
            <w:shd w:val="clear" w:color="auto" w:fill="auto"/>
            <w:vAlign w:val="center"/>
          </w:tcPr>
          <w:p w14:paraId="2726C672"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38,27</w:t>
            </w:r>
          </w:p>
        </w:tc>
      </w:tr>
      <w:tr w:rsidR="0042308F" w:rsidRPr="00677AB0" w14:paraId="12E87A47" w14:textId="77777777" w:rsidTr="0042308F">
        <w:trPr>
          <w:trHeight w:val="345"/>
          <w:jc w:val="center"/>
        </w:trPr>
        <w:tc>
          <w:tcPr>
            <w:tcW w:w="975" w:type="pct"/>
            <w:vMerge/>
            <w:tcBorders>
              <w:top w:val="nil"/>
              <w:left w:val="single" w:sz="8" w:space="0" w:color="4F81BD"/>
              <w:bottom w:val="single" w:sz="8" w:space="0" w:color="4F81BD"/>
              <w:right w:val="single" w:sz="8" w:space="0" w:color="4F81BD"/>
            </w:tcBorders>
            <w:vAlign w:val="center"/>
            <w:hideMark/>
          </w:tcPr>
          <w:p w14:paraId="78B795D7" w14:textId="77777777" w:rsidR="0042308F" w:rsidRPr="00677AB0" w:rsidRDefault="0042308F" w:rsidP="001967B2">
            <w:pPr>
              <w:spacing w:after="0" w:line="240" w:lineRule="auto"/>
              <w:rPr>
                <w:rFonts w:ascii="Arial Narrow" w:eastAsia="Times New Roman" w:hAnsi="Arial Narrow" w:cs="Calibri"/>
                <w:color w:val="000000"/>
              </w:rPr>
            </w:pPr>
          </w:p>
        </w:tc>
        <w:tc>
          <w:tcPr>
            <w:tcW w:w="2109" w:type="pct"/>
            <w:tcBorders>
              <w:top w:val="nil"/>
              <w:left w:val="nil"/>
              <w:bottom w:val="single" w:sz="8" w:space="0" w:color="4F81BD"/>
              <w:right w:val="single" w:sz="8" w:space="0" w:color="4F81BD"/>
            </w:tcBorders>
            <w:shd w:val="clear" w:color="auto" w:fill="auto"/>
            <w:noWrap/>
            <w:vAlign w:val="center"/>
            <w:hideMark/>
          </w:tcPr>
          <w:p w14:paraId="35FC5DF4"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Dug po fiksnoj kamati (% ukupnog duga)</w:t>
            </w:r>
          </w:p>
        </w:tc>
        <w:tc>
          <w:tcPr>
            <w:tcW w:w="696" w:type="pct"/>
            <w:tcBorders>
              <w:top w:val="nil"/>
              <w:left w:val="nil"/>
              <w:bottom w:val="single" w:sz="8" w:space="0" w:color="4F81BD"/>
              <w:right w:val="nil"/>
            </w:tcBorders>
            <w:shd w:val="clear" w:color="auto" w:fill="auto"/>
            <w:vAlign w:val="center"/>
            <w:hideMark/>
          </w:tcPr>
          <w:p w14:paraId="2DAD356E"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62,17</w:t>
            </w:r>
          </w:p>
        </w:tc>
        <w:tc>
          <w:tcPr>
            <w:tcW w:w="696" w:type="pct"/>
            <w:tcBorders>
              <w:top w:val="nil"/>
              <w:left w:val="nil"/>
              <w:bottom w:val="single" w:sz="8" w:space="0" w:color="4F81BD"/>
              <w:right w:val="nil"/>
            </w:tcBorders>
            <w:shd w:val="clear" w:color="auto" w:fill="auto"/>
            <w:noWrap/>
            <w:vAlign w:val="center"/>
          </w:tcPr>
          <w:p w14:paraId="68E783FE"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62,33</w:t>
            </w:r>
          </w:p>
        </w:tc>
        <w:tc>
          <w:tcPr>
            <w:tcW w:w="524" w:type="pct"/>
            <w:tcBorders>
              <w:top w:val="nil"/>
              <w:left w:val="nil"/>
              <w:bottom w:val="single" w:sz="8" w:space="0" w:color="4F81BD"/>
              <w:right w:val="single" w:sz="8" w:space="0" w:color="4F81BD"/>
            </w:tcBorders>
            <w:shd w:val="clear" w:color="auto" w:fill="auto"/>
            <w:vAlign w:val="center"/>
          </w:tcPr>
          <w:p w14:paraId="14BF889C"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68,22</w:t>
            </w:r>
          </w:p>
        </w:tc>
      </w:tr>
      <w:tr w:rsidR="0042308F" w:rsidRPr="00677AB0" w14:paraId="1A63ADFD" w14:textId="77777777" w:rsidTr="0042308F">
        <w:trPr>
          <w:trHeight w:val="330"/>
          <w:jc w:val="center"/>
        </w:trPr>
        <w:tc>
          <w:tcPr>
            <w:tcW w:w="97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BA7B2B5"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eastAsia="Times New Roman" w:hAnsi="Arial Narrow" w:cs="Calibri"/>
                <w:color w:val="000000"/>
              </w:rPr>
              <w:t>Valutni rizik</w:t>
            </w:r>
          </w:p>
        </w:tc>
        <w:tc>
          <w:tcPr>
            <w:tcW w:w="2109" w:type="pct"/>
            <w:tcBorders>
              <w:top w:val="nil"/>
              <w:left w:val="nil"/>
              <w:bottom w:val="nil"/>
              <w:right w:val="single" w:sz="8" w:space="0" w:color="4F81BD"/>
            </w:tcBorders>
            <w:shd w:val="clear" w:color="auto" w:fill="auto"/>
            <w:noWrap/>
            <w:vAlign w:val="center"/>
            <w:hideMark/>
          </w:tcPr>
          <w:p w14:paraId="6B7FBD71"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Devizni dug (% ukupnog duga)</w:t>
            </w:r>
          </w:p>
        </w:tc>
        <w:tc>
          <w:tcPr>
            <w:tcW w:w="696" w:type="pct"/>
            <w:tcBorders>
              <w:top w:val="nil"/>
              <w:left w:val="nil"/>
              <w:bottom w:val="nil"/>
              <w:right w:val="nil"/>
            </w:tcBorders>
            <w:shd w:val="clear" w:color="auto" w:fill="auto"/>
            <w:vAlign w:val="center"/>
            <w:hideMark/>
          </w:tcPr>
          <w:p w14:paraId="1E938347"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88,85</w:t>
            </w:r>
          </w:p>
        </w:tc>
        <w:tc>
          <w:tcPr>
            <w:tcW w:w="696" w:type="pct"/>
            <w:tcBorders>
              <w:top w:val="nil"/>
              <w:left w:val="nil"/>
              <w:bottom w:val="nil"/>
              <w:right w:val="nil"/>
            </w:tcBorders>
            <w:shd w:val="clear" w:color="auto" w:fill="auto"/>
            <w:noWrap/>
            <w:vAlign w:val="center"/>
          </w:tcPr>
          <w:p w14:paraId="1C1FEB93"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84,84</w:t>
            </w:r>
          </w:p>
        </w:tc>
        <w:tc>
          <w:tcPr>
            <w:tcW w:w="524" w:type="pct"/>
            <w:tcBorders>
              <w:top w:val="nil"/>
              <w:left w:val="nil"/>
              <w:bottom w:val="nil"/>
              <w:right w:val="single" w:sz="8" w:space="0" w:color="4F81BD"/>
            </w:tcBorders>
            <w:shd w:val="clear" w:color="auto" w:fill="auto"/>
            <w:vAlign w:val="center"/>
          </w:tcPr>
          <w:p w14:paraId="0F9D2366"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79,57</w:t>
            </w:r>
          </w:p>
        </w:tc>
      </w:tr>
      <w:tr w:rsidR="0042308F" w:rsidRPr="00677AB0" w14:paraId="5662D54C" w14:textId="77777777" w:rsidTr="0042308F">
        <w:trPr>
          <w:trHeight w:val="345"/>
          <w:jc w:val="center"/>
        </w:trPr>
        <w:tc>
          <w:tcPr>
            <w:tcW w:w="975" w:type="pct"/>
            <w:vMerge/>
            <w:tcBorders>
              <w:top w:val="nil"/>
              <w:left w:val="single" w:sz="8" w:space="0" w:color="4F81BD"/>
              <w:bottom w:val="single" w:sz="8" w:space="0" w:color="4F81BD"/>
              <w:right w:val="single" w:sz="8" w:space="0" w:color="4F81BD"/>
            </w:tcBorders>
            <w:vAlign w:val="center"/>
            <w:hideMark/>
          </w:tcPr>
          <w:p w14:paraId="7D1683A5" w14:textId="77777777" w:rsidR="0042308F" w:rsidRPr="00677AB0" w:rsidRDefault="0042308F" w:rsidP="001967B2">
            <w:pPr>
              <w:spacing w:after="0" w:line="240" w:lineRule="auto"/>
              <w:rPr>
                <w:rFonts w:ascii="Arial Narrow" w:eastAsia="Times New Roman" w:hAnsi="Arial Narrow" w:cs="Calibri"/>
                <w:color w:val="000000"/>
              </w:rPr>
            </w:pPr>
          </w:p>
        </w:tc>
        <w:tc>
          <w:tcPr>
            <w:tcW w:w="2109" w:type="pct"/>
            <w:tcBorders>
              <w:top w:val="nil"/>
              <w:left w:val="nil"/>
              <w:bottom w:val="single" w:sz="8" w:space="0" w:color="4F81BD"/>
              <w:right w:val="single" w:sz="8" w:space="0" w:color="4F81BD"/>
            </w:tcBorders>
            <w:shd w:val="clear" w:color="auto" w:fill="auto"/>
            <w:noWrap/>
            <w:vAlign w:val="center"/>
            <w:hideMark/>
          </w:tcPr>
          <w:p w14:paraId="63C54EBF" w14:textId="77777777" w:rsidR="0042308F" w:rsidRPr="00677AB0" w:rsidRDefault="0042308F" w:rsidP="001967B2">
            <w:pPr>
              <w:spacing w:after="0" w:line="240" w:lineRule="auto"/>
              <w:rPr>
                <w:rFonts w:ascii="Arial Narrow" w:eastAsia="Times New Roman" w:hAnsi="Arial Narrow" w:cs="Calibri"/>
                <w:color w:val="000000"/>
              </w:rPr>
            </w:pPr>
            <w:r w:rsidRPr="00677AB0">
              <w:rPr>
                <w:rFonts w:ascii="Arial Narrow" w:eastAsia="Times New Roman" w:hAnsi="Arial Narrow" w:cs="Calibri"/>
                <w:color w:val="000000"/>
              </w:rPr>
              <w:t>Kratkoročni devizni dug (% rezervi)</w:t>
            </w:r>
          </w:p>
        </w:tc>
        <w:tc>
          <w:tcPr>
            <w:tcW w:w="696" w:type="pct"/>
            <w:tcBorders>
              <w:top w:val="nil"/>
              <w:left w:val="nil"/>
              <w:bottom w:val="single" w:sz="8" w:space="0" w:color="4F81BD"/>
              <w:right w:val="nil"/>
            </w:tcBorders>
            <w:shd w:val="clear" w:color="auto" w:fill="auto"/>
            <w:vAlign w:val="center"/>
            <w:hideMark/>
          </w:tcPr>
          <w:p w14:paraId="236ACE54"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4,09</w:t>
            </w:r>
          </w:p>
        </w:tc>
        <w:tc>
          <w:tcPr>
            <w:tcW w:w="696" w:type="pct"/>
            <w:tcBorders>
              <w:top w:val="nil"/>
              <w:left w:val="nil"/>
              <w:bottom w:val="single" w:sz="8" w:space="0" w:color="4F81BD"/>
              <w:right w:val="nil"/>
            </w:tcBorders>
            <w:shd w:val="clear" w:color="auto" w:fill="auto"/>
            <w:noWrap/>
            <w:vAlign w:val="center"/>
          </w:tcPr>
          <w:p w14:paraId="537A374B" w14:textId="77777777" w:rsidR="0042308F" w:rsidRPr="00677AB0" w:rsidRDefault="0042308F" w:rsidP="001967B2">
            <w:pPr>
              <w:spacing w:after="0" w:line="240" w:lineRule="auto"/>
              <w:jc w:val="center"/>
              <w:rPr>
                <w:rFonts w:ascii="Arial Narrow" w:eastAsia="Times New Roman" w:hAnsi="Arial Narrow" w:cs="Calibri"/>
                <w:color w:val="000000"/>
              </w:rPr>
            </w:pPr>
            <w:r w:rsidRPr="00677AB0">
              <w:rPr>
                <w:rFonts w:ascii="Arial Narrow" w:hAnsi="Arial Narrow" w:cs="Calibri"/>
                <w:color w:val="000000"/>
              </w:rPr>
              <w:t>4,55</w:t>
            </w:r>
          </w:p>
        </w:tc>
        <w:tc>
          <w:tcPr>
            <w:tcW w:w="524" w:type="pct"/>
            <w:tcBorders>
              <w:top w:val="nil"/>
              <w:left w:val="nil"/>
              <w:bottom w:val="single" w:sz="8" w:space="0" w:color="4F81BD"/>
              <w:right w:val="single" w:sz="8" w:space="0" w:color="4F81BD"/>
            </w:tcBorders>
            <w:shd w:val="clear" w:color="auto" w:fill="auto"/>
            <w:vAlign w:val="center"/>
          </w:tcPr>
          <w:p w14:paraId="12A81CBA" w14:textId="77777777" w:rsidR="0042308F" w:rsidRPr="00677AB0" w:rsidRDefault="0042308F" w:rsidP="001967B2">
            <w:pPr>
              <w:spacing w:after="0" w:line="240" w:lineRule="auto"/>
              <w:jc w:val="center"/>
              <w:rPr>
                <w:rFonts w:ascii="Arial Narrow" w:hAnsi="Arial Narrow" w:cs="Calibri"/>
                <w:color w:val="000000"/>
              </w:rPr>
            </w:pPr>
            <w:r w:rsidRPr="00677AB0">
              <w:rPr>
                <w:rFonts w:ascii="Arial Narrow" w:hAnsi="Arial Narrow" w:cs="Calibri"/>
                <w:color w:val="000000"/>
              </w:rPr>
              <w:t>2,43</w:t>
            </w:r>
          </w:p>
        </w:tc>
      </w:tr>
    </w:tbl>
    <w:p w14:paraId="289DBAA0" w14:textId="77777777" w:rsidR="0042308F" w:rsidRPr="00677AB0" w:rsidRDefault="0042308F" w:rsidP="0042308F">
      <w:pPr>
        <w:spacing w:after="0" w:line="240" w:lineRule="auto"/>
        <w:jc w:val="both"/>
        <w:rPr>
          <w:rFonts w:ascii="Arial" w:hAnsi="Arial" w:cs="Arial"/>
          <w:szCs w:val="24"/>
        </w:rPr>
      </w:pPr>
    </w:p>
    <w:p w14:paraId="460D42D3" w14:textId="77777777" w:rsidR="0042308F" w:rsidRPr="00677AB0" w:rsidRDefault="0042308F" w:rsidP="0042308F">
      <w:pPr>
        <w:spacing w:after="0" w:line="240" w:lineRule="auto"/>
        <w:jc w:val="both"/>
        <w:rPr>
          <w:rFonts w:ascii="Arial" w:hAnsi="Arial" w:cs="Arial"/>
          <w:szCs w:val="24"/>
        </w:rPr>
      </w:pPr>
    </w:p>
    <w:p w14:paraId="05C9630F" w14:textId="77777777" w:rsidR="0042308F" w:rsidRPr="00677AB0" w:rsidRDefault="0042308F" w:rsidP="0042308F">
      <w:pPr>
        <w:spacing w:after="0" w:line="240" w:lineRule="auto"/>
        <w:jc w:val="both"/>
        <w:rPr>
          <w:rFonts w:ascii="Arial" w:hAnsi="Arial" w:cs="Arial"/>
          <w:szCs w:val="24"/>
        </w:rPr>
      </w:pPr>
    </w:p>
    <w:p w14:paraId="19E9F817"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10" w:name="_Toc172282255"/>
      <w:r w:rsidRPr="00677AB0">
        <w:rPr>
          <w:rFonts w:ascii="Arial" w:hAnsi="Arial" w:cs="Arial"/>
          <w:b w:val="0"/>
          <w:color w:val="auto"/>
          <w:sz w:val="24"/>
          <w:szCs w:val="24"/>
        </w:rPr>
        <w:t>Opis alternativnih strategija upravljanja dugom</w:t>
      </w:r>
      <w:bookmarkEnd w:id="110"/>
    </w:p>
    <w:p w14:paraId="3FDF4254" w14:textId="77777777" w:rsidR="0042308F" w:rsidRPr="00677AB0" w:rsidRDefault="0042308F" w:rsidP="0042308F">
      <w:pPr>
        <w:spacing w:after="0"/>
        <w:rPr>
          <w:rFonts w:ascii="Arial" w:hAnsi="Arial" w:cs="Arial"/>
          <w:color w:val="538135" w:themeColor="accent6" w:themeShade="BF"/>
        </w:rPr>
      </w:pPr>
    </w:p>
    <w:p w14:paraId="73005E4A" w14:textId="77777777" w:rsidR="0042308F" w:rsidRPr="00677AB0" w:rsidRDefault="0042308F" w:rsidP="0042308F">
      <w:pPr>
        <w:spacing w:after="0"/>
        <w:jc w:val="both"/>
        <w:rPr>
          <w:rFonts w:ascii="Arial" w:hAnsi="Arial" w:cs="Arial"/>
          <w:iCs/>
        </w:rPr>
      </w:pPr>
      <w:r w:rsidRPr="00677AB0">
        <w:rPr>
          <w:rFonts w:ascii="Arial" w:hAnsi="Arial" w:cs="Arial"/>
          <w:b/>
          <w:iCs/>
        </w:rPr>
        <w:t xml:space="preserve">Strategija (S1): </w:t>
      </w:r>
      <w:r w:rsidRPr="00677AB0">
        <w:rPr>
          <w:rFonts w:ascii="Arial" w:hAnsi="Arial" w:cs="Arial"/>
          <w:bCs/>
          <w:iCs/>
        </w:rPr>
        <w:t>bazira se na</w:t>
      </w:r>
      <w:r w:rsidRPr="00677AB0">
        <w:rPr>
          <w:rFonts w:ascii="Arial" w:hAnsi="Arial" w:cs="Arial"/>
          <w:iCs/>
        </w:rPr>
        <w:t xml:space="preserve"> </w:t>
      </w:r>
      <w:r w:rsidRPr="00677AB0">
        <w:rPr>
          <w:rFonts w:ascii="Arial" w:hAnsi="Arial" w:cs="Arial"/>
          <w:bCs/>
          <w:iCs/>
        </w:rPr>
        <w:t>realnom stanju dosadašnjeg zaduživanj</w:t>
      </w:r>
      <w:r w:rsidR="00CE7F67">
        <w:rPr>
          <w:rFonts w:ascii="Arial" w:hAnsi="Arial" w:cs="Arial"/>
          <w:bCs/>
          <w:iCs/>
        </w:rPr>
        <w:t>a</w:t>
      </w:r>
      <w:r w:rsidRPr="00677AB0">
        <w:rPr>
          <w:rFonts w:ascii="Arial" w:hAnsi="Arial" w:cs="Arial"/>
          <w:bCs/>
          <w:iCs/>
        </w:rPr>
        <w:t xml:space="preserve"> Federacije BiH u skladu s </w:t>
      </w:r>
      <w:r w:rsidR="007D084A">
        <w:rPr>
          <w:rFonts w:ascii="Arial" w:hAnsi="Arial" w:cs="Arial"/>
          <w:bCs/>
          <w:iCs/>
        </w:rPr>
        <w:t>Proračun</w:t>
      </w:r>
      <w:r w:rsidRPr="00677AB0">
        <w:rPr>
          <w:rFonts w:ascii="Arial" w:hAnsi="Arial" w:cs="Arial"/>
          <w:bCs/>
          <w:iCs/>
        </w:rPr>
        <w:t xml:space="preserve">om Federacije </w:t>
      </w:r>
      <w:r w:rsidRPr="00677AB0">
        <w:rPr>
          <w:rFonts w:ascii="Arial" w:hAnsi="Arial" w:cs="Arial"/>
          <w:bCs/>
          <w:iCs/>
        </w:rPr>
        <w:lastRenderedPageBreak/>
        <w:t xml:space="preserve">BiH za 2024. godinu, Dokumentom okvirnog </w:t>
      </w:r>
      <w:r w:rsidR="007D084A">
        <w:rPr>
          <w:rFonts w:ascii="Arial" w:hAnsi="Arial" w:cs="Arial"/>
          <w:bCs/>
          <w:iCs/>
        </w:rPr>
        <w:t>proračun</w:t>
      </w:r>
      <w:r w:rsidRPr="00677AB0">
        <w:rPr>
          <w:rFonts w:ascii="Arial" w:hAnsi="Arial" w:cs="Arial"/>
          <w:bCs/>
          <w:iCs/>
        </w:rPr>
        <w:t>a Federacije BiH u razdoblju 2024-2026. godina i PJI-a za razdoblje 2024-2026. godine. Financiranje razvojnih projekta do kraja 2026. godine procijenjeno je na 590,83 mil. KM.</w:t>
      </w:r>
      <w:r w:rsidRPr="00677AB0">
        <w:rPr>
          <w:rFonts w:ascii="Arial" w:hAnsi="Arial" w:cs="Arial"/>
          <w:iCs/>
        </w:rPr>
        <w:t xml:space="preserve"> U kontekstu procjene troškova i rizika za vanjske kredite namijenjene realizaciji PJI Federacije BiH primijenjeni su kreditni </w:t>
      </w:r>
      <w:r w:rsidR="00153015">
        <w:rPr>
          <w:rFonts w:ascii="Arial" w:hAnsi="Arial" w:cs="Arial"/>
          <w:iCs/>
        </w:rPr>
        <w:t>uvjet</w:t>
      </w:r>
      <w:r w:rsidR="00CE7F67">
        <w:rPr>
          <w:rFonts w:ascii="Arial" w:hAnsi="Arial" w:cs="Arial"/>
          <w:iCs/>
        </w:rPr>
        <w:t>i u skladu s</w:t>
      </w:r>
      <w:r w:rsidRPr="00677AB0">
        <w:rPr>
          <w:rFonts w:ascii="Arial" w:hAnsi="Arial" w:cs="Arial"/>
          <w:iCs/>
        </w:rPr>
        <w:t xml:space="preserve"> generalnim </w:t>
      </w:r>
      <w:r w:rsidR="00153015">
        <w:rPr>
          <w:rFonts w:ascii="Arial" w:hAnsi="Arial" w:cs="Arial"/>
          <w:iCs/>
        </w:rPr>
        <w:t>uvjet</w:t>
      </w:r>
      <w:r w:rsidRPr="00677AB0">
        <w:rPr>
          <w:rFonts w:ascii="Arial" w:hAnsi="Arial" w:cs="Arial"/>
          <w:iCs/>
        </w:rPr>
        <w:t xml:space="preserve">ima poslovanja kreditora uz preferiranu valutu EUR. </w:t>
      </w:r>
    </w:p>
    <w:p w14:paraId="702E2B8D" w14:textId="77777777" w:rsidR="0042308F" w:rsidRPr="00677AB0" w:rsidRDefault="0042308F" w:rsidP="0042308F">
      <w:pPr>
        <w:spacing w:after="0"/>
        <w:jc w:val="both"/>
        <w:rPr>
          <w:rFonts w:ascii="Arial" w:hAnsi="Arial" w:cs="Arial"/>
          <w:iCs/>
          <w:highlight w:val="yellow"/>
        </w:rPr>
      </w:pPr>
    </w:p>
    <w:p w14:paraId="3649A501" w14:textId="77777777" w:rsidR="0042308F" w:rsidRPr="00677AB0" w:rsidRDefault="0042308F" w:rsidP="0042308F">
      <w:pPr>
        <w:spacing w:after="0"/>
        <w:jc w:val="both"/>
        <w:rPr>
          <w:rFonts w:ascii="Arial" w:hAnsi="Arial" w:cs="Arial"/>
          <w:iCs/>
        </w:rPr>
      </w:pPr>
      <w:r w:rsidRPr="00677AB0">
        <w:rPr>
          <w:rFonts w:ascii="Arial" w:hAnsi="Arial" w:cs="Arial"/>
          <w:b/>
          <w:iCs/>
        </w:rPr>
        <w:t>Strategija 2</w:t>
      </w:r>
      <w:r w:rsidRPr="00677AB0">
        <w:rPr>
          <w:rFonts w:ascii="Arial" w:hAnsi="Arial" w:cs="Arial"/>
          <w:iCs/>
        </w:rPr>
        <w:t xml:space="preserve"> (S2): </w:t>
      </w:r>
      <w:r w:rsidRPr="00677AB0">
        <w:rPr>
          <w:rFonts w:ascii="Arial" w:hAnsi="Arial" w:cs="Arial"/>
          <w:bCs/>
          <w:iCs/>
        </w:rPr>
        <w:t>bazira se na</w:t>
      </w:r>
      <w:r w:rsidRPr="00677AB0">
        <w:rPr>
          <w:rFonts w:ascii="Arial" w:hAnsi="Arial" w:cs="Arial"/>
          <w:iCs/>
        </w:rPr>
        <w:t xml:space="preserve"> </w:t>
      </w:r>
      <w:r w:rsidRPr="00677AB0">
        <w:rPr>
          <w:rFonts w:ascii="Arial" w:hAnsi="Arial" w:cs="Arial"/>
          <w:bCs/>
          <w:iCs/>
        </w:rPr>
        <w:t xml:space="preserve">dosadašnjem zaduživanju Federacije BiH u skladu s </w:t>
      </w:r>
      <w:r w:rsidR="007D084A">
        <w:rPr>
          <w:rFonts w:ascii="Arial" w:hAnsi="Arial" w:cs="Arial"/>
          <w:bCs/>
          <w:iCs/>
        </w:rPr>
        <w:t>Proračun</w:t>
      </w:r>
      <w:r w:rsidRPr="00677AB0">
        <w:rPr>
          <w:rFonts w:ascii="Arial" w:hAnsi="Arial" w:cs="Arial"/>
          <w:bCs/>
          <w:iCs/>
        </w:rPr>
        <w:t xml:space="preserve">om Federacije BiH za 2024. godinu, Dokumentom okvirnog </w:t>
      </w:r>
      <w:r w:rsidR="007D084A">
        <w:rPr>
          <w:rFonts w:ascii="Arial" w:hAnsi="Arial" w:cs="Arial"/>
          <w:bCs/>
          <w:iCs/>
        </w:rPr>
        <w:t>proračun</w:t>
      </w:r>
      <w:r w:rsidRPr="00677AB0">
        <w:rPr>
          <w:rFonts w:ascii="Arial" w:hAnsi="Arial" w:cs="Arial"/>
          <w:bCs/>
          <w:iCs/>
        </w:rPr>
        <w:t xml:space="preserve">a Federacije BiH u razdoblju 2024-2026. godina i PJI-a za razdoblje 2024-2026. godine s pretpostavkom </w:t>
      </w:r>
      <w:r w:rsidRPr="00677AB0">
        <w:rPr>
          <w:rFonts w:ascii="Arial" w:hAnsi="Arial" w:cs="Arial"/>
          <w:iCs/>
        </w:rPr>
        <w:t xml:space="preserve"> kreditnih </w:t>
      </w:r>
      <w:r w:rsidR="00153015">
        <w:rPr>
          <w:rFonts w:ascii="Arial" w:hAnsi="Arial" w:cs="Arial"/>
          <w:iCs/>
        </w:rPr>
        <w:t>uvjet</w:t>
      </w:r>
      <w:r w:rsidRPr="00677AB0">
        <w:rPr>
          <w:rFonts w:ascii="Arial" w:hAnsi="Arial" w:cs="Arial"/>
          <w:iCs/>
        </w:rPr>
        <w:t>a</w:t>
      </w:r>
      <w:r w:rsidR="00CE7F67">
        <w:rPr>
          <w:rFonts w:ascii="Arial" w:hAnsi="Arial" w:cs="Arial"/>
          <w:iCs/>
        </w:rPr>
        <w:t xml:space="preserve"> koji podrazumijevaju kredite s</w:t>
      </w:r>
      <w:r w:rsidRPr="00677AB0">
        <w:rPr>
          <w:rFonts w:ascii="Arial" w:hAnsi="Arial" w:cs="Arial"/>
          <w:iCs/>
        </w:rPr>
        <w:t xml:space="preserve"> većinski ugovorenom promjenjivom kamatnom stopom uz preferiranu valutu EUR. </w:t>
      </w:r>
    </w:p>
    <w:p w14:paraId="424BD6AE" w14:textId="77777777" w:rsidR="0042308F" w:rsidRPr="00677AB0" w:rsidRDefault="0042308F" w:rsidP="0042308F">
      <w:pPr>
        <w:spacing w:after="0"/>
        <w:jc w:val="both"/>
        <w:rPr>
          <w:rFonts w:ascii="Arial" w:hAnsi="Arial" w:cs="Arial"/>
          <w:b/>
          <w:iCs/>
          <w:highlight w:val="yellow"/>
        </w:rPr>
      </w:pPr>
    </w:p>
    <w:p w14:paraId="72779757" w14:textId="77777777" w:rsidR="0042308F" w:rsidRPr="00677AB0" w:rsidRDefault="0042308F" w:rsidP="0042308F">
      <w:pPr>
        <w:spacing w:after="0"/>
        <w:jc w:val="both"/>
        <w:rPr>
          <w:rFonts w:ascii="Arial" w:hAnsi="Arial" w:cs="Arial"/>
          <w:iCs/>
        </w:rPr>
      </w:pPr>
      <w:r w:rsidRPr="00677AB0">
        <w:rPr>
          <w:rFonts w:ascii="Arial" w:hAnsi="Arial" w:cs="Arial"/>
          <w:b/>
          <w:iCs/>
        </w:rPr>
        <w:t xml:space="preserve">Strategija 3 </w:t>
      </w:r>
      <w:r w:rsidRPr="00677AB0">
        <w:rPr>
          <w:rFonts w:ascii="Arial" w:hAnsi="Arial" w:cs="Arial"/>
          <w:iCs/>
        </w:rPr>
        <w:t xml:space="preserve">(S3):  </w:t>
      </w:r>
      <w:bookmarkStart w:id="111" w:name="_Hlk148352949"/>
      <w:r w:rsidRPr="00677AB0">
        <w:rPr>
          <w:rFonts w:ascii="Arial" w:hAnsi="Arial" w:cs="Arial"/>
          <w:bCs/>
          <w:iCs/>
        </w:rPr>
        <w:t>bazira se na</w:t>
      </w:r>
      <w:r w:rsidRPr="00677AB0">
        <w:rPr>
          <w:rFonts w:ascii="Arial" w:hAnsi="Arial" w:cs="Arial"/>
          <w:iCs/>
        </w:rPr>
        <w:t xml:space="preserve"> </w:t>
      </w:r>
      <w:r w:rsidRPr="00677AB0">
        <w:rPr>
          <w:rFonts w:ascii="Arial" w:hAnsi="Arial" w:cs="Arial"/>
          <w:bCs/>
          <w:iCs/>
        </w:rPr>
        <w:t xml:space="preserve">dosadašnjem zaduživanju Federacije BiH u skladu s </w:t>
      </w:r>
      <w:r w:rsidR="007D084A">
        <w:rPr>
          <w:rFonts w:ascii="Arial" w:hAnsi="Arial" w:cs="Arial"/>
          <w:bCs/>
          <w:iCs/>
        </w:rPr>
        <w:t>Proračun</w:t>
      </w:r>
      <w:r w:rsidRPr="00677AB0">
        <w:rPr>
          <w:rFonts w:ascii="Arial" w:hAnsi="Arial" w:cs="Arial"/>
          <w:bCs/>
          <w:iCs/>
        </w:rPr>
        <w:t xml:space="preserve">om Federacije BiH za 2024. godinu, Dokumentom okvirnog </w:t>
      </w:r>
      <w:r w:rsidR="007D084A">
        <w:rPr>
          <w:rFonts w:ascii="Arial" w:hAnsi="Arial" w:cs="Arial"/>
          <w:bCs/>
          <w:iCs/>
        </w:rPr>
        <w:t>proračun</w:t>
      </w:r>
      <w:r w:rsidRPr="00677AB0">
        <w:rPr>
          <w:rFonts w:ascii="Arial" w:hAnsi="Arial" w:cs="Arial"/>
          <w:bCs/>
          <w:iCs/>
        </w:rPr>
        <w:t xml:space="preserve">a Federacije BiH u razdoblju 2024-2026. godina i PJI-a za razdoblje 2024-2026. godine s pretpostavkom </w:t>
      </w:r>
      <w:r w:rsidRPr="00677AB0">
        <w:rPr>
          <w:rFonts w:ascii="Arial" w:hAnsi="Arial" w:cs="Arial"/>
          <w:iCs/>
        </w:rPr>
        <w:t xml:space="preserve"> kreditnih </w:t>
      </w:r>
      <w:r w:rsidR="00153015">
        <w:rPr>
          <w:rFonts w:ascii="Arial" w:hAnsi="Arial" w:cs="Arial"/>
          <w:iCs/>
        </w:rPr>
        <w:t>uvjet</w:t>
      </w:r>
      <w:r w:rsidRPr="00677AB0">
        <w:rPr>
          <w:rFonts w:ascii="Arial" w:hAnsi="Arial" w:cs="Arial"/>
          <w:iCs/>
        </w:rPr>
        <w:t>a</w:t>
      </w:r>
      <w:r w:rsidR="00522D4F">
        <w:rPr>
          <w:rFonts w:ascii="Arial" w:hAnsi="Arial" w:cs="Arial"/>
          <w:iCs/>
        </w:rPr>
        <w:t xml:space="preserve"> koji podrazumijevaju </w:t>
      </w:r>
      <w:r w:rsidR="00522D4F">
        <w:rPr>
          <w:rFonts w:ascii="Arial" w:hAnsi="Arial" w:cs="Arial"/>
          <w:iCs/>
        </w:rPr>
        <w:lastRenderedPageBreak/>
        <w:t>kredite s</w:t>
      </w:r>
      <w:r w:rsidRPr="00677AB0">
        <w:rPr>
          <w:rFonts w:ascii="Arial" w:hAnsi="Arial" w:cs="Arial"/>
          <w:iCs/>
        </w:rPr>
        <w:t xml:space="preserve"> većinski ugovorenom fiksnom kamatnom stopom uz preferiranu valutu EUR. </w:t>
      </w:r>
      <w:bookmarkEnd w:id="111"/>
      <w:r w:rsidRPr="00677AB0">
        <w:rPr>
          <w:rFonts w:ascii="Arial" w:hAnsi="Arial" w:cs="Arial"/>
          <w:iCs/>
        </w:rPr>
        <w:t xml:space="preserve"> </w:t>
      </w:r>
    </w:p>
    <w:p w14:paraId="70F5E568" w14:textId="77777777" w:rsidR="0042308F" w:rsidRPr="00677AB0" w:rsidRDefault="0042308F" w:rsidP="0042308F">
      <w:pPr>
        <w:spacing w:after="0"/>
        <w:jc w:val="both"/>
        <w:rPr>
          <w:rFonts w:ascii="Arial" w:hAnsi="Arial" w:cs="Arial"/>
          <w:b/>
          <w:iCs/>
          <w:highlight w:val="yellow"/>
        </w:rPr>
      </w:pPr>
    </w:p>
    <w:p w14:paraId="246EA9EA" w14:textId="77777777" w:rsidR="0042308F" w:rsidRPr="00677AB0" w:rsidRDefault="0042308F" w:rsidP="0042308F">
      <w:pPr>
        <w:spacing w:after="0"/>
        <w:jc w:val="both"/>
        <w:rPr>
          <w:rFonts w:ascii="Arial" w:hAnsi="Arial" w:cs="Arial"/>
          <w:iCs/>
        </w:rPr>
      </w:pPr>
      <w:r w:rsidRPr="00677AB0">
        <w:rPr>
          <w:rFonts w:ascii="Arial" w:hAnsi="Arial" w:cs="Arial"/>
          <w:b/>
          <w:iCs/>
        </w:rPr>
        <w:t>Strategija 4</w:t>
      </w:r>
      <w:r w:rsidRPr="00677AB0">
        <w:rPr>
          <w:rFonts w:ascii="Arial" w:hAnsi="Arial" w:cs="Arial"/>
          <w:iCs/>
        </w:rPr>
        <w:t xml:space="preserve"> (S4): </w:t>
      </w:r>
      <w:r w:rsidRPr="00677AB0">
        <w:rPr>
          <w:rFonts w:ascii="Arial" w:hAnsi="Arial" w:cs="Arial"/>
          <w:bCs/>
          <w:iCs/>
        </w:rPr>
        <w:t>bazira se na</w:t>
      </w:r>
      <w:r w:rsidRPr="00677AB0">
        <w:rPr>
          <w:rFonts w:ascii="Arial" w:hAnsi="Arial" w:cs="Arial"/>
          <w:iCs/>
        </w:rPr>
        <w:t xml:space="preserve"> </w:t>
      </w:r>
      <w:r w:rsidRPr="00677AB0">
        <w:rPr>
          <w:rFonts w:ascii="Arial" w:hAnsi="Arial" w:cs="Arial"/>
          <w:bCs/>
          <w:iCs/>
        </w:rPr>
        <w:t>dosadaš</w:t>
      </w:r>
      <w:r w:rsidR="00522D4F">
        <w:rPr>
          <w:rFonts w:ascii="Arial" w:hAnsi="Arial" w:cs="Arial"/>
          <w:bCs/>
          <w:iCs/>
        </w:rPr>
        <w:t>njem zaduživanju Federacije BiH</w:t>
      </w:r>
      <w:r w:rsidRPr="00677AB0">
        <w:rPr>
          <w:rFonts w:ascii="Arial" w:hAnsi="Arial" w:cs="Arial"/>
          <w:iCs/>
        </w:rPr>
        <w:t xml:space="preserve"> </w:t>
      </w:r>
      <w:r w:rsidRPr="00677AB0">
        <w:rPr>
          <w:rFonts w:ascii="Arial" w:hAnsi="Arial" w:cs="Arial"/>
          <w:bCs/>
          <w:iCs/>
        </w:rPr>
        <w:t xml:space="preserve">u skladu s </w:t>
      </w:r>
      <w:r w:rsidR="007D084A">
        <w:rPr>
          <w:rFonts w:ascii="Arial" w:hAnsi="Arial" w:cs="Arial"/>
          <w:bCs/>
          <w:iCs/>
        </w:rPr>
        <w:t>Proračun</w:t>
      </w:r>
      <w:r w:rsidRPr="00677AB0">
        <w:rPr>
          <w:rFonts w:ascii="Arial" w:hAnsi="Arial" w:cs="Arial"/>
          <w:bCs/>
          <w:iCs/>
        </w:rPr>
        <w:t xml:space="preserve">om Federacije BiH za 2024. godinu, Dokumentom okvirnog </w:t>
      </w:r>
      <w:r w:rsidR="007D084A">
        <w:rPr>
          <w:rFonts w:ascii="Arial" w:hAnsi="Arial" w:cs="Arial"/>
          <w:bCs/>
          <w:iCs/>
        </w:rPr>
        <w:t>proračun</w:t>
      </w:r>
      <w:r w:rsidRPr="00677AB0">
        <w:rPr>
          <w:rFonts w:ascii="Arial" w:hAnsi="Arial" w:cs="Arial"/>
          <w:bCs/>
          <w:iCs/>
        </w:rPr>
        <w:t xml:space="preserve">a Federacije BiH u razdoblju 2024-2026. godina i PJI-a za razdoblje 2024-2026. godine s pretpostavkom </w:t>
      </w:r>
      <w:r w:rsidRPr="00677AB0">
        <w:rPr>
          <w:rFonts w:ascii="Arial" w:hAnsi="Arial" w:cs="Arial"/>
          <w:iCs/>
        </w:rPr>
        <w:t xml:space="preserve"> zamj</w:t>
      </w:r>
      <w:r w:rsidR="00522D4F">
        <w:rPr>
          <w:rFonts w:ascii="Arial" w:hAnsi="Arial" w:cs="Arial"/>
          <w:iCs/>
        </w:rPr>
        <w:t>ene svih domaćih instrumenata s</w:t>
      </w:r>
      <w:r w:rsidRPr="00677AB0">
        <w:rPr>
          <w:rFonts w:ascii="Arial" w:hAnsi="Arial" w:cs="Arial"/>
          <w:iCs/>
        </w:rPr>
        <w:t xml:space="preserve"> izdavanjem desetogodišnjih i petnaestogodišnjih euroobveznica na </w:t>
      </w:r>
      <w:r w:rsidR="00522D4F">
        <w:rPr>
          <w:rFonts w:ascii="Arial" w:hAnsi="Arial" w:cs="Arial"/>
          <w:iCs/>
        </w:rPr>
        <w:t>razini</w:t>
      </w:r>
      <w:r w:rsidRPr="00677AB0">
        <w:rPr>
          <w:rFonts w:ascii="Arial" w:hAnsi="Arial" w:cs="Arial"/>
          <w:iCs/>
        </w:rPr>
        <w:t xml:space="preserve"> koj</w:t>
      </w:r>
      <w:r w:rsidR="00522D4F">
        <w:rPr>
          <w:rFonts w:ascii="Arial" w:hAnsi="Arial" w:cs="Arial"/>
          <w:iCs/>
        </w:rPr>
        <w:t>a</w:t>
      </w:r>
      <w:r w:rsidRPr="00677AB0">
        <w:rPr>
          <w:rFonts w:ascii="Arial" w:hAnsi="Arial" w:cs="Arial"/>
          <w:iCs/>
        </w:rPr>
        <w:t xml:space="preserve"> je adekvat</w:t>
      </w:r>
      <w:r w:rsidR="00522D4F">
        <w:rPr>
          <w:rFonts w:ascii="Arial" w:hAnsi="Arial" w:cs="Arial"/>
          <w:iCs/>
        </w:rPr>
        <w:t>na</w:t>
      </w:r>
      <w:r w:rsidRPr="00677AB0">
        <w:rPr>
          <w:rFonts w:ascii="Arial" w:hAnsi="Arial" w:cs="Arial"/>
          <w:iCs/>
        </w:rPr>
        <w:t xml:space="preserve"> izvorima koji su zamijenjeni. </w:t>
      </w:r>
    </w:p>
    <w:p w14:paraId="44793579" w14:textId="77777777" w:rsidR="0042308F" w:rsidRPr="00677AB0" w:rsidRDefault="0042308F" w:rsidP="0042308F">
      <w:pPr>
        <w:spacing w:after="0"/>
        <w:jc w:val="both"/>
        <w:rPr>
          <w:rFonts w:ascii="Arial" w:hAnsi="Arial" w:cs="Arial"/>
          <w:iCs/>
        </w:rPr>
      </w:pPr>
    </w:p>
    <w:p w14:paraId="79053706"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12" w:name="_Toc100667337"/>
      <w:bookmarkStart w:id="113" w:name="_Toc100751763"/>
      <w:bookmarkStart w:id="114" w:name="_Toc100754220"/>
      <w:bookmarkStart w:id="115" w:name="_Toc100754664"/>
      <w:bookmarkStart w:id="116" w:name="_Toc100755056"/>
      <w:bookmarkStart w:id="117" w:name="_Toc100818787"/>
      <w:bookmarkStart w:id="118" w:name="_Toc100820493"/>
      <w:bookmarkStart w:id="119" w:name="_Toc100822781"/>
      <w:bookmarkStart w:id="120" w:name="_Toc100823320"/>
      <w:bookmarkStart w:id="121" w:name="_Toc100823763"/>
      <w:bookmarkStart w:id="122" w:name="_Toc100667338"/>
      <w:bookmarkStart w:id="123" w:name="_Toc100751764"/>
      <w:bookmarkStart w:id="124" w:name="_Toc100754221"/>
      <w:bookmarkStart w:id="125" w:name="_Toc100754665"/>
      <w:bookmarkStart w:id="126" w:name="_Toc100755057"/>
      <w:bookmarkStart w:id="127" w:name="_Toc100818788"/>
      <w:bookmarkStart w:id="128" w:name="_Toc100820494"/>
      <w:bookmarkStart w:id="129" w:name="_Toc100822782"/>
      <w:bookmarkStart w:id="130" w:name="_Toc100823321"/>
      <w:bookmarkStart w:id="131" w:name="_Toc100823764"/>
      <w:bookmarkStart w:id="132" w:name="_Toc172282256"/>
      <w:bookmarkStart w:id="133" w:name="_Hlk14801453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677AB0">
        <w:rPr>
          <w:rFonts w:ascii="Arial" w:hAnsi="Arial" w:cs="Arial"/>
          <w:b w:val="0"/>
          <w:color w:val="auto"/>
          <w:sz w:val="24"/>
          <w:szCs w:val="24"/>
        </w:rPr>
        <w:t>Analiza troškova i rizika bazne i alternativnih strategija zaduživanja</w:t>
      </w:r>
      <w:bookmarkEnd w:id="132"/>
      <w:r w:rsidRPr="00677AB0">
        <w:rPr>
          <w:rFonts w:ascii="Arial" w:hAnsi="Arial" w:cs="Arial"/>
          <w:b w:val="0"/>
          <w:color w:val="auto"/>
          <w:sz w:val="24"/>
          <w:szCs w:val="24"/>
        </w:rPr>
        <w:t xml:space="preserve"> </w:t>
      </w:r>
    </w:p>
    <w:bookmarkEnd w:id="133"/>
    <w:p w14:paraId="581CD9BD" w14:textId="77777777" w:rsidR="0042308F" w:rsidRPr="00677AB0" w:rsidRDefault="0042308F" w:rsidP="0042308F">
      <w:pPr>
        <w:pStyle w:val="ListParagraph"/>
        <w:spacing w:after="0" w:line="240" w:lineRule="auto"/>
        <w:contextualSpacing w:val="0"/>
        <w:jc w:val="both"/>
        <w:rPr>
          <w:rFonts w:ascii="Arial" w:hAnsi="Arial" w:cs="Arial"/>
          <w:b/>
          <w:color w:val="538135" w:themeColor="accent6" w:themeShade="BF"/>
          <w:sz w:val="24"/>
          <w:szCs w:val="24"/>
        </w:rPr>
      </w:pPr>
    </w:p>
    <w:p w14:paraId="65DA0B8A" w14:textId="77777777" w:rsidR="0042308F" w:rsidRPr="00677AB0" w:rsidRDefault="0042308F" w:rsidP="0042308F">
      <w:pPr>
        <w:spacing w:after="0"/>
        <w:ind w:firstLine="284"/>
        <w:jc w:val="both"/>
        <w:rPr>
          <w:rFonts w:ascii="Arial" w:hAnsi="Arial" w:cs="Arial"/>
          <w:szCs w:val="24"/>
        </w:rPr>
      </w:pPr>
      <w:r w:rsidRPr="00677AB0">
        <w:rPr>
          <w:rFonts w:ascii="Arial" w:hAnsi="Arial" w:cs="Arial"/>
          <w:szCs w:val="24"/>
        </w:rPr>
        <w:t>Utjecaj predloženih strategija je procijenjen u osnovnom i šok scenarij</w:t>
      </w:r>
      <w:r w:rsidR="00550550">
        <w:rPr>
          <w:rFonts w:ascii="Arial" w:hAnsi="Arial" w:cs="Arial"/>
          <w:szCs w:val="24"/>
        </w:rPr>
        <w:t>u</w:t>
      </w:r>
      <w:r w:rsidRPr="00677AB0">
        <w:rPr>
          <w:rFonts w:ascii="Arial" w:hAnsi="Arial" w:cs="Arial"/>
          <w:szCs w:val="24"/>
        </w:rPr>
        <w:t xml:space="preserve">. Dva ključna indikatora troškova (dug/BDP i kamata/BDP) izračunati su kako bi se odredio odnos između troškova i rizika različitih scenarija zaduživanja. Promjene visine neotplaćenog duga uzrokovane promjenom valutnog </w:t>
      </w:r>
      <w:r w:rsidR="00232E4D">
        <w:rPr>
          <w:rFonts w:ascii="Arial" w:hAnsi="Arial" w:cs="Arial"/>
          <w:szCs w:val="24"/>
        </w:rPr>
        <w:t>tečaja</w:t>
      </w:r>
      <w:r w:rsidRPr="00677AB0">
        <w:rPr>
          <w:rFonts w:ascii="Arial" w:hAnsi="Arial" w:cs="Arial"/>
          <w:szCs w:val="24"/>
        </w:rPr>
        <w:t xml:space="preserve"> odražavaju se na odnos dug/BDP. U</w:t>
      </w:r>
      <w:r w:rsidR="00232E4D">
        <w:rPr>
          <w:rFonts w:ascii="Arial" w:hAnsi="Arial" w:cs="Arial"/>
          <w:szCs w:val="24"/>
        </w:rPr>
        <w:t>djel</w:t>
      </w:r>
      <w:r w:rsidRPr="00677AB0">
        <w:rPr>
          <w:rFonts w:ascii="Arial" w:hAnsi="Arial" w:cs="Arial"/>
          <w:szCs w:val="24"/>
        </w:rPr>
        <w:t xml:space="preserve"> do sada plaćene kamate u BDP-u daje procjenu potencijalnog utjecaja svake stra</w:t>
      </w:r>
      <w:r w:rsidRPr="00677AB0">
        <w:rPr>
          <w:rFonts w:ascii="Arial" w:hAnsi="Arial" w:cs="Arial"/>
          <w:szCs w:val="24"/>
        </w:rPr>
        <w:lastRenderedPageBreak/>
        <w:t xml:space="preserve">tegije na </w:t>
      </w:r>
      <w:r w:rsidR="007D084A">
        <w:rPr>
          <w:rFonts w:ascii="Arial" w:hAnsi="Arial" w:cs="Arial"/>
          <w:szCs w:val="24"/>
        </w:rPr>
        <w:t>proračun</w:t>
      </w:r>
      <w:r w:rsidRPr="00677AB0">
        <w:rPr>
          <w:rFonts w:ascii="Arial" w:hAnsi="Arial" w:cs="Arial"/>
          <w:szCs w:val="24"/>
        </w:rPr>
        <w:t>. Rizik da</w:t>
      </w:r>
      <w:r w:rsidR="00232E4D">
        <w:rPr>
          <w:rFonts w:ascii="Arial" w:hAnsi="Arial" w:cs="Arial"/>
          <w:szCs w:val="24"/>
        </w:rPr>
        <w:t>n</w:t>
      </w:r>
      <w:r w:rsidRPr="00677AB0">
        <w:rPr>
          <w:rFonts w:ascii="Arial" w:hAnsi="Arial" w:cs="Arial"/>
          <w:szCs w:val="24"/>
        </w:rPr>
        <w:t xml:space="preserve">e strategije je razlika između njenih troškova u scenariju šoka u odnosu na osnovni (bazni) scenarij. </w:t>
      </w:r>
    </w:p>
    <w:p w14:paraId="78F98BD7" w14:textId="77777777" w:rsidR="0042308F" w:rsidRPr="00677AB0" w:rsidRDefault="0042308F" w:rsidP="0042308F">
      <w:pPr>
        <w:spacing w:after="0"/>
        <w:jc w:val="both"/>
        <w:rPr>
          <w:rFonts w:ascii="Arial" w:hAnsi="Arial" w:cs="Arial"/>
          <w:szCs w:val="24"/>
          <w:highlight w:val="yellow"/>
        </w:rPr>
      </w:pPr>
    </w:p>
    <w:p w14:paraId="1876A7BA" w14:textId="77777777" w:rsidR="0042308F" w:rsidRDefault="0042308F" w:rsidP="0042308F">
      <w:pPr>
        <w:spacing w:after="0"/>
        <w:ind w:firstLine="284"/>
        <w:jc w:val="both"/>
        <w:rPr>
          <w:rFonts w:ascii="Arial" w:hAnsi="Arial" w:cs="Arial"/>
          <w:szCs w:val="24"/>
        </w:rPr>
      </w:pPr>
      <w:r w:rsidRPr="00677AB0">
        <w:rPr>
          <w:rFonts w:ascii="Arial" w:hAnsi="Arial" w:cs="Arial"/>
          <w:szCs w:val="24"/>
        </w:rPr>
        <w:t>Trošak servisiranja d</w:t>
      </w:r>
      <w:r w:rsidR="00232E4D">
        <w:rPr>
          <w:rFonts w:ascii="Arial" w:hAnsi="Arial" w:cs="Arial"/>
          <w:szCs w:val="24"/>
        </w:rPr>
        <w:t>uga u direktnoj je korelaciji s</w:t>
      </w:r>
      <w:r w:rsidRPr="00677AB0">
        <w:rPr>
          <w:rFonts w:ascii="Arial" w:hAnsi="Arial" w:cs="Arial"/>
          <w:szCs w:val="24"/>
        </w:rPr>
        <w:t xml:space="preserve"> p</w:t>
      </w:r>
      <w:r w:rsidR="00232E4D">
        <w:rPr>
          <w:rFonts w:ascii="Arial" w:hAnsi="Arial" w:cs="Arial"/>
          <w:szCs w:val="24"/>
        </w:rPr>
        <w:t>romjenama kamatnih stopa. Dug s</w:t>
      </w:r>
      <w:r w:rsidRPr="00677AB0">
        <w:rPr>
          <w:rFonts w:ascii="Arial" w:hAnsi="Arial" w:cs="Arial"/>
          <w:szCs w:val="24"/>
        </w:rPr>
        <w:t xml:space="preserve"> visokim kamatnim stopama generira t</w:t>
      </w:r>
      <w:r w:rsidR="00232E4D">
        <w:rPr>
          <w:rFonts w:ascii="Arial" w:hAnsi="Arial" w:cs="Arial"/>
          <w:szCs w:val="24"/>
        </w:rPr>
        <w:t>ije</w:t>
      </w:r>
      <w:r w:rsidRPr="00677AB0">
        <w:rPr>
          <w:rFonts w:ascii="Arial" w:hAnsi="Arial" w:cs="Arial"/>
          <w:szCs w:val="24"/>
        </w:rPr>
        <w:t>kom vremena veće troškove duga, odnosno povećava potrebe za re</w:t>
      </w:r>
      <w:r>
        <w:rPr>
          <w:rFonts w:ascii="Arial" w:hAnsi="Arial" w:cs="Arial"/>
          <w:szCs w:val="24"/>
        </w:rPr>
        <w:t>financ</w:t>
      </w:r>
      <w:r w:rsidRPr="00677AB0">
        <w:rPr>
          <w:rFonts w:ascii="Arial" w:hAnsi="Arial" w:cs="Arial"/>
          <w:szCs w:val="24"/>
        </w:rPr>
        <w:t xml:space="preserve">iranjem. Strategija S4 ima najveće troškove (Slika 12.) zbog strukture duga u kojoj dominira vanjsko zaduživanje u EUR-ima kombinacijom desetogodišnjih i petnaestogodišnjih euroobveznica u </w:t>
      </w:r>
      <w:r w:rsidR="00153015">
        <w:rPr>
          <w:rFonts w:ascii="Arial" w:hAnsi="Arial" w:cs="Arial"/>
          <w:szCs w:val="24"/>
        </w:rPr>
        <w:t>uvjet</w:t>
      </w:r>
      <w:r w:rsidRPr="00677AB0">
        <w:rPr>
          <w:rFonts w:ascii="Arial" w:hAnsi="Arial" w:cs="Arial"/>
          <w:szCs w:val="24"/>
        </w:rPr>
        <w:t xml:space="preserve">ima tržišnih kamatnih stopa. Strategije S1, S2 i S3 imaju približno iste troškove, s tim da je strategija S2 najrizičnija s obzirom da su u strategiji S2 razmatrani kreditni </w:t>
      </w:r>
      <w:r w:rsidR="00153015">
        <w:rPr>
          <w:rFonts w:ascii="Arial" w:hAnsi="Arial" w:cs="Arial"/>
          <w:szCs w:val="24"/>
        </w:rPr>
        <w:t>uvjet</w:t>
      </w:r>
      <w:r w:rsidRPr="00677AB0">
        <w:rPr>
          <w:rFonts w:ascii="Arial" w:hAnsi="Arial" w:cs="Arial"/>
          <w:szCs w:val="24"/>
        </w:rPr>
        <w:t>i u kojima u većem o</w:t>
      </w:r>
      <w:r w:rsidR="00232E4D">
        <w:rPr>
          <w:rFonts w:ascii="Arial" w:hAnsi="Arial" w:cs="Arial"/>
          <w:szCs w:val="24"/>
        </w:rPr>
        <w:t>psegu</w:t>
      </w:r>
      <w:r w:rsidRPr="00677AB0">
        <w:rPr>
          <w:rFonts w:ascii="Arial" w:hAnsi="Arial" w:cs="Arial"/>
          <w:szCs w:val="24"/>
        </w:rPr>
        <w:t xml:space="preserve"> prevladavaju promjenjive kamatne stope, dok najm</w:t>
      </w:r>
      <w:r w:rsidR="00232E4D">
        <w:rPr>
          <w:rFonts w:ascii="Arial" w:hAnsi="Arial" w:cs="Arial"/>
          <w:szCs w:val="24"/>
        </w:rPr>
        <w:t>anji rizik ima strategija S3 s</w:t>
      </w:r>
      <w:r w:rsidRPr="00677AB0">
        <w:rPr>
          <w:rFonts w:ascii="Arial" w:hAnsi="Arial" w:cs="Arial"/>
          <w:szCs w:val="24"/>
        </w:rPr>
        <w:t xml:space="preserve"> kreditnim </w:t>
      </w:r>
      <w:r w:rsidR="00153015">
        <w:rPr>
          <w:rFonts w:ascii="Arial" w:hAnsi="Arial" w:cs="Arial"/>
          <w:szCs w:val="24"/>
        </w:rPr>
        <w:t>uvjet</w:t>
      </w:r>
      <w:r w:rsidR="00232E4D">
        <w:rPr>
          <w:rFonts w:ascii="Arial" w:hAnsi="Arial" w:cs="Arial"/>
          <w:szCs w:val="24"/>
        </w:rPr>
        <w:t>ima većinom s</w:t>
      </w:r>
      <w:r w:rsidRPr="00677AB0">
        <w:rPr>
          <w:rFonts w:ascii="Arial" w:hAnsi="Arial" w:cs="Arial"/>
          <w:szCs w:val="24"/>
        </w:rPr>
        <w:t xml:space="preserve"> fiksnom kamatnom stopom. Najveći rizik za sve strategije u pogledu omjera kamata/BDP predstavlja ekstremni kamatni šok u 2. godini strategije. </w:t>
      </w:r>
    </w:p>
    <w:p w14:paraId="1B0D3E59" w14:textId="77777777" w:rsidR="00232E4D" w:rsidRPr="00677AB0" w:rsidRDefault="00232E4D" w:rsidP="0042308F">
      <w:pPr>
        <w:spacing w:after="0"/>
        <w:ind w:firstLine="284"/>
        <w:jc w:val="both"/>
        <w:rPr>
          <w:rFonts w:ascii="Arial" w:hAnsi="Arial" w:cs="Arial"/>
          <w:szCs w:val="24"/>
        </w:rPr>
      </w:pPr>
    </w:p>
    <w:p w14:paraId="661DA383" w14:textId="77777777" w:rsidR="0042308F" w:rsidRPr="00677AB0" w:rsidRDefault="0042308F" w:rsidP="0042308F">
      <w:pPr>
        <w:spacing w:after="0" w:line="240" w:lineRule="auto"/>
        <w:jc w:val="both"/>
        <w:rPr>
          <w:rFonts w:ascii="Arial" w:hAnsi="Arial" w:cs="Arial"/>
          <w:i/>
          <w:sz w:val="20"/>
        </w:rPr>
      </w:pPr>
      <w:r w:rsidRPr="00677AB0">
        <w:rPr>
          <w:rFonts w:ascii="Arial" w:hAnsi="Arial" w:cs="Arial"/>
          <w:i/>
          <w:sz w:val="20"/>
        </w:rPr>
        <w:t>Slika 12. U</w:t>
      </w:r>
      <w:r w:rsidR="00232E4D">
        <w:rPr>
          <w:rFonts w:ascii="Arial" w:hAnsi="Arial" w:cs="Arial"/>
          <w:i/>
          <w:sz w:val="20"/>
        </w:rPr>
        <w:t>djel</w:t>
      </w:r>
      <w:r w:rsidRPr="00677AB0">
        <w:rPr>
          <w:rFonts w:ascii="Arial" w:hAnsi="Arial" w:cs="Arial"/>
          <w:i/>
          <w:sz w:val="20"/>
        </w:rPr>
        <w:t xml:space="preserve"> troškova kamata u BDP-u (kraj 2026. godine)</w:t>
      </w:r>
    </w:p>
    <w:p w14:paraId="1A16C7DC" w14:textId="77777777" w:rsidR="0042308F" w:rsidRPr="00677AB0" w:rsidRDefault="0042308F" w:rsidP="0042308F">
      <w:pPr>
        <w:spacing w:after="0" w:line="240" w:lineRule="auto"/>
        <w:jc w:val="both"/>
        <w:rPr>
          <w:rFonts w:ascii="Arial" w:hAnsi="Arial" w:cs="Arial"/>
          <w:i/>
          <w:sz w:val="20"/>
        </w:rPr>
      </w:pPr>
      <w:r w:rsidRPr="00677AB0">
        <w:rPr>
          <w:noProof/>
          <w:lang w:eastAsia="hr-HR"/>
        </w:rPr>
        <w:lastRenderedPageBreak/>
        <w:drawing>
          <wp:inline distT="0" distB="0" distL="0" distR="0" wp14:anchorId="1201F5E3" wp14:editId="7042BFD5">
            <wp:extent cx="5796000" cy="2160000"/>
            <wp:effectExtent l="0" t="0" r="14605" b="12065"/>
            <wp:docPr id="10" name="Chart 10">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FE12A4" w14:textId="77777777" w:rsidR="0042308F" w:rsidRPr="00677AB0" w:rsidRDefault="0042308F" w:rsidP="0042308F">
      <w:pPr>
        <w:spacing w:after="0" w:line="240" w:lineRule="auto"/>
        <w:jc w:val="both"/>
        <w:rPr>
          <w:rFonts w:ascii="Arial" w:hAnsi="Arial" w:cs="Arial"/>
          <w:iCs/>
          <w:szCs w:val="24"/>
        </w:rPr>
      </w:pPr>
    </w:p>
    <w:p w14:paraId="0C1E27F9" w14:textId="77777777" w:rsidR="0042308F" w:rsidRPr="00677AB0" w:rsidRDefault="0042308F" w:rsidP="0042308F">
      <w:pPr>
        <w:spacing w:after="0"/>
        <w:ind w:firstLine="426"/>
        <w:jc w:val="both"/>
        <w:rPr>
          <w:rFonts w:ascii="Arial" w:hAnsi="Arial" w:cs="Arial"/>
          <w:szCs w:val="24"/>
        </w:rPr>
      </w:pPr>
    </w:p>
    <w:p w14:paraId="7BF041D0" w14:textId="77777777" w:rsidR="0042308F" w:rsidRPr="00677AB0" w:rsidRDefault="0042308F" w:rsidP="0042308F">
      <w:pPr>
        <w:spacing w:after="0"/>
        <w:ind w:firstLine="426"/>
        <w:jc w:val="both"/>
        <w:rPr>
          <w:rFonts w:ascii="Arial" w:hAnsi="Arial" w:cs="Arial"/>
          <w:szCs w:val="24"/>
        </w:rPr>
      </w:pPr>
      <w:r w:rsidRPr="00677AB0">
        <w:rPr>
          <w:rFonts w:ascii="Arial" w:hAnsi="Arial" w:cs="Arial"/>
          <w:szCs w:val="24"/>
        </w:rPr>
        <w:t xml:space="preserve">Najveći rizik </w:t>
      </w:r>
      <w:r>
        <w:rPr>
          <w:rFonts w:ascii="Arial" w:hAnsi="Arial" w:cs="Arial"/>
          <w:szCs w:val="24"/>
        </w:rPr>
        <w:t>portfelja</w:t>
      </w:r>
      <w:r w:rsidRPr="00677AB0">
        <w:rPr>
          <w:rFonts w:ascii="Arial" w:hAnsi="Arial" w:cs="Arial"/>
          <w:szCs w:val="24"/>
        </w:rPr>
        <w:t xml:space="preserve"> duga za sve četiri testirane strategije, u pogledu omjera dug/BDP predstavlja valutni rizik u slučaju nagle promjene deviznog </w:t>
      </w:r>
      <w:r w:rsidR="00232E4D">
        <w:rPr>
          <w:rFonts w:ascii="Arial" w:hAnsi="Arial" w:cs="Arial"/>
          <w:szCs w:val="24"/>
        </w:rPr>
        <w:t>tečaja</w:t>
      </w:r>
      <w:r w:rsidRPr="00677AB0">
        <w:rPr>
          <w:rFonts w:ascii="Arial" w:hAnsi="Arial" w:cs="Arial"/>
          <w:szCs w:val="24"/>
        </w:rPr>
        <w:t xml:space="preserve"> odnosno aprecijacije USD u odnosu na KM i EUR (šok od 30% u 2. godini). </w:t>
      </w:r>
    </w:p>
    <w:p w14:paraId="4B19B7E8" w14:textId="77777777" w:rsidR="0042308F" w:rsidRPr="00677AB0" w:rsidRDefault="0042308F" w:rsidP="0042308F">
      <w:pPr>
        <w:spacing w:after="0"/>
        <w:ind w:firstLine="426"/>
        <w:jc w:val="both"/>
        <w:rPr>
          <w:rFonts w:ascii="Arial" w:hAnsi="Arial" w:cs="Arial"/>
          <w:szCs w:val="24"/>
        </w:rPr>
      </w:pPr>
      <w:r>
        <w:rPr>
          <w:rFonts w:ascii="Arial" w:hAnsi="Arial" w:cs="Arial"/>
          <w:szCs w:val="24"/>
        </w:rPr>
        <w:t>Portfelj</w:t>
      </w:r>
      <w:r w:rsidRPr="00677AB0">
        <w:rPr>
          <w:rFonts w:ascii="Arial" w:hAnsi="Arial" w:cs="Arial"/>
          <w:szCs w:val="24"/>
        </w:rPr>
        <w:t xml:space="preserve"> koji ima već</w:t>
      </w:r>
      <w:r w:rsidR="00232E4D">
        <w:rPr>
          <w:rFonts w:ascii="Arial" w:hAnsi="Arial" w:cs="Arial"/>
          <w:szCs w:val="24"/>
        </w:rPr>
        <w:t>i</w:t>
      </w:r>
      <w:r w:rsidRPr="00677AB0">
        <w:rPr>
          <w:rFonts w:ascii="Arial" w:hAnsi="Arial" w:cs="Arial"/>
          <w:szCs w:val="24"/>
        </w:rPr>
        <w:t xml:space="preserve"> u</w:t>
      </w:r>
      <w:r w:rsidR="00232E4D">
        <w:rPr>
          <w:rFonts w:ascii="Arial" w:hAnsi="Arial" w:cs="Arial"/>
          <w:szCs w:val="24"/>
        </w:rPr>
        <w:t>djel</w:t>
      </w:r>
      <w:r w:rsidRPr="00677AB0">
        <w:rPr>
          <w:rFonts w:ascii="Arial" w:hAnsi="Arial" w:cs="Arial"/>
          <w:szCs w:val="24"/>
        </w:rPr>
        <w:t xml:space="preserve"> neeursk</w:t>
      </w:r>
      <w:r w:rsidR="00232E4D">
        <w:rPr>
          <w:rFonts w:ascii="Arial" w:hAnsi="Arial" w:cs="Arial"/>
          <w:szCs w:val="24"/>
        </w:rPr>
        <w:t>ih valuta u stanju neotplaćenog</w:t>
      </w:r>
      <w:r w:rsidRPr="00677AB0">
        <w:rPr>
          <w:rFonts w:ascii="Arial" w:hAnsi="Arial" w:cs="Arial"/>
          <w:szCs w:val="24"/>
        </w:rPr>
        <w:t xml:space="preserve"> vanjskog duga izložen je većem riziku kada je u pitanju </w:t>
      </w:r>
      <w:r w:rsidR="00906DF3" w:rsidRPr="00677AB0">
        <w:rPr>
          <w:rFonts w:ascii="Arial" w:hAnsi="Arial" w:cs="Arial"/>
          <w:szCs w:val="24"/>
        </w:rPr>
        <w:t>aprecijacija</w:t>
      </w:r>
      <w:r w:rsidRPr="00677AB0">
        <w:rPr>
          <w:rFonts w:ascii="Arial" w:hAnsi="Arial" w:cs="Arial"/>
          <w:szCs w:val="24"/>
        </w:rPr>
        <w:t xml:space="preserve"> stranih valuta u odnosu na domaću. Strategija S4 je najosjetljivija strategija na promjene deviznih </w:t>
      </w:r>
      <w:r w:rsidR="006E72EF">
        <w:rPr>
          <w:rFonts w:ascii="Arial" w:hAnsi="Arial" w:cs="Arial"/>
          <w:szCs w:val="24"/>
        </w:rPr>
        <w:t>tečajeva</w:t>
      </w:r>
      <w:r w:rsidRPr="00677AB0">
        <w:rPr>
          <w:rFonts w:ascii="Arial" w:hAnsi="Arial" w:cs="Arial"/>
          <w:szCs w:val="24"/>
        </w:rPr>
        <w:t>, zbog niskog u</w:t>
      </w:r>
      <w:r w:rsidR="006E72EF">
        <w:rPr>
          <w:rFonts w:ascii="Arial" w:hAnsi="Arial" w:cs="Arial"/>
          <w:szCs w:val="24"/>
        </w:rPr>
        <w:t>djela</w:t>
      </w:r>
      <w:r w:rsidRPr="00677AB0">
        <w:rPr>
          <w:rFonts w:ascii="Arial" w:hAnsi="Arial" w:cs="Arial"/>
          <w:szCs w:val="24"/>
        </w:rPr>
        <w:t xml:space="preserve"> domaćeg zaduživanja i značajnijeg vanjskog zaduživanja.</w:t>
      </w:r>
    </w:p>
    <w:p w14:paraId="34B11620" w14:textId="77777777" w:rsidR="0042308F" w:rsidRPr="00677AB0" w:rsidRDefault="0042308F" w:rsidP="0042308F">
      <w:pPr>
        <w:spacing w:after="0"/>
        <w:ind w:firstLine="426"/>
        <w:jc w:val="both"/>
        <w:rPr>
          <w:rFonts w:ascii="Arial" w:hAnsi="Arial" w:cs="Arial"/>
          <w:szCs w:val="24"/>
        </w:rPr>
      </w:pPr>
      <w:r w:rsidRPr="00677AB0">
        <w:rPr>
          <w:rFonts w:ascii="Arial" w:hAnsi="Arial" w:cs="Arial"/>
          <w:szCs w:val="24"/>
        </w:rPr>
        <w:t xml:space="preserve"> Kao i u slučaju prethodnog indikatora strategije S1, S2 i S3 imaju najmanje troškove i manje su rizične u odnosu na strategije S4 koja je najrizičnija i najskuplja. </w:t>
      </w:r>
    </w:p>
    <w:p w14:paraId="08AA911C" w14:textId="77777777" w:rsidR="0042308F" w:rsidRPr="00677AB0" w:rsidRDefault="0042308F" w:rsidP="0042308F">
      <w:pPr>
        <w:spacing w:after="0"/>
        <w:ind w:firstLine="426"/>
        <w:jc w:val="both"/>
        <w:rPr>
          <w:rFonts w:ascii="Arial" w:hAnsi="Arial" w:cs="Arial"/>
          <w:szCs w:val="24"/>
        </w:rPr>
      </w:pPr>
      <w:r w:rsidRPr="00677AB0">
        <w:rPr>
          <w:rFonts w:ascii="Arial" w:hAnsi="Arial" w:cs="Arial"/>
          <w:szCs w:val="24"/>
        </w:rPr>
        <w:lastRenderedPageBreak/>
        <w:t xml:space="preserve">Strategija S4 je najosjetljivija na promjene deviznog </w:t>
      </w:r>
      <w:r w:rsidR="006E72EF">
        <w:rPr>
          <w:rFonts w:ascii="Arial" w:hAnsi="Arial" w:cs="Arial"/>
          <w:szCs w:val="24"/>
        </w:rPr>
        <w:t>tečaja</w:t>
      </w:r>
      <w:r w:rsidRPr="00677AB0">
        <w:rPr>
          <w:rFonts w:ascii="Arial" w:hAnsi="Arial" w:cs="Arial"/>
          <w:szCs w:val="24"/>
        </w:rPr>
        <w:t xml:space="preserve"> i ima veće odstupanje baznog scenarija u odnosu na ostale strategije jer ova strategija podrazumijeva izdavanje euroobveznice na vanjskom tržištu kao i zaduživanje u neeurskim valutama (USD i SDR).</w:t>
      </w:r>
    </w:p>
    <w:p w14:paraId="128D9D97" w14:textId="77777777" w:rsidR="0042308F" w:rsidRPr="00677AB0" w:rsidRDefault="0042308F" w:rsidP="0042308F">
      <w:pPr>
        <w:spacing w:after="0"/>
        <w:ind w:firstLine="426"/>
        <w:jc w:val="both"/>
        <w:rPr>
          <w:rFonts w:ascii="Arial" w:hAnsi="Arial" w:cs="Arial"/>
          <w:szCs w:val="24"/>
        </w:rPr>
      </w:pPr>
      <w:r w:rsidRPr="00677AB0">
        <w:rPr>
          <w:rFonts w:ascii="Arial" w:hAnsi="Arial" w:cs="Arial"/>
          <w:szCs w:val="24"/>
        </w:rPr>
        <w:t xml:space="preserve">U slučaju ekstremnog deviznog šoka (aprecijacija USD u odnosu na BAM u iznosu od 30%) odstupanje šok scenarija od baznog, iznosi od 3,1250%–3,2927%, procijenjenog BDP-a u 2026. godini s tim da je to odstupanje najmanje u Strategiji S3. </w:t>
      </w:r>
    </w:p>
    <w:p w14:paraId="5DE36918" w14:textId="77777777" w:rsidR="0042308F" w:rsidRPr="00677AB0" w:rsidRDefault="0042308F" w:rsidP="0042308F">
      <w:pPr>
        <w:spacing w:after="0" w:line="240" w:lineRule="auto"/>
        <w:jc w:val="both"/>
        <w:rPr>
          <w:rFonts w:ascii="Arial" w:hAnsi="Arial" w:cs="Arial"/>
          <w:i/>
          <w:szCs w:val="24"/>
        </w:rPr>
      </w:pPr>
    </w:p>
    <w:p w14:paraId="7843A33E" w14:textId="77777777" w:rsidR="0042308F" w:rsidRPr="00677AB0" w:rsidRDefault="0042308F" w:rsidP="0042308F">
      <w:pPr>
        <w:spacing w:after="0" w:line="240" w:lineRule="auto"/>
        <w:jc w:val="both"/>
        <w:rPr>
          <w:rFonts w:ascii="Arial" w:hAnsi="Arial" w:cs="Arial"/>
          <w:i/>
          <w:color w:val="538135" w:themeColor="accent6" w:themeShade="BF"/>
          <w:sz w:val="18"/>
          <w:szCs w:val="20"/>
        </w:rPr>
      </w:pPr>
      <w:r w:rsidRPr="00677AB0">
        <w:rPr>
          <w:rFonts w:ascii="Arial" w:hAnsi="Arial" w:cs="Arial"/>
          <w:i/>
          <w:sz w:val="20"/>
        </w:rPr>
        <w:t>Slika 13. U</w:t>
      </w:r>
      <w:r w:rsidR="006E72EF">
        <w:rPr>
          <w:rFonts w:ascii="Arial" w:hAnsi="Arial" w:cs="Arial"/>
          <w:i/>
          <w:sz w:val="20"/>
        </w:rPr>
        <w:t>djel</w:t>
      </w:r>
      <w:r w:rsidRPr="00677AB0">
        <w:rPr>
          <w:rFonts w:ascii="Arial" w:hAnsi="Arial" w:cs="Arial"/>
          <w:i/>
          <w:sz w:val="20"/>
        </w:rPr>
        <w:t xml:space="preserve"> duga u BDP-u</w:t>
      </w:r>
      <w:r w:rsidRPr="00677AB0">
        <w:rPr>
          <w:rFonts w:ascii="Arial" w:hAnsi="Arial" w:cs="Arial"/>
          <w:i/>
          <w:sz w:val="18"/>
          <w:szCs w:val="20"/>
        </w:rPr>
        <w:t xml:space="preserve">  </w:t>
      </w:r>
      <w:r w:rsidRPr="00677AB0">
        <w:rPr>
          <w:rFonts w:ascii="Arial" w:hAnsi="Arial" w:cs="Arial"/>
          <w:i/>
          <w:sz w:val="20"/>
        </w:rPr>
        <w:t>(kraj 2026. godine)</w:t>
      </w:r>
      <w:r w:rsidRPr="00677AB0">
        <w:rPr>
          <w:rFonts w:ascii="Arial" w:hAnsi="Arial" w:cs="Arial"/>
          <w:i/>
          <w:color w:val="538135" w:themeColor="accent6" w:themeShade="BF"/>
          <w:sz w:val="18"/>
          <w:szCs w:val="20"/>
        </w:rPr>
        <w:t xml:space="preserve">     </w:t>
      </w:r>
    </w:p>
    <w:p w14:paraId="55DA8672" w14:textId="77777777" w:rsidR="0042308F" w:rsidRPr="00677AB0" w:rsidRDefault="0042308F" w:rsidP="0042308F">
      <w:pPr>
        <w:spacing w:after="0" w:line="240" w:lineRule="auto"/>
        <w:jc w:val="both"/>
        <w:rPr>
          <w:rFonts w:ascii="Arial" w:hAnsi="Arial" w:cs="Arial"/>
          <w:i/>
          <w:color w:val="538135" w:themeColor="accent6" w:themeShade="BF"/>
          <w:sz w:val="18"/>
          <w:szCs w:val="20"/>
        </w:rPr>
      </w:pPr>
      <w:r w:rsidRPr="00677AB0">
        <w:rPr>
          <w:noProof/>
          <w:lang w:eastAsia="hr-HR"/>
        </w:rPr>
        <w:drawing>
          <wp:inline distT="0" distB="0" distL="0" distR="0" wp14:anchorId="4BC63B53" wp14:editId="0EDEBD31">
            <wp:extent cx="5637530" cy="2427889"/>
            <wp:effectExtent l="0" t="0" r="1270" b="10795"/>
            <wp:docPr id="11" name="Chart 1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64A63F" w14:textId="77777777" w:rsidR="0042308F" w:rsidRPr="00677AB0" w:rsidRDefault="0042308F" w:rsidP="0042308F">
      <w:pPr>
        <w:spacing w:after="0" w:line="240" w:lineRule="auto"/>
        <w:jc w:val="both"/>
        <w:rPr>
          <w:rFonts w:ascii="Arial" w:hAnsi="Arial" w:cs="Arial"/>
          <w:i/>
          <w:color w:val="538135" w:themeColor="accent6" w:themeShade="BF"/>
          <w:sz w:val="16"/>
          <w:szCs w:val="16"/>
        </w:rPr>
      </w:pPr>
      <w:r w:rsidRPr="00677AB0">
        <w:rPr>
          <w:rFonts w:ascii="Arial" w:hAnsi="Arial" w:cs="Arial"/>
          <w:i/>
          <w:color w:val="538135" w:themeColor="accent6" w:themeShade="BF"/>
          <w:sz w:val="20"/>
        </w:rPr>
        <w:t xml:space="preserve"> </w:t>
      </w:r>
    </w:p>
    <w:p w14:paraId="1F4A88C5" w14:textId="77777777" w:rsidR="0042308F" w:rsidRPr="00677AB0" w:rsidRDefault="0042308F" w:rsidP="0042308F">
      <w:pPr>
        <w:spacing w:after="0" w:line="240" w:lineRule="auto"/>
        <w:jc w:val="both"/>
        <w:rPr>
          <w:rFonts w:ascii="Arial" w:hAnsi="Arial" w:cs="Arial"/>
          <w:i/>
          <w:color w:val="538135" w:themeColor="accent6" w:themeShade="BF"/>
          <w:sz w:val="16"/>
          <w:szCs w:val="16"/>
        </w:rPr>
      </w:pPr>
    </w:p>
    <w:p w14:paraId="096DA4CB" w14:textId="77777777" w:rsidR="0042308F" w:rsidRPr="00677AB0" w:rsidRDefault="0042308F" w:rsidP="0042308F">
      <w:pPr>
        <w:spacing w:after="0" w:line="240" w:lineRule="auto"/>
        <w:jc w:val="both"/>
        <w:rPr>
          <w:rFonts w:ascii="Arial" w:hAnsi="Arial" w:cs="Arial"/>
          <w:i/>
          <w:color w:val="538135" w:themeColor="accent6" w:themeShade="BF"/>
          <w:sz w:val="16"/>
          <w:szCs w:val="16"/>
        </w:rPr>
      </w:pPr>
      <w:r w:rsidRPr="00677AB0">
        <w:rPr>
          <w:rFonts w:ascii="Arial" w:hAnsi="Arial" w:cs="Arial"/>
          <w:i/>
          <w:color w:val="538135" w:themeColor="accent6" w:themeShade="BF"/>
          <w:sz w:val="16"/>
          <w:szCs w:val="16"/>
        </w:rPr>
        <w:t xml:space="preserve">                      </w:t>
      </w:r>
    </w:p>
    <w:p w14:paraId="4E57AE33" w14:textId="77777777" w:rsidR="0042308F" w:rsidRPr="00677AB0" w:rsidRDefault="0042308F" w:rsidP="0042308F">
      <w:pPr>
        <w:spacing w:after="0"/>
        <w:jc w:val="center"/>
        <w:rPr>
          <w:rFonts w:ascii="Arial" w:hAnsi="Arial" w:cs="Arial"/>
        </w:rPr>
      </w:pPr>
    </w:p>
    <w:p w14:paraId="14C2CC0C"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34" w:name="_Toc172282257"/>
      <w:r w:rsidRPr="00677AB0">
        <w:rPr>
          <w:rFonts w:ascii="Arial" w:hAnsi="Arial" w:cs="Arial"/>
          <w:b w:val="0"/>
          <w:color w:val="auto"/>
          <w:sz w:val="24"/>
          <w:szCs w:val="24"/>
        </w:rPr>
        <w:t>Indikatori rizika alternativnih strategija</w:t>
      </w:r>
      <w:bookmarkEnd w:id="134"/>
    </w:p>
    <w:p w14:paraId="101AA2F5" w14:textId="77777777" w:rsidR="0042308F" w:rsidRPr="00677AB0" w:rsidRDefault="0042308F" w:rsidP="0042308F">
      <w:pPr>
        <w:spacing w:after="0" w:line="240" w:lineRule="auto"/>
        <w:jc w:val="both"/>
        <w:rPr>
          <w:rFonts w:ascii="Arial" w:hAnsi="Arial" w:cs="Arial"/>
        </w:rPr>
      </w:pPr>
    </w:p>
    <w:p w14:paraId="68EA4620" w14:textId="77777777" w:rsidR="0042308F" w:rsidRPr="00677AB0" w:rsidRDefault="0042308F" w:rsidP="0042308F">
      <w:pPr>
        <w:spacing w:after="0"/>
        <w:ind w:firstLine="284"/>
        <w:jc w:val="both"/>
        <w:rPr>
          <w:rFonts w:ascii="Arial" w:hAnsi="Arial" w:cs="Arial"/>
        </w:rPr>
      </w:pPr>
      <w:r w:rsidRPr="00677AB0">
        <w:rPr>
          <w:rFonts w:ascii="Arial" w:hAnsi="Arial" w:cs="Arial"/>
        </w:rPr>
        <w:lastRenderedPageBreak/>
        <w:t xml:space="preserve">Budući da odnosi </w:t>
      </w:r>
      <w:r w:rsidRPr="00677AB0">
        <w:rPr>
          <w:rFonts w:ascii="Arial" w:hAnsi="Arial" w:cs="Arial"/>
          <w:i/>
        </w:rPr>
        <w:t>dug/BDP</w:t>
      </w:r>
      <w:r w:rsidRPr="00677AB0">
        <w:rPr>
          <w:rFonts w:ascii="Arial" w:hAnsi="Arial" w:cs="Arial"/>
        </w:rPr>
        <w:t xml:space="preserve"> i </w:t>
      </w:r>
      <w:r w:rsidRPr="00677AB0">
        <w:rPr>
          <w:rFonts w:ascii="Arial" w:hAnsi="Arial" w:cs="Arial"/>
          <w:i/>
        </w:rPr>
        <w:t>kamata/BDP</w:t>
      </w:r>
      <w:r w:rsidRPr="00677AB0">
        <w:rPr>
          <w:rFonts w:ascii="Arial" w:hAnsi="Arial" w:cs="Arial"/>
        </w:rPr>
        <w:t xml:space="preserve"> nisu dovoljni za procjenu rizika analizirani su i drugi indikatori: rizik re</w:t>
      </w:r>
      <w:r>
        <w:rPr>
          <w:rFonts w:ascii="Arial" w:hAnsi="Arial" w:cs="Arial"/>
        </w:rPr>
        <w:t>financ</w:t>
      </w:r>
      <w:r w:rsidRPr="00677AB0">
        <w:rPr>
          <w:rFonts w:ascii="Arial" w:hAnsi="Arial" w:cs="Arial"/>
        </w:rPr>
        <w:t xml:space="preserve">iranja, kamatni rizik i valutni rizik. </w:t>
      </w:r>
    </w:p>
    <w:p w14:paraId="7E913182" w14:textId="77777777" w:rsidR="0042308F" w:rsidRPr="00677AB0" w:rsidRDefault="0042308F" w:rsidP="0042308F">
      <w:pPr>
        <w:spacing w:after="0"/>
        <w:ind w:firstLine="284"/>
        <w:jc w:val="both"/>
        <w:rPr>
          <w:rFonts w:ascii="Arial" w:hAnsi="Arial" w:cs="Arial"/>
        </w:rPr>
      </w:pPr>
    </w:p>
    <w:p w14:paraId="23253A0B" w14:textId="77777777" w:rsidR="0042308F" w:rsidRPr="00677AB0" w:rsidRDefault="00153015" w:rsidP="0042308F">
      <w:pPr>
        <w:spacing w:after="0" w:line="240" w:lineRule="auto"/>
        <w:jc w:val="both"/>
        <w:rPr>
          <w:rFonts w:ascii="Arial" w:hAnsi="Arial" w:cs="Arial"/>
          <w:sz w:val="20"/>
          <w:szCs w:val="20"/>
        </w:rPr>
      </w:pPr>
      <w:r>
        <w:rPr>
          <w:rFonts w:ascii="Arial" w:hAnsi="Arial" w:cs="Arial"/>
          <w:sz w:val="20"/>
          <w:szCs w:val="20"/>
        </w:rPr>
        <w:t>Tablica</w:t>
      </w:r>
      <w:r w:rsidR="0042308F" w:rsidRPr="00677AB0">
        <w:rPr>
          <w:rFonts w:ascii="Arial" w:hAnsi="Arial" w:cs="Arial"/>
          <w:sz w:val="20"/>
          <w:szCs w:val="20"/>
        </w:rPr>
        <w:t xml:space="preserve"> 15. Indikatori rizika po strategijama na kraju 2026. godine</w:t>
      </w:r>
    </w:p>
    <w:tbl>
      <w:tblPr>
        <w:tblW w:w="5000" w:type="pct"/>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8" w:space="0" w:color="8496B0" w:themeColor="text2" w:themeTint="99"/>
          <w:insideV w:val="single" w:sz="8" w:space="0" w:color="8496B0" w:themeColor="text2" w:themeTint="99"/>
        </w:tblBorders>
        <w:tblLook w:val="04A0" w:firstRow="1" w:lastRow="0" w:firstColumn="1" w:lastColumn="0" w:noHBand="0" w:noVBand="1"/>
      </w:tblPr>
      <w:tblGrid>
        <w:gridCol w:w="1618"/>
        <w:gridCol w:w="3481"/>
        <w:gridCol w:w="1406"/>
        <w:gridCol w:w="637"/>
        <w:gridCol w:w="637"/>
        <w:gridCol w:w="637"/>
        <w:gridCol w:w="634"/>
      </w:tblGrid>
      <w:tr w:rsidR="0042308F" w:rsidRPr="00677AB0" w14:paraId="71537BEE" w14:textId="77777777" w:rsidTr="0042308F">
        <w:trPr>
          <w:trHeight w:val="315"/>
        </w:trPr>
        <w:tc>
          <w:tcPr>
            <w:tcW w:w="2816" w:type="pct"/>
            <w:gridSpan w:val="2"/>
            <w:vMerge w:val="restart"/>
            <w:tcBorders>
              <w:right w:val="nil"/>
            </w:tcBorders>
            <w:shd w:val="clear" w:color="auto" w:fill="auto"/>
            <w:noWrap/>
            <w:vAlign w:val="center"/>
            <w:hideMark/>
          </w:tcPr>
          <w:p w14:paraId="66308E89"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Indikatori rizika</w:t>
            </w:r>
          </w:p>
        </w:tc>
        <w:tc>
          <w:tcPr>
            <w:tcW w:w="777" w:type="pct"/>
            <w:tcBorders>
              <w:top w:val="single" w:sz="8" w:space="0" w:color="8496B0" w:themeColor="text2" w:themeTint="99"/>
              <w:left w:val="nil"/>
              <w:bottom w:val="single" w:sz="8" w:space="0" w:color="8496B0" w:themeColor="text2" w:themeTint="99"/>
              <w:right w:val="nil"/>
            </w:tcBorders>
            <w:shd w:val="clear" w:color="auto" w:fill="auto"/>
            <w:noWrap/>
            <w:vAlign w:val="center"/>
            <w:hideMark/>
          </w:tcPr>
          <w:p w14:paraId="6FD9161A" w14:textId="77777777" w:rsidR="0042308F" w:rsidRPr="00677AB0" w:rsidRDefault="0042308F" w:rsidP="0042308F">
            <w:pPr>
              <w:spacing w:after="0" w:line="240" w:lineRule="auto"/>
              <w:jc w:val="center"/>
              <w:rPr>
                <w:rFonts w:ascii="Arial" w:eastAsia="Times New Roman" w:hAnsi="Arial" w:cs="Arial"/>
                <w:b/>
                <w:bCs/>
                <w:color w:val="FFFFFF"/>
                <w:sz w:val="16"/>
                <w:szCs w:val="16"/>
              </w:rPr>
            </w:pPr>
            <w:r w:rsidRPr="00677AB0">
              <w:rPr>
                <w:rFonts w:ascii="Arial" w:eastAsia="Times New Roman" w:hAnsi="Arial" w:cs="Arial"/>
                <w:b/>
                <w:bCs/>
                <w:color w:val="FFFFFF"/>
                <w:sz w:val="16"/>
                <w:szCs w:val="16"/>
              </w:rPr>
              <w:t>2016</w:t>
            </w:r>
          </w:p>
        </w:tc>
        <w:tc>
          <w:tcPr>
            <w:tcW w:w="1406" w:type="pct"/>
            <w:gridSpan w:val="4"/>
            <w:tcBorders>
              <w:top w:val="single" w:sz="8" w:space="0" w:color="8496B0" w:themeColor="text2" w:themeTint="99"/>
              <w:left w:val="nil"/>
              <w:bottom w:val="single" w:sz="8" w:space="0" w:color="8496B0" w:themeColor="text2" w:themeTint="99"/>
              <w:right w:val="single" w:sz="8" w:space="0" w:color="8496B0" w:themeColor="text2" w:themeTint="99"/>
            </w:tcBorders>
            <w:shd w:val="clear" w:color="auto" w:fill="auto"/>
            <w:noWrap/>
            <w:vAlign w:val="center"/>
            <w:hideMark/>
          </w:tcPr>
          <w:p w14:paraId="7631D8B5" w14:textId="77777777" w:rsidR="0042308F" w:rsidRPr="00677AB0" w:rsidRDefault="0042308F" w:rsidP="0042308F">
            <w:pPr>
              <w:spacing w:after="0" w:line="240" w:lineRule="auto"/>
              <w:jc w:val="center"/>
              <w:rPr>
                <w:rFonts w:ascii="Arial" w:eastAsia="Times New Roman" w:hAnsi="Arial" w:cs="Arial"/>
                <w:b/>
                <w:bCs/>
                <w:color w:val="FFFFFF"/>
                <w:sz w:val="16"/>
                <w:szCs w:val="16"/>
              </w:rPr>
            </w:pPr>
            <w:r w:rsidRPr="00677AB0">
              <w:rPr>
                <w:rFonts w:ascii="Arial" w:eastAsia="Times New Roman" w:hAnsi="Arial" w:cs="Arial"/>
                <w:b/>
                <w:bCs/>
                <w:color w:val="FFFFFF"/>
                <w:sz w:val="16"/>
                <w:szCs w:val="16"/>
              </w:rPr>
              <w:t>Na kra19</w:t>
            </w:r>
          </w:p>
        </w:tc>
      </w:tr>
      <w:tr w:rsidR="0042308F" w:rsidRPr="00677AB0" w14:paraId="43CA6124" w14:textId="77777777" w:rsidTr="0042308F">
        <w:trPr>
          <w:trHeight w:val="315"/>
        </w:trPr>
        <w:tc>
          <w:tcPr>
            <w:tcW w:w="2816" w:type="pct"/>
            <w:gridSpan w:val="2"/>
            <w:vMerge/>
            <w:tcBorders>
              <w:bottom w:val="single" w:sz="8" w:space="0" w:color="8496B0" w:themeColor="text2" w:themeTint="99"/>
            </w:tcBorders>
            <w:vAlign w:val="center"/>
            <w:hideMark/>
          </w:tcPr>
          <w:p w14:paraId="2AC6541F"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777" w:type="pct"/>
            <w:tcBorders>
              <w:top w:val="single" w:sz="8" w:space="0" w:color="8496B0" w:themeColor="text2" w:themeTint="99"/>
              <w:bottom w:val="single" w:sz="8" w:space="0" w:color="8496B0" w:themeColor="text2" w:themeTint="99"/>
            </w:tcBorders>
            <w:shd w:val="clear" w:color="auto" w:fill="auto"/>
            <w:noWrap/>
            <w:vAlign w:val="center"/>
            <w:hideMark/>
          </w:tcPr>
          <w:p w14:paraId="1595EA14"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 xml:space="preserve">Početni </w:t>
            </w:r>
            <w:r>
              <w:rPr>
                <w:rFonts w:ascii="Arial" w:eastAsia="Times New Roman" w:hAnsi="Arial" w:cs="Arial"/>
                <w:color w:val="000000"/>
                <w:sz w:val="16"/>
                <w:szCs w:val="16"/>
              </w:rPr>
              <w:t>portfelj</w:t>
            </w:r>
          </w:p>
        </w:tc>
        <w:tc>
          <w:tcPr>
            <w:tcW w:w="352" w:type="pct"/>
            <w:tcBorders>
              <w:top w:val="single" w:sz="8" w:space="0" w:color="8496B0" w:themeColor="text2" w:themeTint="99"/>
              <w:bottom w:val="single" w:sz="8" w:space="0" w:color="8496B0" w:themeColor="text2" w:themeTint="99"/>
            </w:tcBorders>
            <w:shd w:val="clear" w:color="auto" w:fill="auto"/>
            <w:noWrap/>
            <w:vAlign w:val="center"/>
            <w:hideMark/>
          </w:tcPr>
          <w:p w14:paraId="3341B950"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S1</w:t>
            </w:r>
          </w:p>
        </w:tc>
        <w:tc>
          <w:tcPr>
            <w:tcW w:w="352" w:type="pct"/>
            <w:tcBorders>
              <w:top w:val="single" w:sz="8" w:space="0" w:color="8496B0" w:themeColor="text2" w:themeTint="99"/>
              <w:bottom w:val="single" w:sz="8" w:space="0" w:color="8496B0" w:themeColor="text2" w:themeTint="99"/>
            </w:tcBorders>
            <w:shd w:val="clear" w:color="auto" w:fill="auto"/>
            <w:noWrap/>
            <w:vAlign w:val="center"/>
            <w:hideMark/>
          </w:tcPr>
          <w:p w14:paraId="7B6F06CE"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S2</w:t>
            </w:r>
          </w:p>
        </w:tc>
        <w:tc>
          <w:tcPr>
            <w:tcW w:w="352" w:type="pct"/>
            <w:tcBorders>
              <w:top w:val="single" w:sz="8" w:space="0" w:color="8496B0" w:themeColor="text2" w:themeTint="99"/>
              <w:bottom w:val="single" w:sz="8" w:space="0" w:color="8496B0" w:themeColor="text2" w:themeTint="99"/>
            </w:tcBorders>
            <w:shd w:val="clear" w:color="auto" w:fill="auto"/>
            <w:noWrap/>
            <w:vAlign w:val="center"/>
            <w:hideMark/>
          </w:tcPr>
          <w:p w14:paraId="6D64F762"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S3</w:t>
            </w:r>
          </w:p>
        </w:tc>
        <w:tc>
          <w:tcPr>
            <w:tcW w:w="352" w:type="pct"/>
            <w:tcBorders>
              <w:top w:val="single" w:sz="8" w:space="0" w:color="8496B0" w:themeColor="text2" w:themeTint="99"/>
              <w:bottom w:val="single" w:sz="8" w:space="0" w:color="8496B0" w:themeColor="text2" w:themeTint="99"/>
            </w:tcBorders>
            <w:shd w:val="clear" w:color="auto" w:fill="auto"/>
            <w:noWrap/>
            <w:vAlign w:val="center"/>
            <w:hideMark/>
          </w:tcPr>
          <w:p w14:paraId="55734FD4"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S4</w:t>
            </w:r>
          </w:p>
        </w:tc>
      </w:tr>
      <w:tr w:rsidR="0042308F" w:rsidRPr="00677AB0" w14:paraId="29C945AF" w14:textId="77777777" w:rsidTr="0042308F">
        <w:trPr>
          <w:trHeight w:val="300"/>
        </w:trPr>
        <w:tc>
          <w:tcPr>
            <w:tcW w:w="2816" w:type="pct"/>
            <w:gridSpan w:val="2"/>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45FD75D9"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Nominalni dug u % BDP</w:t>
            </w:r>
          </w:p>
        </w:tc>
        <w:tc>
          <w:tcPr>
            <w:tcW w:w="777" w:type="pct"/>
            <w:tcBorders>
              <w:top w:val="single" w:sz="8" w:space="0" w:color="8496B0" w:themeColor="text2" w:themeTint="99"/>
              <w:left w:val="nil"/>
              <w:bottom w:val="nil"/>
              <w:right w:val="nil"/>
            </w:tcBorders>
            <w:shd w:val="clear" w:color="auto" w:fill="auto"/>
            <w:noWrap/>
            <w:vAlign w:val="center"/>
            <w:hideMark/>
          </w:tcPr>
          <w:p w14:paraId="279EE285"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12,84</w:t>
            </w:r>
          </w:p>
        </w:tc>
        <w:tc>
          <w:tcPr>
            <w:tcW w:w="352" w:type="pct"/>
            <w:tcBorders>
              <w:top w:val="single" w:sz="8" w:space="0" w:color="8496B0" w:themeColor="text2" w:themeTint="99"/>
              <w:left w:val="nil"/>
              <w:bottom w:val="nil"/>
              <w:right w:val="nil"/>
            </w:tcBorders>
            <w:shd w:val="clear" w:color="auto" w:fill="auto"/>
            <w:noWrap/>
            <w:vAlign w:val="center"/>
            <w:hideMark/>
          </w:tcPr>
          <w:p w14:paraId="1564D63F"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12,29</w:t>
            </w:r>
          </w:p>
        </w:tc>
        <w:tc>
          <w:tcPr>
            <w:tcW w:w="352" w:type="pct"/>
            <w:tcBorders>
              <w:top w:val="single" w:sz="8" w:space="0" w:color="8496B0" w:themeColor="text2" w:themeTint="99"/>
              <w:left w:val="nil"/>
              <w:bottom w:val="nil"/>
              <w:right w:val="nil"/>
            </w:tcBorders>
            <w:shd w:val="clear" w:color="auto" w:fill="auto"/>
            <w:noWrap/>
            <w:vAlign w:val="center"/>
            <w:hideMark/>
          </w:tcPr>
          <w:p w14:paraId="587BDEC4"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12,30</w:t>
            </w:r>
          </w:p>
        </w:tc>
        <w:tc>
          <w:tcPr>
            <w:tcW w:w="352" w:type="pct"/>
            <w:tcBorders>
              <w:top w:val="single" w:sz="8" w:space="0" w:color="8496B0" w:themeColor="text2" w:themeTint="99"/>
              <w:left w:val="nil"/>
              <w:bottom w:val="nil"/>
              <w:right w:val="nil"/>
            </w:tcBorders>
            <w:shd w:val="clear" w:color="auto" w:fill="auto"/>
            <w:noWrap/>
            <w:vAlign w:val="center"/>
            <w:hideMark/>
          </w:tcPr>
          <w:p w14:paraId="231DE1AB"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12,29</w:t>
            </w:r>
          </w:p>
        </w:tc>
        <w:tc>
          <w:tcPr>
            <w:tcW w:w="352" w:type="pct"/>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4C671624"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12,36</w:t>
            </w:r>
          </w:p>
        </w:tc>
      </w:tr>
      <w:tr w:rsidR="0042308F" w:rsidRPr="00677AB0" w14:paraId="47E8B9D6" w14:textId="77777777" w:rsidTr="0042308F">
        <w:trPr>
          <w:trHeight w:val="300"/>
        </w:trPr>
        <w:tc>
          <w:tcPr>
            <w:tcW w:w="2816" w:type="pct"/>
            <w:gridSpan w:val="2"/>
            <w:tcBorders>
              <w:top w:val="nil"/>
              <w:left w:val="single" w:sz="8" w:space="0" w:color="8496B0" w:themeColor="text2" w:themeTint="99"/>
              <w:bottom w:val="nil"/>
              <w:right w:val="nil"/>
            </w:tcBorders>
            <w:shd w:val="clear" w:color="auto" w:fill="auto"/>
            <w:noWrap/>
            <w:vAlign w:val="center"/>
            <w:hideMark/>
          </w:tcPr>
          <w:p w14:paraId="298325EA"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Sadašnja vrijednost duga u % BDP</w:t>
            </w:r>
          </w:p>
        </w:tc>
        <w:tc>
          <w:tcPr>
            <w:tcW w:w="777" w:type="pct"/>
            <w:tcBorders>
              <w:top w:val="nil"/>
              <w:left w:val="nil"/>
              <w:bottom w:val="nil"/>
              <w:right w:val="nil"/>
            </w:tcBorders>
            <w:shd w:val="clear" w:color="auto" w:fill="auto"/>
            <w:noWrap/>
            <w:vAlign w:val="center"/>
            <w:hideMark/>
          </w:tcPr>
          <w:p w14:paraId="27524598"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11,27</w:t>
            </w:r>
          </w:p>
        </w:tc>
        <w:tc>
          <w:tcPr>
            <w:tcW w:w="352" w:type="pct"/>
            <w:tcBorders>
              <w:top w:val="nil"/>
              <w:left w:val="nil"/>
              <w:bottom w:val="nil"/>
              <w:right w:val="nil"/>
            </w:tcBorders>
            <w:shd w:val="clear" w:color="auto" w:fill="auto"/>
            <w:noWrap/>
            <w:vAlign w:val="center"/>
            <w:hideMark/>
          </w:tcPr>
          <w:p w14:paraId="1A44ABEB"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11,08</w:t>
            </w:r>
          </w:p>
        </w:tc>
        <w:tc>
          <w:tcPr>
            <w:tcW w:w="352" w:type="pct"/>
            <w:tcBorders>
              <w:top w:val="nil"/>
              <w:left w:val="nil"/>
              <w:bottom w:val="nil"/>
              <w:right w:val="nil"/>
            </w:tcBorders>
            <w:shd w:val="clear" w:color="auto" w:fill="auto"/>
            <w:noWrap/>
            <w:vAlign w:val="center"/>
            <w:hideMark/>
          </w:tcPr>
          <w:p w14:paraId="578405BA"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10,92</w:t>
            </w:r>
          </w:p>
        </w:tc>
        <w:tc>
          <w:tcPr>
            <w:tcW w:w="352" w:type="pct"/>
            <w:tcBorders>
              <w:top w:val="nil"/>
              <w:left w:val="nil"/>
              <w:bottom w:val="nil"/>
              <w:right w:val="nil"/>
            </w:tcBorders>
            <w:shd w:val="clear" w:color="auto" w:fill="auto"/>
            <w:noWrap/>
            <w:vAlign w:val="center"/>
            <w:hideMark/>
          </w:tcPr>
          <w:p w14:paraId="7EDC829D"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11,13</w:t>
            </w:r>
          </w:p>
        </w:tc>
        <w:tc>
          <w:tcPr>
            <w:tcW w:w="352" w:type="pct"/>
            <w:tcBorders>
              <w:top w:val="nil"/>
              <w:left w:val="nil"/>
              <w:bottom w:val="nil"/>
              <w:right w:val="single" w:sz="8" w:space="0" w:color="8496B0" w:themeColor="text2" w:themeTint="99"/>
            </w:tcBorders>
            <w:shd w:val="clear" w:color="auto" w:fill="auto"/>
            <w:noWrap/>
            <w:vAlign w:val="center"/>
            <w:hideMark/>
          </w:tcPr>
          <w:p w14:paraId="6C8BBD44"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11,11</w:t>
            </w:r>
          </w:p>
        </w:tc>
      </w:tr>
      <w:tr w:rsidR="0042308F" w:rsidRPr="00677AB0" w14:paraId="37749AC8" w14:textId="77777777" w:rsidTr="0042308F">
        <w:trPr>
          <w:trHeight w:val="300"/>
        </w:trPr>
        <w:tc>
          <w:tcPr>
            <w:tcW w:w="2816" w:type="pct"/>
            <w:gridSpan w:val="2"/>
            <w:tcBorders>
              <w:top w:val="nil"/>
              <w:left w:val="single" w:sz="8" w:space="0" w:color="8496B0" w:themeColor="text2" w:themeTint="99"/>
              <w:bottom w:val="nil"/>
              <w:right w:val="nil"/>
            </w:tcBorders>
            <w:shd w:val="clear" w:color="auto" w:fill="auto"/>
            <w:noWrap/>
            <w:vAlign w:val="center"/>
            <w:hideMark/>
          </w:tcPr>
          <w:p w14:paraId="462E2261"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Troškovi kamata u % BDP</w:t>
            </w:r>
          </w:p>
        </w:tc>
        <w:tc>
          <w:tcPr>
            <w:tcW w:w="777" w:type="pct"/>
            <w:tcBorders>
              <w:top w:val="nil"/>
              <w:left w:val="nil"/>
              <w:bottom w:val="nil"/>
              <w:right w:val="nil"/>
            </w:tcBorders>
            <w:shd w:val="clear" w:color="auto" w:fill="auto"/>
            <w:noWrap/>
            <w:vAlign w:val="center"/>
            <w:hideMark/>
          </w:tcPr>
          <w:p w14:paraId="72E9C2B2"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0,37</w:t>
            </w:r>
          </w:p>
        </w:tc>
        <w:tc>
          <w:tcPr>
            <w:tcW w:w="352" w:type="pct"/>
            <w:tcBorders>
              <w:top w:val="nil"/>
              <w:left w:val="nil"/>
              <w:bottom w:val="nil"/>
              <w:right w:val="nil"/>
            </w:tcBorders>
            <w:shd w:val="clear" w:color="auto" w:fill="auto"/>
            <w:noWrap/>
            <w:vAlign w:val="center"/>
            <w:hideMark/>
          </w:tcPr>
          <w:p w14:paraId="0CDF103E"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0,42</w:t>
            </w:r>
          </w:p>
        </w:tc>
        <w:tc>
          <w:tcPr>
            <w:tcW w:w="352" w:type="pct"/>
            <w:tcBorders>
              <w:top w:val="nil"/>
              <w:left w:val="nil"/>
              <w:bottom w:val="nil"/>
              <w:right w:val="nil"/>
            </w:tcBorders>
            <w:shd w:val="clear" w:color="auto" w:fill="auto"/>
            <w:noWrap/>
            <w:vAlign w:val="center"/>
            <w:hideMark/>
          </w:tcPr>
          <w:p w14:paraId="647ECB73"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0,42</w:t>
            </w:r>
          </w:p>
        </w:tc>
        <w:tc>
          <w:tcPr>
            <w:tcW w:w="352" w:type="pct"/>
            <w:tcBorders>
              <w:top w:val="nil"/>
              <w:left w:val="nil"/>
              <w:bottom w:val="nil"/>
              <w:right w:val="nil"/>
            </w:tcBorders>
            <w:shd w:val="clear" w:color="auto" w:fill="auto"/>
            <w:noWrap/>
            <w:vAlign w:val="center"/>
            <w:hideMark/>
          </w:tcPr>
          <w:p w14:paraId="6F4FEC11"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0,41</w:t>
            </w:r>
          </w:p>
        </w:tc>
        <w:tc>
          <w:tcPr>
            <w:tcW w:w="352" w:type="pct"/>
            <w:tcBorders>
              <w:top w:val="nil"/>
              <w:left w:val="nil"/>
              <w:bottom w:val="nil"/>
              <w:right w:val="single" w:sz="8" w:space="0" w:color="8496B0" w:themeColor="text2" w:themeTint="99"/>
            </w:tcBorders>
            <w:shd w:val="clear" w:color="auto" w:fill="auto"/>
            <w:noWrap/>
            <w:vAlign w:val="center"/>
            <w:hideMark/>
          </w:tcPr>
          <w:p w14:paraId="68203A97"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0,46</w:t>
            </w:r>
          </w:p>
        </w:tc>
      </w:tr>
      <w:tr w:rsidR="0042308F" w:rsidRPr="00677AB0" w14:paraId="586DA38D" w14:textId="77777777" w:rsidTr="0042308F">
        <w:trPr>
          <w:trHeight w:val="315"/>
        </w:trPr>
        <w:tc>
          <w:tcPr>
            <w:tcW w:w="2816" w:type="pct"/>
            <w:gridSpan w:val="2"/>
            <w:tcBorders>
              <w:top w:val="nil"/>
              <w:left w:val="single" w:sz="8" w:space="0" w:color="8496B0" w:themeColor="text2" w:themeTint="99"/>
              <w:bottom w:val="single" w:sz="8" w:space="0" w:color="8496B0" w:themeColor="text2" w:themeTint="99"/>
              <w:right w:val="nil"/>
            </w:tcBorders>
            <w:shd w:val="clear" w:color="auto" w:fill="auto"/>
            <w:noWrap/>
            <w:vAlign w:val="center"/>
            <w:hideMark/>
          </w:tcPr>
          <w:p w14:paraId="0F62C207"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 xml:space="preserve">Prosječna </w:t>
            </w:r>
            <w:r w:rsidR="006E72EF" w:rsidRPr="00677AB0">
              <w:rPr>
                <w:rFonts w:ascii="Arial" w:eastAsia="Times New Roman" w:hAnsi="Arial" w:cs="Arial"/>
                <w:color w:val="000000"/>
                <w:sz w:val="16"/>
                <w:szCs w:val="16"/>
              </w:rPr>
              <w:t>ponderirana</w:t>
            </w:r>
            <w:r w:rsidRPr="00677AB0">
              <w:rPr>
                <w:rFonts w:ascii="Arial" w:eastAsia="Times New Roman" w:hAnsi="Arial" w:cs="Arial"/>
                <w:color w:val="000000"/>
                <w:sz w:val="16"/>
                <w:szCs w:val="16"/>
              </w:rPr>
              <w:t xml:space="preserve"> kamatna stopa (%)</w:t>
            </w:r>
          </w:p>
        </w:tc>
        <w:tc>
          <w:tcPr>
            <w:tcW w:w="777" w:type="pct"/>
            <w:tcBorders>
              <w:top w:val="nil"/>
              <w:left w:val="nil"/>
              <w:bottom w:val="single" w:sz="8" w:space="0" w:color="8496B0" w:themeColor="text2" w:themeTint="99"/>
              <w:right w:val="nil"/>
            </w:tcBorders>
            <w:shd w:val="clear" w:color="auto" w:fill="auto"/>
            <w:noWrap/>
            <w:vAlign w:val="center"/>
            <w:hideMark/>
          </w:tcPr>
          <w:p w14:paraId="5ABA3213"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2,86</w:t>
            </w:r>
          </w:p>
        </w:tc>
        <w:tc>
          <w:tcPr>
            <w:tcW w:w="352" w:type="pct"/>
            <w:tcBorders>
              <w:top w:val="nil"/>
              <w:left w:val="nil"/>
              <w:bottom w:val="single" w:sz="8" w:space="0" w:color="8496B0" w:themeColor="text2" w:themeTint="99"/>
              <w:right w:val="nil"/>
            </w:tcBorders>
            <w:shd w:val="clear" w:color="auto" w:fill="auto"/>
            <w:noWrap/>
            <w:vAlign w:val="center"/>
            <w:hideMark/>
          </w:tcPr>
          <w:p w14:paraId="341FF133"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3,78</w:t>
            </w:r>
          </w:p>
        </w:tc>
        <w:tc>
          <w:tcPr>
            <w:tcW w:w="352" w:type="pct"/>
            <w:tcBorders>
              <w:top w:val="nil"/>
              <w:left w:val="nil"/>
              <w:bottom w:val="single" w:sz="8" w:space="0" w:color="8496B0" w:themeColor="text2" w:themeTint="99"/>
              <w:right w:val="nil"/>
            </w:tcBorders>
            <w:shd w:val="clear" w:color="auto" w:fill="auto"/>
            <w:noWrap/>
            <w:vAlign w:val="center"/>
            <w:hideMark/>
          </w:tcPr>
          <w:p w14:paraId="4874F364"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3,80</w:t>
            </w:r>
          </w:p>
        </w:tc>
        <w:tc>
          <w:tcPr>
            <w:tcW w:w="352" w:type="pct"/>
            <w:tcBorders>
              <w:top w:val="nil"/>
              <w:left w:val="nil"/>
              <w:bottom w:val="single" w:sz="8" w:space="0" w:color="8496B0" w:themeColor="text2" w:themeTint="99"/>
              <w:right w:val="nil"/>
            </w:tcBorders>
            <w:shd w:val="clear" w:color="auto" w:fill="auto"/>
            <w:noWrap/>
            <w:vAlign w:val="center"/>
            <w:hideMark/>
          </w:tcPr>
          <w:p w14:paraId="49AA1034"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3,77</w:t>
            </w:r>
          </w:p>
        </w:tc>
        <w:tc>
          <w:tcPr>
            <w:tcW w:w="352" w:type="pct"/>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1C3C82AB"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4,30</w:t>
            </w:r>
          </w:p>
        </w:tc>
      </w:tr>
      <w:tr w:rsidR="0042308F" w:rsidRPr="00677AB0" w14:paraId="2150529B" w14:textId="77777777" w:rsidTr="0042308F">
        <w:trPr>
          <w:trHeight w:val="300"/>
        </w:trPr>
        <w:tc>
          <w:tcPr>
            <w:tcW w:w="894" w:type="pct"/>
            <w:vMerge w:val="restart"/>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0128325E" w14:textId="77777777" w:rsidR="0042308F" w:rsidRPr="00677AB0" w:rsidRDefault="0042308F" w:rsidP="0042308F">
            <w:pPr>
              <w:spacing w:after="0" w:line="240" w:lineRule="auto"/>
              <w:jc w:val="center"/>
              <w:rPr>
                <w:rFonts w:ascii="Arial" w:eastAsia="Times New Roman" w:hAnsi="Arial" w:cs="Arial"/>
                <w:color w:val="000000"/>
                <w:sz w:val="16"/>
                <w:szCs w:val="16"/>
              </w:rPr>
            </w:pPr>
            <w:r w:rsidRPr="00677AB0">
              <w:rPr>
                <w:rFonts w:ascii="Arial" w:eastAsia="Times New Roman" w:hAnsi="Arial" w:cs="Arial"/>
                <w:color w:val="000000"/>
                <w:sz w:val="16"/>
                <w:szCs w:val="16"/>
              </w:rPr>
              <w:t>Rizik re</w:t>
            </w:r>
            <w:r>
              <w:rPr>
                <w:rFonts w:ascii="Arial" w:eastAsia="Times New Roman" w:hAnsi="Arial" w:cs="Arial"/>
                <w:color w:val="000000"/>
                <w:sz w:val="16"/>
                <w:szCs w:val="16"/>
              </w:rPr>
              <w:t>financ</w:t>
            </w:r>
            <w:r w:rsidRPr="00677AB0">
              <w:rPr>
                <w:rFonts w:ascii="Arial" w:eastAsia="Times New Roman" w:hAnsi="Arial" w:cs="Arial"/>
                <w:color w:val="000000"/>
                <w:sz w:val="16"/>
                <w:szCs w:val="16"/>
              </w:rPr>
              <w:t>iranja</w:t>
            </w:r>
          </w:p>
        </w:tc>
        <w:tc>
          <w:tcPr>
            <w:tcW w:w="1923" w:type="pct"/>
            <w:tcBorders>
              <w:top w:val="single" w:sz="8" w:space="0" w:color="8496B0" w:themeColor="text2" w:themeTint="99"/>
              <w:left w:val="nil"/>
              <w:bottom w:val="nil"/>
              <w:right w:val="nil"/>
            </w:tcBorders>
            <w:shd w:val="clear" w:color="auto" w:fill="auto"/>
            <w:noWrap/>
            <w:vAlign w:val="center"/>
            <w:hideMark/>
          </w:tcPr>
          <w:p w14:paraId="7E20E0F7"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Dug koji dospijeva u 1. godini (% ukupnog)</w:t>
            </w:r>
          </w:p>
        </w:tc>
        <w:tc>
          <w:tcPr>
            <w:tcW w:w="777" w:type="pct"/>
            <w:tcBorders>
              <w:top w:val="single" w:sz="8" w:space="0" w:color="8496B0" w:themeColor="text2" w:themeTint="99"/>
              <w:left w:val="nil"/>
              <w:bottom w:val="nil"/>
              <w:right w:val="nil"/>
            </w:tcBorders>
            <w:shd w:val="clear" w:color="auto" w:fill="auto"/>
            <w:noWrap/>
            <w:vAlign w:val="center"/>
            <w:hideMark/>
          </w:tcPr>
          <w:p w14:paraId="4E635300"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14,22</w:t>
            </w:r>
          </w:p>
        </w:tc>
        <w:tc>
          <w:tcPr>
            <w:tcW w:w="352" w:type="pct"/>
            <w:tcBorders>
              <w:top w:val="single" w:sz="8" w:space="0" w:color="8496B0" w:themeColor="text2" w:themeTint="99"/>
              <w:left w:val="nil"/>
              <w:bottom w:val="nil"/>
              <w:right w:val="nil"/>
            </w:tcBorders>
            <w:shd w:val="clear" w:color="auto" w:fill="auto"/>
            <w:noWrap/>
            <w:vAlign w:val="center"/>
            <w:hideMark/>
          </w:tcPr>
          <w:p w14:paraId="53740256"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8,93</w:t>
            </w:r>
          </w:p>
        </w:tc>
        <w:tc>
          <w:tcPr>
            <w:tcW w:w="352" w:type="pct"/>
            <w:tcBorders>
              <w:top w:val="single" w:sz="8" w:space="0" w:color="8496B0" w:themeColor="text2" w:themeTint="99"/>
              <w:left w:val="nil"/>
              <w:bottom w:val="nil"/>
              <w:right w:val="nil"/>
            </w:tcBorders>
            <w:shd w:val="clear" w:color="auto" w:fill="auto"/>
            <w:noWrap/>
            <w:vAlign w:val="center"/>
            <w:hideMark/>
          </w:tcPr>
          <w:p w14:paraId="248A8731"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8,93</w:t>
            </w:r>
          </w:p>
        </w:tc>
        <w:tc>
          <w:tcPr>
            <w:tcW w:w="352" w:type="pct"/>
            <w:tcBorders>
              <w:top w:val="single" w:sz="8" w:space="0" w:color="8496B0" w:themeColor="text2" w:themeTint="99"/>
              <w:left w:val="nil"/>
              <w:bottom w:val="nil"/>
              <w:right w:val="nil"/>
            </w:tcBorders>
            <w:shd w:val="clear" w:color="auto" w:fill="auto"/>
            <w:noWrap/>
            <w:vAlign w:val="center"/>
            <w:hideMark/>
          </w:tcPr>
          <w:p w14:paraId="7171367E"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8,93</w:t>
            </w:r>
          </w:p>
        </w:tc>
        <w:tc>
          <w:tcPr>
            <w:tcW w:w="352" w:type="pct"/>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1F447BDB"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7,12</w:t>
            </w:r>
          </w:p>
        </w:tc>
      </w:tr>
      <w:tr w:rsidR="0042308F" w:rsidRPr="00677AB0" w14:paraId="0F92539A" w14:textId="77777777" w:rsidTr="0042308F">
        <w:trPr>
          <w:trHeight w:val="300"/>
        </w:trPr>
        <w:tc>
          <w:tcPr>
            <w:tcW w:w="894" w:type="pct"/>
            <w:vMerge/>
            <w:tcBorders>
              <w:top w:val="nil"/>
              <w:left w:val="single" w:sz="8" w:space="0" w:color="8496B0" w:themeColor="text2" w:themeTint="99"/>
              <w:bottom w:val="nil"/>
              <w:right w:val="nil"/>
            </w:tcBorders>
            <w:vAlign w:val="center"/>
            <w:hideMark/>
          </w:tcPr>
          <w:p w14:paraId="217DDA2E"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7427D054"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Dug koji dospijeva u 1. godini (% BDP)</w:t>
            </w:r>
          </w:p>
        </w:tc>
        <w:tc>
          <w:tcPr>
            <w:tcW w:w="777" w:type="pct"/>
            <w:tcBorders>
              <w:top w:val="nil"/>
              <w:left w:val="nil"/>
              <w:bottom w:val="nil"/>
              <w:right w:val="nil"/>
            </w:tcBorders>
            <w:shd w:val="clear" w:color="auto" w:fill="auto"/>
            <w:noWrap/>
            <w:vAlign w:val="center"/>
            <w:hideMark/>
          </w:tcPr>
          <w:p w14:paraId="36701A81"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1,85</w:t>
            </w:r>
          </w:p>
        </w:tc>
        <w:tc>
          <w:tcPr>
            <w:tcW w:w="352" w:type="pct"/>
            <w:tcBorders>
              <w:top w:val="nil"/>
              <w:left w:val="nil"/>
              <w:bottom w:val="nil"/>
              <w:right w:val="nil"/>
            </w:tcBorders>
            <w:shd w:val="clear" w:color="auto" w:fill="auto"/>
            <w:noWrap/>
            <w:vAlign w:val="center"/>
            <w:hideMark/>
          </w:tcPr>
          <w:p w14:paraId="05B5A799"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1,10</w:t>
            </w:r>
          </w:p>
        </w:tc>
        <w:tc>
          <w:tcPr>
            <w:tcW w:w="352" w:type="pct"/>
            <w:tcBorders>
              <w:top w:val="nil"/>
              <w:left w:val="nil"/>
              <w:bottom w:val="nil"/>
              <w:right w:val="nil"/>
            </w:tcBorders>
            <w:shd w:val="clear" w:color="auto" w:fill="auto"/>
            <w:noWrap/>
            <w:vAlign w:val="center"/>
            <w:hideMark/>
          </w:tcPr>
          <w:p w14:paraId="24EB5F2B"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1,10</w:t>
            </w:r>
          </w:p>
        </w:tc>
        <w:tc>
          <w:tcPr>
            <w:tcW w:w="352" w:type="pct"/>
            <w:tcBorders>
              <w:top w:val="nil"/>
              <w:left w:val="nil"/>
              <w:bottom w:val="nil"/>
              <w:right w:val="nil"/>
            </w:tcBorders>
            <w:shd w:val="clear" w:color="auto" w:fill="auto"/>
            <w:noWrap/>
            <w:vAlign w:val="center"/>
            <w:hideMark/>
          </w:tcPr>
          <w:p w14:paraId="74AEAC24"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1,10</w:t>
            </w:r>
          </w:p>
        </w:tc>
        <w:tc>
          <w:tcPr>
            <w:tcW w:w="352" w:type="pct"/>
            <w:tcBorders>
              <w:top w:val="nil"/>
              <w:left w:val="nil"/>
              <w:bottom w:val="nil"/>
              <w:right w:val="single" w:sz="8" w:space="0" w:color="8496B0" w:themeColor="text2" w:themeTint="99"/>
            </w:tcBorders>
            <w:shd w:val="clear" w:color="auto" w:fill="auto"/>
            <w:noWrap/>
            <w:vAlign w:val="center"/>
            <w:hideMark/>
          </w:tcPr>
          <w:p w14:paraId="6C0ED1C5"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0,88</w:t>
            </w:r>
          </w:p>
        </w:tc>
      </w:tr>
      <w:tr w:rsidR="0042308F" w:rsidRPr="00677AB0" w14:paraId="5A4C18BB" w14:textId="77777777" w:rsidTr="0042308F">
        <w:trPr>
          <w:trHeight w:val="300"/>
        </w:trPr>
        <w:tc>
          <w:tcPr>
            <w:tcW w:w="894" w:type="pct"/>
            <w:vMerge/>
            <w:tcBorders>
              <w:top w:val="nil"/>
              <w:left w:val="single" w:sz="8" w:space="0" w:color="8496B0" w:themeColor="text2" w:themeTint="99"/>
              <w:bottom w:val="nil"/>
              <w:right w:val="nil"/>
            </w:tcBorders>
            <w:vAlign w:val="center"/>
            <w:hideMark/>
          </w:tcPr>
          <w:p w14:paraId="7B9DF71C"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761DE7E7"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 xml:space="preserve">Prosječno dospijeće </w:t>
            </w:r>
            <w:r>
              <w:rPr>
                <w:rFonts w:ascii="Arial" w:eastAsia="Times New Roman" w:hAnsi="Arial" w:cs="Arial"/>
                <w:color w:val="000000"/>
                <w:sz w:val="16"/>
                <w:szCs w:val="16"/>
              </w:rPr>
              <w:t>portfelja</w:t>
            </w:r>
            <w:r w:rsidRPr="00677AB0">
              <w:rPr>
                <w:rFonts w:ascii="Arial" w:eastAsia="Times New Roman" w:hAnsi="Arial" w:cs="Arial"/>
                <w:color w:val="000000"/>
                <w:sz w:val="16"/>
                <w:szCs w:val="16"/>
              </w:rPr>
              <w:t xml:space="preserve"> (godine)</w:t>
            </w:r>
          </w:p>
        </w:tc>
        <w:tc>
          <w:tcPr>
            <w:tcW w:w="777" w:type="pct"/>
            <w:tcBorders>
              <w:top w:val="nil"/>
              <w:left w:val="nil"/>
              <w:bottom w:val="nil"/>
              <w:right w:val="nil"/>
            </w:tcBorders>
            <w:shd w:val="clear" w:color="auto" w:fill="auto"/>
            <w:noWrap/>
            <w:vAlign w:val="center"/>
            <w:hideMark/>
          </w:tcPr>
          <w:p w14:paraId="74567722"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6,27</w:t>
            </w:r>
          </w:p>
        </w:tc>
        <w:tc>
          <w:tcPr>
            <w:tcW w:w="352" w:type="pct"/>
            <w:tcBorders>
              <w:top w:val="nil"/>
              <w:left w:val="nil"/>
              <w:bottom w:val="nil"/>
              <w:right w:val="nil"/>
            </w:tcBorders>
            <w:shd w:val="clear" w:color="auto" w:fill="auto"/>
            <w:noWrap/>
            <w:vAlign w:val="center"/>
            <w:hideMark/>
          </w:tcPr>
          <w:p w14:paraId="34255B0C"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6,73</w:t>
            </w:r>
          </w:p>
        </w:tc>
        <w:tc>
          <w:tcPr>
            <w:tcW w:w="352" w:type="pct"/>
            <w:tcBorders>
              <w:top w:val="nil"/>
              <w:left w:val="nil"/>
              <w:bottom w:val="nil"/>
              <w:right w:val="nil"/>
            </w:tcBorders>
            <w:shd w:val="clear" w:color="auto" w:fill="auto"/>
            <w:noWrap/>
            <w:vAlign w:val="center"/>
            <w:hideMark/>
          </w:tcPr>
          <w:p w14:paraId="1822B367"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6,60</w:t>
            </w:r>
          </w:p>
        </w:tc>
        <w:tc>
          <w:tcPr>
            <w:tcW w:w="352" w:type="pct"/>
            <w:tcBorders>
              <w:top w:val="nil"/>
              <w:left w:val="nil"/>
              <w:bottom w:val="nil"/>
              <w:right w:val="nil"/>
            </w:tcBorders>
            <w:shd w:val="clear" w:color="auto" w:fill="auto"/>
            <w:noWrap/>
            <w:vAlign w:val="center"/>
            <w:hideMark/>
          </w:tcPr>
          <w:p w14:paraId="06493A4F"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6,85</w:t>
            </w:r>
          </w:p>
        </w:tc>
        <w:tc>
          <w:tcPr>
            <w:tcW w:w="352" w:type="pct"/>
            <w:tcBorders>
              <w:top w:val="nil"/>
              <w:left w:val="nil"/>
              <w:bottom w:val="nil"/>
              <w:right w:val="single" w:sz="8" w:space="0" w:color="8496B0" w:themeColor="text2" w:themeTint="99"/>
            </w:tcBorders>
            <w:shd w:val="clear" w:color="auto" w:fill="auto"/>
            <w:noWrap/>
            <w:vAlign w:val="center"/>
            <w:hideMark/>
          </w:tcPr>
          <w:p w14:paraId="424E8B8B"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7,54</w:t>
            </w:r>
          </w:p>
        </w:tc>
      </w:tr>
      <w:tr w:rsidR="0042308F" w:rsidRPr="00677AB0" w14:paraId="7F4EFD1B" w14:textId="77777777" w:rsidTr="0042308F">
        <w:trPr>
          <w:trHeight w:val="300"/>
        </w:trPr>
        <w:tc>
          <w:tcPr>
            <w:tcW w:w="894" w:type="pct"/>
            <w:vMerge/>
            <w:tcBorders>
              <w:top w:val="nil"/>
              <w:left w:val="single" w:sz="8" w:space="0" w:color="8496B0" w:themeColor="text2" w:themeTint="99"/>
              <w:bottom w:val="nil"/>
              <w:right w:val="nil"/>
            </w:tcBorders>
            <w:vAlign w:val="center"/>
            <w:hideMark/>
          </w:tcPr>
          <w:p w14:paraId="345D917B"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04A2E378"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dospijeće domaći dug (godine)</w:t>
            </w:r>
          </w:p>
        </w:tc>
        <w:tc>
          <w:tcPr>
            <w:tcW w:w="777" w:type="pct"/>
            <w:tcBorders>
              <w:top w:val="nil"/>
              <w:left w:val="nil"/>
              <w:bottom w:val="nil"/>
              <w:right w:val="nil"/>
            </w:tcBorders>
            <w:shd w:val="clear" w:color="auto" w:fill="auto"/>
            <w:noWrap/>
            <w:vAlign w:val="center"/>
            <w:hideMark/>
          </w:tcPr>
          <w:p w14:paraId="77FD2684"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3,90</w:t>
            </w:r>
          </w:p>
        </w:tc>
        <w:tc>
          <w:tcPr>
            <w:tcW w:w="352" w:type="pct"/>
            <w:tcBorders>
              <w:top w:val="nil"/>
              <w:left w:val="nil"/>
              <w:bottom w:val="nil"/>
              <w:right w:val="nil"/>
            </w:tcBorders>
            <w:shd w:val="clear" w:color="auto" w:fill="auto"/>
            <w:noWrap/>
            <w:vAlign w:val="center"/>
            <w:hideMark/>
          </w:tcPr>
          <w:p w14:paraId="45BB916F"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3,63</w:t>
            </w:r>
          </w:p>
        </w:tc>
        <w:tc>
          <w:tcPr>
            <w:tcW w:w="352" w:type="pct"/>
            <w:tcBorders>
              <w:top w:val="nil"/>
              <w:left w:val="nil"/>
              <w:bottom w:val="nil"/>
              <w:right w:val="nil"/>
            </w:tcBorders>
            <w:shd w:val="clear" w:color="auto" w:fill="auto"/>
            <w:noWrap/>
            <w:vAlign w:val="center"/>
            <w:hideMark/>
          </w:tcPr>
          <w:p w14:paraId="47C7365A"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3,63</w:t>
            </w:r>
          </w:p>
        </w:tc>
        <w:tc>
          <w:tcPr>
            <w:tcW w:w="352" w:type="pct"/>
            <w:tcBorders>
              <w:top w:val="nil"/>
              <w:left w:val="nil"/>
              <w:bottom w:val="nil"/>
              <w:right w:val="nil"/>
            </w:tcBorders>
            <w:shd w:val="clear" w:color="auto" w:fill="auto"/>
            <w:noWrap/>
            <w:vAlign w:val="center"/>
            <w:hideMark/>
          </w:tcPr>
          <w:p w14:paraId="407CEB2B"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3,63</w:t>
            </w:r>
          </w:p>
        </w:tc>
        <w:tc>
          <w:tcPr>
            <w:tcW w:w="352" w:type="pct"/>
            <w:tcBorders>
              <w:top w:val="nil"/>
              <w:left w:val="nil"/>
              <w:bottom w:val="nil"/>
              <w:right w:val="single" w:sz="8" w:space="0" w:color="8496B0" w:themeColor="text2" w:themeTint="99"/>
            </w:tcBorders>
            <w:shd w:val="clear" w:color="auto" w:fill="auto"/>
            <w:noWrap/>
            <w:vAlign w:val="center"/>
            <w:hideMark/>
          </w:tcPr>
          <w:p w14:paraId="1356AD9C"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2,72</w:t>
            </w:r>
          </w:p>
        </w:tc>
      </w:tr>
      <w:tr w:rsidR="0042308F" w:rsidRPr="00677AB0" w14:paraId="73E9EB5A" w14:textId="77777777" w:rsidTr="0042308F">
        <w:trPr>
          <w:trHeight w:val="315"/>
        </w:trPr>
        <w:tc>
          <w:tcPr>
            <w:tcW w:w="894" w:type="pct"/>
            <w:vMerge/>
            <w:tcBorders>
              <w:top w:val="nil"/>
              <w:left w:val="single" w:sz="8" w:space="0" w:color="8496B0" w:themeColor="text2" w:themeTint="99"/>
              <w:bottom w:val="single" w:sz="8" w:space="0" w:color="8496B0" w:themeColor="text2" w:themeTint="99"/>
              <w:right w:val="nil"/>
            </w:tcBorders>
            <w:vAlign w:val="center"/>
            <w:hideMark/>
          </w:tcPr>
          <w:p w14:paraId="1450E0EF"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single" w:sz="8" w:space="0" w:color="8496B0" w:themeColor="text2" w:themeTint="99"/>
              <w:right w:val="nil"/>
            </w:tcBorders>
            <w:shd w:val="clear" w:color="auto" w:fill="auto"/>
            <w:noWrap/>
            <w:vAlign w:val="center"/>
            <w:hideMark/>
          </w:tcPr>
          <w:p w14:paraId="7DD1E87E"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dospijeće vanjski dug (godine)</w:t>
            </w:r>
          </w:p>
        </w:tc>
        <w:tc>
          <w:tcPr>
            <w:tcW w:w="777" w:type="pct"/>
            <w:tcBorders>
              <w:top w:val="nil"/>
              <w:left w:val="nil"/>
              <w:bottom w:val="single" w:sz="8" w:space="0" w:color="8496B0" w:themeColor="text2" w:themeTint="99"/>
              <w:right w:val="nil"/>
            </w:tcBorders>
            <w:shd w:val="clear" w:color="auto" w:fill="auto"/>
            <w:noWrap/>
            <w:vAlign w:val="center"/>
            <w:hideMark/>
          </w:tcPr>
          <w:p w14:paraId="78D12866"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6,69</w:t>
            </w:r>
          </w:p>
        </w:tc>
        <w:tc>
          <w:tcPr>
            <w:tcW w:w="352" w:type="pct"/>
            <w:tcBorders>
              <w:top w:val="nil"/>
              <w:left w:val="nil"/>
              <w:bottom w:val="single" w:sz="8" w:space="0" w:color="8496B0" w:themeColor="text2" w:themeTint="99"/>
              <w:right w:val="nil"/>
            </w:tcBorders>
            <w:shd w:val="clear" w:color="auto" w:fill="auto"/>
            <w:noWrap/>
            <w:vAlign w:val="center"/>
            <w:hideMark/>
          </w:tcPr>
          <w:p w14:paraId="0B07D05D"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7,53</w:t>
            </w:r>
          </w:p>
        </w:tc>
        <w:tc>
          <w:tcPr>
            <w:tcW w:w="352" w:type="pct"/>
            <w:tcBorders>
              <w:top w:val="nil"/>
              <w:left w:val="nil"/>
              <w:bottom w:val="single" w:sz="8" w:space="0" w:color="8496B0" w:themeColor="text2" w:themeTint="99"/>
              <w:right w:val="nil"/>
            </w:tcBorders>
            <w:shd w:val="clear" w:color="auto" w:fill="auto"/>
            <w:noWrap/>
            <w:vAlign w:val="center"/>
            <w:hideMark/>
          </w:tcPr>
          <w:p w14:paraId="45D12446"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7,36</w:t>
            </w:r>
          </w:p>
        </w:tc>
        <w:tc>
          <w:tcPr>
            <w:tcW w:w="352" w:type="pct"/>
            <w:tcBorders>
              <w:top w:val="nil"/>
              <w:left w:val="nil"/>
              <w:bottom w:val="single" w:sz="8" w:space="0" w:color="8496B0" w:themeColor="text2" w:themeTint="99"/>
              <w:right w:val="nil"/>
            </w:tcBorders>
            <w:shd w:val="clear" w:color="auto" w:fill="auto"/>
            <w:noWrap/>
            <w:vAlign w:val="center"/>
            <w:hideMark/>
          </w:tcPr>
          <w:p w14:paraId="03697CE2"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7,68</w:t>
            </w:r>
          </w:p>
        </w:tc>
        <w:tc>
          <w:tcPr>
            <w:tcW w:w="352" w:type="pct"/>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00E8895A"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7,95</w:t>
            </w:r>
          </w:p>
        </w:tc>
      </w:tr>
      <w:tr w:rsidR="0042308F" w:rsidRPr="00677AB0" w14:paraId="2864EFF3" w14:textId="77777777" w:rsidTr="0042308F">
        <w:trPr>
          <w:trHeight w:val="300"/>
        </w:trPr>
        <w:tc>
          <w:tcPr>
            <w:tcW w:w="894" w:type="pct"/>
            <w:vMerge w:val="restart"/>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6FF6DB99"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Kamatni rizik</w:t>
            </w:r>
          </w:p>
        </w:tc>
        <w:tc>
          <w:tcPr>
            <w:tcW w:w="1923" w:type="pct"/>
            <w:tcBorders>
              <w:top w:val="single" w:sz="8" w:space="0" w:color="8496B0" w:themeColor="text2" w:themeTint="99"/>
              <w:left w:val="nil"/>
              <w:bottom w:val="nil"/>
              <w:right w:val="nil"/>
            </w:tcBorders>
            <w:shd w:val="clear" w:color="auto" w:fill="auto"/>
            <w:noWrap/>
            <w:vAlign w:val="center"/>
            <w:hideMark/>
          </w:tcPr>
          <w:p w14:paraId="6C53645B"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Prosječno vrijeme refiksiranja  (godine)</w:t>
            </w:r>
          </w:p>
        </w:tc>
        <w:tc>
          <w:tcPr>
            <w:tcW w:w="777" w:type="pct"/>
            <w:tcBorders>
              <w:top w:val="single" w:sz="8" w:space="0" w:color="8496B0" w:themeColor="text2" w:themeTint="99"/>
              <w:left w:val="nil"/>
              <w:bottom w:val="nil"/>
              <w:right w:val="nil"/>
            </w:tcBorders>
            <w:shd w:val="clear" w:color="auto" w:fill="auto"/>
            <w:noWrap/>
            <w:vAlign w:val="center"/>
            <w:hideMark/>
          </w:tcPr>
          <w:p w14:paraId="563DE6ED"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4,15</w:t>
            </w:r>
          </w:p>
        </w:tc>
        <w:tc>
          <w:tcPr>
            <w:tcW w:w="352" w:type="pct"/>
            <w:tcBorders>
              <w:top w:val="single" w:sz="8" w:space="0" w:color="8496B0" w:themeColor="text2" w:themeTint="99"/>
              <w:left w:val="nil"/>
              <w:bottom w:val="nil"/>
              <w:right w:val="nil"/>
            </w:tcBorders>
            <w:shd w:val="clear" w:color="auto" w:fill="auto"/>
            <w:noWrap/>
            <w:vAlign w:val="center"/>
            <w:hideMark/>
          </w:tcPr>
          <w:p w14:paraId="1FD0F348"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4,73</w:t>
            </w:r>
          </w:p>
        </w:tc>
        <w:tc>
          <w:tcPr>
            <w:tcW w:w="352" w:type="pct"/>
            <w:tcBorders>
              <w:top w:val="single" w:sz="8" w:space="0" w:color="8496B0" w:themeColor="text2" w:themeTint="99"/>
              <w:left w:val="nil"/>
              <w:bottom w:val="nil"/>
              <w:right w:val="nil"/>
            </w:tcBorders>
            <w:shd w:val="clear" w:color="auto" w:fill="auto"/>
            <w:noWrap/>
            <w:vAlign w:val="center"/>
            <w:hideMark/>
          </w:tcPr>
          <w:p w14:paraId="2E11DB30"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4,17</w:t>
            </w:r>
          </w:p>
        </w:tc>
        <w:tc>
          <w:tcPr>
            <w:tcW w:w="352" w:type="pct"/>
            <w:tcBorders>
              <w:top w:val="single" w:sz="8" w:space="0" w:color="8496B0" w:themeColor="text2" w:themeTint="99"/>
              <w:left w:val="nil"/>
              <w:bottom w:val="nil"/>
              <w:right w:val="nil"/>
            </w:tcBorders>
            <w:shd w:val="clear" w:color="auto" w:fill="auto"/>
            <w:noWrap/>
            <w:vAlign w:val="center"/>
            <w:hideMark/>
          </w:tcPr>
          <w:p w14:paraId="7E128598"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5,03</w:t>
            </w:r>
          </w:p>
        </w:tc>
        <w:tc>
          <w:tcPr>
            <w:tcW w:w="352" w:type="pct"/>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279C0B29"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5,38</w:t>
            </w:r>
          </w:p>
        </w:tc>
      </w:tr>
      <w:tr w:rsidR="0042308F" w:rsidRPr="00677AB0" w14:paraId="033BCCDD" w14:textId="77777777" w:rsidTr="0042308F">
        <w:trPr>
          <w:trHeight w:val="300"/>
        </w:trPr>
        <w:tc>
          <w:tcPr>
            <w:tcW w:w="894" w:type="pct"/>
            <w:vMerge/>
            <w:tcBorders>
              <w:top w:val="nil"/>
              <w:left w:val="single" w:sz="8" w:space="0" w:color="8496B0" w:themeColor="text2" w:themeTint="99"/>
              <w:bottom w:val="nil"/>
              <w:right w:val="nil"/>
            </w:tcBorders>
            <w:vAlign w:val="center"/>
            <w:hideMark/>
          </w:tcPr>
          <w:p w14:paraId="4355FEC4"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551B759A"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Refiksiranje duga u 1. godini  (% ukupnog)</w:t>
            </w:r>
          </w:p>
        </w:tc>
        <w:tc>
          <w:tcPr>
            <w:tcW w:w="777" w:type="pct"/>
            <w:tcBorders>
              <w:top w:val="nil"/>
              <w:left w:val="nil"/>
              <w:bottom w:val="nil"/>
              <w:right w:val="nil"/>
            </w:tcBorders>
            <w:shd w:val="clear" w:color="auto" w:fill="auto"/>
            <w:noWrap/>
            <w:vAlign w:val="center"/>
            <w:hideMark/>
          </w:tcPr>
          <w:p w14:paraId="197B6AF7"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44,88</w:t>
            </w:r>
          </w:p>
        </w:tc>
        <w:tc>
          <w:tcPr>
            <w:tcW w:w="352" w:type="pct"/>
            <w:tcBorders>
              <w:top w:val="nil"/>
              <w:left w:val="nil"/>
              <w:bottom w:val="nil"/>
              <w:right w:val="nil"/>
            </w:tcBorders>
            <w:shd w:val="clear" w:color="auto" w:fill="auto"/>
            <w:noWrap/>
            <w:vAlign w:val="center"/>
            <w:hideMark/>
          </w:tcPr>
          <w:p w14:paraId="2EC34D4A"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38,27</w:t>
            </w:r>
          </w:p>
        </w:tc>
        <w:tc>
          <w:tcPr>
            <w:tcW w:w="352" w:type="pct"/>
            <w:tcBorders>
              <w:top w:val="nil"/>
              <w:left w:val="nil"/>
              <w:bottom w:val="nil"/>
              <w:right w:val="nil"/>
            </w:tcBorders>
            <w:shd w:val="clear" w:color="auto" w:fill="auto"/>
            <w:noWrap/>
            <w:vAlign w:val="center"/>
            <w:hideMark/>
          </w:tcPr>
          <w:p w14:paraId="1578D545"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43,35</w:t>
            </w:r>
          </w:p>
        </w:tc>
        <w:tc>
          <w:tcPr>
            <w:tcW w:w="352" w:type="pct"/>
            <w:tcBorders>
              <w:top w:val="nil"/>
              <w:left w:val="nil"/>
              <w:bottom w:val="nil"/>
              <w:right w:val="nil"/>
            </w:tcBorders>
            <w:shd w:val="clear" w:color="auto" w:fill="auto"/>
            <w:noWrap/>
            <w:vAlign w:val="center"/>
            <w:hideMark/>
          </w:tcPr>
          <w:p w14:paraId="579A732F"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35,54</w:t>
            </w:r>
          </w:p>
        </w:tc>
        <w:tc>
          <w:tcPr>
            <w:tcW w:w="352" w:type="pct"/>
            <w:tcBorders>
              <w:top w:val="nil"/>
              <w:left w:val="nil"/>
              <w:bottom w:val="nil"/>
              <w:right w:val="single" w:sz="8" w:space="0" w:color="8496B0" w:themeColor="text2" w:themeTint="99"/>
            </w:tcBorders>
            <w:shd w:val="clear" w:color="auto" w:fill="auto"/>
            <w:noWrap/>
            <w:vAlign w:val="center"/>
            <w:hideMark/>
          </w:tcPr>
          <w:p w14:paraId="5B41B7FA"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38,50</w:t>
            </w:r>
          </w:p>
        </w:tc>
      </w:tr>
      <w:tr w:rsidR="0042308F" w:rsidRPr="00677AB0" w14:paraId="07AE0AC1" w14:textId="77777777" w:rsidTr="0042308F">
        <w:trPr>
          <w:trHeight w:val="300"/>
        </w:trPr>
        <w:tc>
          <w:tcPr>
            <w:tcW w:w="894" w:type="pct"/>
            <w:vMerge/>
            <w:tcBorders>
              <w:top w:val="nil"/>
              <w:left w:val="single" w:sz="8" w:space="0" w:color="8496B0" w:themeColor="text2" w:themeTint="99"/>
              <w:bottom w:val="nil"/>
              <w:right w:val="nil"/>
            </w:tcBorders>
            <w:vAlign w:val="center"/>
            <w:hideMark/>
          </w:tcPr>
          <w:p w14:paraId="282EE200"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nil"/>
              <w:right w:val="nil"/>
            </w:tcBorders>
            <w:shd w:val="clear" w:color="auto" w:fill="auto"/>
            <w:noWrap/>
            <w:vAlign w:val="center"/>
            <w:hideMark/>
          </w:tcPr>
          <w:p w14:paraId="29A0D7D2" w14:textId="77777777" w:rsidR="0042308F" w:rsidRPr="00677AB0" w:rsidRDefault="006E72EF" w:rsidP="0042308F">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Dug s</w:t>
            </w:r>
            <w:r w:rsidR="0042308F" w:rsidRPr="00677AB0">
              <w:rPr>
                <w:rFonts w:ascii="Arial" w:eastAsia="Times New Roman" w:hAnsi="Arial" w:cs="Arial"/>
                <w:color w:val="000000"/>
                <w:sz w:val="16"/>
                <w:szCs w:val="16"/>
              </w:rPr>
              <w:t xml:space="preserve"> fiksnom kamatom (% ukupnog duga)</w:t>
            </w:r>
          </w:p>
        </w:tc>
        <w:tc>
          <w:tcPr>
            <w:tcW w:w="777" w:type="pct"/>
            <w:tcBorders>
              <w:top w:val="nil"/>
              <w:left w:val="nil"/>
              <w:bottom w:val="nil"/>
              <w:right w:val="nil"/>
            </w:tcBorders>
            <w:shd w:val="clear" w:color="auto" w:fill="auto"/>
            <w:noWrap/>
            <w:vAlign w:val="center"/>
            <w:hideMark/>
          </w:tcPr>
          <w:p w14:paraId="1A845827"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62,33</w:t>
            </w:r>
          </w:p>
        </w:tc>
        <w:tc>
          <w:tcPr>
            <w:tcW w:w="352" w:type="pct"/>
            <w:tcBorders>
              <w:top w:val="nil"/>
              <w:left w:val="nil"/>
              <w:bottom w:val="nil"/>
              <w:right w:val="nil"/>
            </w:tcBorders>
            <w:shd w:val="clear" w:color="auto" w:fill="auto"/>
            <w:noWrap/>
            <w:vAlign w:val="center"/>
            <w:hideMark/>
          </w:tcPr>
          <w:p w14:paraId="623680DF"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68,22</w:t>
            </w:r>
          </w:p>
        </w:tc>
        <w:tc>
          <w:tcPr>
            <w:tcW w:w="352" w:type="pct"/>
            <w:tcBorders>
              <w:top w:val="nil"/>
              <w:left w:val="nil"/>
              <w:bottom w:val="nil"/>
              <w:right w:val="nil"/>
            </w:tcBorders>
            <w:shd w:val="clear" w:color="auto" w:fill="auto"/>
            <w:noWrap/>
            <w:vAlign w:val="center"/>
            <w:hideMark/>
          </w:tcPr>
          <w:p w14:paraId="5FFAC766"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63,14</w:t>
            </w:r>
          </w:p>
        </w:tc>
        <w:tc>
          <w:tcPr>
            <w:tcW w:w="352" w:type="pct"/>
            <w:tcBorders>
              <w:top w:val="nil"/>
              <w:left w:val="nil"/>
              <w:bottom w:val="nil"/>
              <w:right w:val="nil"/>
            </w:tcBorders>
            <w:shd w:val="clear" w:color="auto" w:fill="auto"/>
            <w:noWrap/>
            <w:vAlign w:val="center"/>
            <w:hideMark/>
          </w:tcPr>
          <w:p w14:paraId="32C06C79"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70,94</w:t>
            </w:r>
          </w:p>
        </w:tc>
        <w:tc>
          <w:tcPr>
            <w:tcW w:w="352" w:type="pct"/>
            <w:tcBorders>
              <w:top w:val="nil"/>
              <w:left w:val="nil"/>
              <w:bottom w:val="nil"/>
              <w:right w:val="single" w:sz="8" w:space="0" w:color="8496B0" w:themeColor="text2" w:themeTint="99"/>
            </w:tcBorders>
            <w:shd w:val="clear" w:color="auto" w:fill="auto"/>
            <w:noWrap/>
            <w:vAlign w:val="center"/>
            <w:hideMark/>
          </w:tcPr>
          <w:p w14:paraId="1B0E1E53"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66,19</w:t>
            </w:r>
          </w:p>
        </w:tc>
      </w:tr>
      <w:tr w:rsidR="0042308F" w:rsidRPr="00677AB0" w14:paraId="4E526B68" w14:textId="77777777" w:rsidTr="0042308F">
        <w:trPr>
          <w:trHeight w:val="315"/>
        </w:trPr>
        <w:tc>
          <w:tcPr>
            <w:tcW w:w="894" w:type="pct"/>
            <w:tcBorders>
              <w:top w:val="nil"/>
              <w:left w:val="single" w:sz="8" w:space="0" w:color="8496B0" w:themeColor="text2" w:themeTint="99"/>
              <w:bottom w:val="single" w:sz="8" w:space="0" w:color="8496B0" w:themeColor="text2" w:themeTint="99"/>
              <w:right w:val="nil"/>
            </w:tcBorders>
            <w:shd w:val="clear" w:color="auto" w:fill="auto"/>
            <w:noWrap/>
            <w:vAlign w:val="center"/>
            <w:hideMark/>
          </w:tcPr>
          <w:p w14:paraId="3ADF5539"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 </w:t>
            </w:r>
          </w:p>
        </w:tc>
        <w:tc>
          <w:tcPr>
            <w:tcW w:w="1923" w:type="pct"/>
            <w:tcBorders>
              <w:top w:val="nil"/>
              <w:left w:val="nil"/>
              <w:bottom w:val="single" w:sz="8" w:space="0" w:color="8496B0" w:themeColor="text2" w:themeTint="99"/>
              <w:right w:val="nil"/>
            </w:tcBorders>
            <w:shd w:val="clear" w:color="auto" w:fill="auto"/>
            <w:noWrap/>
            <w:vAlign w:val="center"/>
            <w:hideMark/>
          </w:tcPr>
          <w:p w14:paraId="24D52DA5"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Trezorski zapisi (% ukupnog duga)</w:t>
            </w:r>
          </w:p>
        </w:tc>
        <w:tc>
          <w:tcPr>
            <w:tcW w:w="777" w:type="pct"/>
            <w:tcBorders>
              <w:top w:val="nil"/>
              <w:left w:val="nil"/>
              <w:bottom w:val="single" w:sz="8" w:space="0" w:color="8496B0" w:themeColor="text2" w:themeTint="99"/>
              <w:right w:val="nil"/>
            </w:tcBorders>
            <w:shd w:val="clear" w:color="auto" w:fill="auto"/>
            <w:noWrap/>
            <w:vAlign w:val="center"/>
            <w:hideMark/>
          </w:tcPr>
          <w:p w14:paraId="2144E6CA"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1,62</w:t>
            </w:r>
          </w:p>
        </w:tc>
        <w:tc>
          <w:tcPr>
            <w:tcW w:w="352" w:type="pct"/>
            <w:tcBorders>
              <w:top w:val="nil"/>
              <w:left w:val="nil"/>
              <w:bottom w:val="single" w:sz="8" w:space="0" w:color="8496B0" w:themeColor="text2" w:themeTint="99"/>
              <w:right w:val="nil"/>
            </w:tcBorders>
            <w:shd w:val="clear" w:color="auto" w:fill="auto"/>
            <w:noWrap/>
            <w:vAlign w:val="center"/>
            <w:hideMark/>
          </w:tcPr>
          <w:p w14:paraId="6B5690AC"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1,40</w:t>
            </w:r>
          </w:p>
        </w:tc>
        <w:tc>
          <w:tcPr>
            <w:tcW w:w="352" w:type="pct"/>
            <w:tcBorders>
              <w:top w:val="nil"/>
              <w:left w:val="nil"/>
              <w:bottom w:val="single" w:sz="8" w:space="0" w:color="8496B0" w:themeColor="text2" w:themeTint="99"/>
              <w:right w:val="nil"/>
            </w:tcBorders>
            <w:shd w:val="clear" w:color="auto" w:fill="auto"/>
            <w:noWrap/>
            <w:vAlign w:val="center"/>
            <w:hideMark/>
          </w:tcPr>
          <w:p w14:paraId="72F906A6"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1,40</w:t>
            </w:r>
          </w:p>
        </w:tc>
        <w:tc>
          <w:tcPr>
            <w:tcW w:w="352" w:type="pct"/>
            <w:tcBorders>
              <w:top w:val="nil"/>
              <w:left w:val="nil"/>
              <w:bottom w:val="single" w:sz="8" w:space="0" w:color="8496B0" w:themeColor="text2" w:themeTint="99"/>
              <w:right w:val="nil"/>
            </w:tcBorders>
            <w:shd w:val="clear" w:color="auto" w:fill="auto"/>
            <w:noWrap/>
            <w:vAlign w:val="center"/>
            <w:hideMark/>
          </w:tcPr>
          <w:p w14:paraId="56810B5C"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1,39</w:t>
            </w:r>
          </w:p>
        </w:tc>
        <w:tc>
          <w:tcPr>
            <w:tcW w:w="352" w:type="pct"/>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2F9DA868"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0,00</w:t>
            </w:r>
          </w:p>
        </w:tc>
      </w:tr>
      <w:tr w:rsidR="0042308F" w:rsidRPr="00677AB0" w14:paraId="18F6D661" w14:textId="77777777" w:rsidTr="0042308F">
        <w:trPr>
          <w:trHeight w:val="300"/>
        </w:trPr>
        <w:tc>
          <w:tcPr>
            <w:tcW w:w="894" w:type="pct"/>
            <w:vMerge w:val="restart"/>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4AEF5583"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Devizni rizik</w:t>
            </w:r>
          </w:p>
        </w:tc>
        <w:tc>
          <w:tcPr>
            <w:tcW w:w="1923" w:type="pct"/>
            <w:tcBorders>
              <w:top w:val="single" w:sz="8" w:space="0" w:color="8496B0" w:themeColor="text2" w:themeTint="99"/>
              <w:left w:val="nil"/>
              <w:bottom w:val="nil"/>
              <w:right w:val="nil"/>
            </w:tcBorders>
            <w:shd w:val="clear" w:color="auto" w:fill="auto"/>
            <w:noWrap/>
            <w:vAlign w:val="center"/>
            <w:hideMark/>
          </w:tcPr>
          <w:p w14:paraId="5AB06F89"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Devizni dug u % ukupnog duga</w:t>
            </w:r>
          </w:p>
        </w:tc>
        <w:tc>
          <w:tcPr>
            <w:tcW w:w="777" w:type="pct"/>
            <w:tcBorders>
              <w:top w:val="single" w:sz="8" w:space="0" w:color="8496B0" w:themeColor="text2" w:themeTint="99"/>
              <w:left w:val="nil"/>
              <w:bottom w:val="nil"/>
              <w:right w:val="nil"/>
            </w:tcBorders>
            <w:shd w:val="clear" w:color="auto" w:fill="auto"/>
            <w:noWrap/>
            <w:vAlign w:val="center"/>
            <w:hideMark/>
          </w:tcPr>
          <w:p w14:paraId="3DB3B8A8"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84,84</w:t>
            </w:r>
          </w:p>
        </w:tc>
        <w:tc>
          <w:tcPr>
            <w:tcW w:w="352" w:type="pct"/>
            <w:tcBorders>
              <w:top w:val="single" w:sz="8" w:space="0" w:color="8496B0" w:themeColor="text2" w:themeTint="99"/>
              <w:left w:val="nil"/>
              <w:bottom w:val="nil"/>
              <w:right w:val="nil"/>
            </w:tcBorders>
            <w:shd w:val="clear" w:color="auto" w:fill="auto"/>
            <w:noWrap/>
            <w:vAlign w:val="center"/>
            <w:hideMark/>
          </w:tcPr>
          <w:p w14:paraId="32BFCF5C"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79,57</w:t>
            </w:r>
          </w:p>
        </w:tc>
        <w:tc>
          <w:tcPr>
            <w:tcW w:w="352" w:type="pct"/>
            <w:tcBorders>
              <w:top w:val="single" w:sz="8" w:space="0" w:color="8496B0" w:themeColor="text2" w:themeTint="99"/>
              <w:left w:val="nil"/>
              <w:bottom w:val="nil"/>
              <w:right w:val="nil"/>
            </w:tcBorders>
            <w:shd w:val="clear" w:color="auto" w:fill="auto"/>
            <w:noWrap/>
            <w:vAlign w:val="center"/>
            <w:hideMark/>
          </w:tcPr>
          <w:p w14:paraId="0382DD75"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79,56</w:t>
            </w:r>
          </w:p>
        </w:tc>
        <w:tc>
          <w:tcPr>
            <w:tcW w:w="352" w:type="pct"/>
            <w:tcBorders>
              <w:top w:val="single" w:sz="8" w:space="0" w:color="8496B0" w:themeColor="text2" w:themeTint="99"/>
              <w:left w:val="nil"/>
              <w:bottom w:val="nil"/>
              <w:right w:val="nil"/>
            </w:tcBorders>
            <w:shd w:val="clear" w:color="auto" w:fill="auto"/>
            <w:noWrap/>
            <w:vAlign w:val="center"/>
            <w:hideMark/>
          </w:tcPr>
          <w:p w14:paraId="4E768D99"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79,58</w:t>
            </w:r>
          </w:p>
        </w:tc>
        <w:tc>
          <w:tcPr>
            <w:tcW w:w="352" w:type="pct"/>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3522F3FC"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92,29</w:t>
            </w:r>
          </w:p>
        </w:tc>
      </w:tr>
      <w:tr w:rsidR="0042308F" w:rsidRPr="00677AB0" w14:paraId="1033E9DD" w14:textId="77777777" w:rsidTr="0042308F">
        <w:trPr>
          <w:trHeight w:val="315"/>
        </w:trPr>
        <w:tc>
          <w:tcPr>
            <w:tcW w:w="894" w:type="pct"/>
            <w:vMerge/>
            <w:tcBorders>
              <w:top w:val="nil"/>
              <w:left w:val="single" w:sz="8" w:space="0" w:color="8496B0" w:themeColor="text2" w:themeTint="99"/>
              <w:bottom w:val="single" w:sz="8" w:space="0" w:color="8496B0" w:themeColor="text2" w:themeTint="99"/>
              <w:right w:val="nil"/>
            </w:tcBorders>
            <w:vAlign w:val="center"/>
            <w:hideMark/>
          </w:tcPr>
          <w:p w14:paraId="508AF3D2" w14:textId="77777777" w:rsidR="0042308F" w:rsidRPr="00677AB0" w:rsidRDefault="0042308F" w:rsidP="0042308F">
            <w:pPr>
              <w:spacing w:after="0" w:line="240" w:lineRule="auto"/>
              <w:rPr>
                <w:rFonts w:ascii="Arial" w:eastAsia="Times New Roman" w:hAnsi="Arial" w:cs="Arial"/>
                <w:color w:val="000000"/>
                <w:sz w:val="16"/>
                <w:szCs w:val="16"/>
              </w:rPr>
            </w:pPr>
          </w:p>
        </w:tc>
        <w:tc>
          <w:tcPr>
            <w:tcW w:w="1923" w:type="pct"/>
            <w:tcBorders>
              <w:top w:val="nil"/>
              <w:left w:val="nil"/>
              <w:bottom w:val="single" w:sz="8" w:space="0" w:color="8496B0" w:themeColor="text2" w:themeTint="99"/>
              <w:right w:val="nil"/>
            </w:tcBorders>
            <w:shd w:val="clear" w:color="auto" w:fill="auto"/>
            <w:noWrap/>
            <w:vAlign w:val="center"/>
            <w:hideMark/>
          </w:tcPr>
          <w:p w14:paraId="7DB89C0C" w14:textId="77777777" w:rsidR="0042308F" w:rsidRPr="00677AB0" w:rsidRDefault="0042308F" w:rsidP="0042308F">
            <w:pPr>
              <w:spacing w:after="0" w:line="240" w:lineRule="auto"/>
              <w:rPr>
                <w:rFonts w:ascii="Arial" w:eastAsia="Times New Roman" w:hAnsi="Arial" w:cs="Arial"/>
                <w:color w:val="000000"/>
                <w:sz w:val="16"/>
                <w:szCs w:val="16"/>
              </w:rPr>
            </w:pPr>
            <w:r w:rsidRPr="00677AB0">
              <w:rPr>
                <w:rFonts w:ascii="Arial" w:eastAsia="Times New Roman" w:hAnsi="Arial" w:cs="Arial"/>
                <w:color w:val="000000"/>
                <w:sz w:val="16"/>
                <w:szCs w:val="16"/>
              </w:rPr>
              <w:t>Kratkoročni devizni dug u % rezervi</w:t>
            </w:r>
          </w:p>
        </w:tc>
        <w:tc>
          <w:tcPr>
            <w:tcW w:w="777" w:type="pct"/>
            <w:tcBorders>
              <w:top w:val="nil"/>
              <w:left w:val="nil"/>
              <w:bottom w:val="single" w:sz="8" w:space="0" w:color="8496B0" w:themeColor="text2" w:themeTint="99"/>
              <w:right w:val="nil"/>
            </w:tcBorders>
            <w:shd w:val="clear" w:color="auto" w:fill="auto"/>
            <w:noWrap/>
            <w:vAlign w:val="center"/>
            <w:hideMark/>
          </w:tcPr>
          <w:p w14:paraId="2E47739E" w14:textId="77777777" w:rsidR="0042308F" w:rsidRPr="00677AB0" w:rsidRDefault="0042308F" w:rsidP="0042308F">
            <w:pPr>
              <w:spacing w:after="0" w:line="240" w:lineRule="auto"/>
              <w:jc w:val="center"/>
              <w:rPr>
                <w:rFonts w:ascii="Arial" w:eastAsia="Times New Roman" w:hAnsi="Arial" w:cs="Arial"/>
                <w:b/>
                <w:bCs/>
                <w:i/>
                <w:iCs/>
                <w:color w:val="000000"/>
                <w:sz w:val="16"/>
                <w:szCs w:val="16"/>
              </w:rPr>
            </w:pPr>
            <w:r w:rsidRPr="00677AB0">
              <w:rPr>
                <w:rFonts w:ascii="Arial" w:hAnsi="Arial" w:cs="Arial"/>
                <w:b/>
                <w:bCs/>
                <w:sz w:val="16"/>
                <w:szCs w:val="16"/>
              </w:rPr>
              <w:t>4,55</w:t>
            </w:r>
          </w:p>
        </w:tc>
        <w:tc>
          <w:tcPr>
            <w:tcW w:w="352" w:type="pct"/>
            <w:tcBorders>
              <w:top w:val="nil"/>
              <w:left w:val="nil"/>
              <w:bottom w:val="single" w:sz="8" w:space="0" w:color="8496B0" w:themeColor="text2" w:themeTint="99"/>
              <w:right w:val="nil"/>
            </w:tcBorders>
            <w:shd w:val="clear" w:color="auto" w:fill="auto"/>
            <w:noWrap/>
            <w:vAlign w:val="center"/>
            <w:hideMark/>
          </w:tcPr>
          <w:p w14:paraId="062B4699" w14:textId="77777777" w:rsidR="0042308F" w:rsidRPr="00677AB0" w:rsidRDefault="0042308F" w:rsidP="0042308F">
            <w:pPr>
              <w:spacing w:after="0" w:line="240" w:lineRule="auto"/>
              <w:jc w:val="center"/>
              <w:rPr>
                <w:rFonts w:ascii="Arial" w:hAnsi="Arial" w:cs="Arial"/>
                <w:b/>
                <w:bCs/>
                <w:sz w:val="16"/>
                <w:szCs w:val="16"/>
              </w:rPr>
            </w:pPr>
            <w:r w:rsidRPr="00677AB0">
              <w:rPr>
                <w:rFonts w:ascii="Arial" w:hAnsi="Arial" w:cs="Arial"/>
                <w:b/>
                <w:bCs/>
                <w:sz w:val="16"/>
                <w:szCs w:val="16"/>
              </w:rPr>
              <w:t>2,43</w:t>
            </w:r>
          </w:p>
        </w:tc>
        <w:tc>
          <w:tcPr>
            <w:tcW w:w="352" w:type="pct"/>
            <w:tcBorders>
              <w:top w:val="nil"/>
              <w:left w:val="nil"/>
              <w:bottom w:val="single" w:sz="8" w:space="0" w:color="8496B0" w:themeColor="text2" w:themeTint="99"/>
              <w:right w:val="nil"/>
            </w:tcBorders>
            <w:shd w:val="clear" w:color="auto" w:fill="auto"/>
            <w:noWrap/>
            <w:vAlign w:val="center"/>
            <w:hideMark/>
          </w:tcPr>
          <w:p w14:paraId="45401906"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2,43</w:t>
            </w:r>
          </w:p>
        </w:tc>
        <w:tc>
          <w:tcPr>
            <w:tcW w:w="352" w:type="pct"/>
            <w:tcBorders>
              <w:top w:val="nil"/>
              <w:left w:val="nil"/>
              <w:bottom w:val="single" w:sz="8" w:space="0" w:color="8496B0" w:themeColor="text2" w:themeTint="99"/>
              <w:right w:val="nil"/>
            </w:tcBorders>
            <w:shd w:val="clear" w:color="auto" w:fill="auto"/>
            <w:noWrap/>
            <w:vAlign w:val="center"/>
            <w:hideMark/>
          </w:tcPr>
          <w:p w14:paraId="470CD2EC"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2,43</w:t>
            </w:r>
          </w:p>
        </w:tc>
        <w:tc>
          <w:tcPr>
            <w:tcW w:w="352" w:type="pct"/>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5204761C" w14:textId="77777777" w:rsidR="0042308F" w:rsidRPr="00677AB0" w:rsidRDefault="0042308F" w:rsidP="0042308F">
            <w:pPr>
              <w:spacing w:after="0" w:line="240" w:lineRule="auto"/>
              <w:jc w:val="center"/>
              <w:rPr>
                <w:rFonts w:ascii="Arial" w:hAnsi="Arial" w:cs="Arial"/>
                <w:sz w:val="16"/>
                <w:szCs w:val="16"/>
              </w:rPr>
            </w:pPr>
            <w:r w:rsidRPr="00677AB0">
              <w:rPr>
                <w:rFonts w:ascii="Arial" w:hAnsi="Arial" w:cs="Arial"/>
                <w:sz w:val="16"/>
                <w:szCs w:val="16"/>
              </w:rPr>
              <w:t>2,43</w:t>
            </w:r>
          </w:p>
        </w:tc>
      </w:tr>
    </w:tbl>
    <w:p w14:paraId="329F8705" w14:textId="77777777" w:rsidR="0042308F" w:rsidRPr="00677AB0" w:rsidRDefault="0042308F" w:rsidP="0042308F">
      <w:pPr>
        <w:spacing w:after="0" w:line="240" w:lineRule="auto"/>
        <w:jc w:val="both"/>
        <w:rPr>
          <w:rFonts w:ascii="Arial" w:hAnsi="Arial" w:cs="Arial"/>
        </w:rPr>
      </w:pPr>
    </w:p>
    <w:p w14:paraId="2D0BAC73" w14:textId="77777777" w:rsidR="0042308F" w:rsidRPr="00677AB0" w:rsidRDefault="006E72EF" w:rsidP="0042308F">
      <w:pPr>
        <w:spacing w:after="0"/>
        <w:ind w:firstLine="426"/>
        <w:jc w:val="both"/>
        <w:rPr>
          <w:rFonts w:ascii="Arial" w:hAnsi="Arial" w:cs="Arial"/>
          <w:szCs w:val="24"/>
        </w:rPr>
      </w:pPr>
      <w:r w:rsidRPr="00677AB0">
        <w:rPr>
          <w:rFonts w:ascii="Arial" w:hAnsi="Arial" w:cs="Arial"/>
          <w:szCs w:val="24"/>
        </w:rPr>
        <w:t>Uspoređujući</w:t>
      </w:r>
      <w:r w:rsidR="0042308F" w:rsidRPr="00677AB0">
        <w:rPr>
          <w:rFonts w:ascii="Arial" w:hAnsi="Arial" w:cs="Arial"/>
          <w:szCs w:val="24"/>
        </w:rPr>
        <w:t xml:space="preserve"> indikatore </w:t>
      </w:r>
      <w:r>
        <w:rPr>
          <w:rFonts w:ascii="Arial" w:hAnsi="Arial" w:cs="Arial"/>
          <w:szCs w:val="24"/>
        </w:rPr>
        <w:t>rizika predloženih strategija s</w:t>
      </w:r>
      <w:r w:rsidR="0042308F" w:rsidRPr="00677AB0">
        <w:rPr>
          <w:rFonts w:ascii="Arial" w:hAnsi="Arial" w:cs="Arial"/>
          <w:szCs w:val="24"/>
        </w:rPr>
        <w:t xml:space="preserve"> rizicima trenutnog </w:t>
      </w:r>
      <w:r w:rsidR="0042308F">
        <w:rPr>
          <w:rFonts w:ascii="Arial" w:hAnsi="Arial" w:cs="Arial"/>
          <w:szCs w:val="24"/>
        </w:rPr>
        <w:t>portfelja</w:t>
      </w:r>
      <w:r w:rsidR="0042308F" w:rsidRPr="00677AB0">
        <w:rPr>
          <w:rFonts w:ascii="Arial" w:hAnsi="Arial" w:cs="Arial"/>
          <w:szCs w:val="24"/>
        </w:rPr>
        <w:t xml:space="preserve"> duga, mogu se izvesti sljedeći zaključci:</w:t>
      </w:r>
    </w:p>
    <w:p w14:paraId="33E38541" w14:textId="77777777" w:rsidR="0042308F" w:rsidRPr="00677AB0" w:rsidRDefault="0042308F" w:rsidP="0042308F">
      <w:pPr>
        <w:spacing w:after="0"/>
        <w:ind w:firstLine="426"/>
        <w:jc w:val="both"/>
        <w:rPr>
          <w:rFonts w:ascii="Arial" w:hAnsi="Arial" w:cs="Arial"/>
          <w:sz w:val="24"/>
          <w:szCs w:val="24"/>
        </w:rPr>
      </w:pPr>
    </w:p>
    <w:p w14:paraId="3A7BE169" w14:textId="77777777" w:rsidR="0042308F" w:rsidRPr="00677AB0" w:rsidRDefault="0042308F" w:rsidP="0042308F">
      <w:pPr>
        <w:spacing w:after="0"/>
        <w:ind w:firstLine="426"/>
        <w:jc w:val="both"/>
        <w:rPr>
          <w:rFonts w:ascii="Arial" w:hAnsi="Arial" w:cs="Arial"/>
        </w:rPr>
      </w:pPr>
      <w:r w:rsidRPr="00677AB0">
        <w:rPr>
          <w:rFonts w:ascii="Arial" w:hAnsi="Arial" w:cs="Arial"/>
          <w:b/>
          <w:i/>
        </w:rPr>
        <w:t>Troškovi duga</w:t>
      </w:r>
      <w:r w:rsidRPr="00677AB0">
        <w:rPr>
          <w:rFonts w:ascii="Arial" w:hAnsi="Arial" w:cs="Arial"/>
        </w:rPr>
        <w:t xml:space="preserve"> – Prosječna </w:t>
      </w:r>
      <w:r w:rsidR="006E72EF" w:rsidRPr="00677AB0">
        <w:rPr>
          <w:rFonts w:ascii="Arial" w:hAnsi="Arial" w:cs="Arial"/>
        </w:rPr>
        <w:t>ponderirana</w:t>
      </w:r>
      <w:r w:rsidRPr="00677AB0">
        <w:rPr>
          <w:rFonts w:ascii="Arial" w:hAnsi="Arial" w:cs="Arial"/>
        </w:rPr>
        <w:t xml:space="preserve"> kamatna stopa u svim analiziranim strategijama se povećava i kreće se u rasponu od 3,77% - 4,30%, s tim da kod preferirane strategije S1 na kraju 2026. godine iznosi 3,78%. </w:t>
      </w:r>
    </w:p>
    <w:p w14:paraId="3D8347F8" w14:textId="77777777" w:rsidR="0042308F" w:rsidRPr="00677AB0" w:rsidRDefault="0042308F" w:rsidP="0042308F">
      <w:pPr>
        <w:spacing w:after="0"/>
        <w:ind w:firstLine="426"/>
        <w:jc w:val="both"/>
        <w:rPr>
          <w:rFonts w:ascii="Arial" w:hAnsi="Arial" w:cs="Arial"/>
          <w:highlight w:val="yellow"/>
        </w:rPr>
      </w:pPr>
    </w:p>
    <w:p w14:paraId="706CD23A" w14:textId="77777777" w:rsidR="0042308F" w:rsidRPr="00677AB0" w:rsidRDefault="0042308F" w:rsidP="0042308F">
      <w:pPr>
        <w:spacing w:after="0"/>
        <w:ind w:firstLine="426"/>
        <w:jc w:val="both"/>
        <w:rPr>
          <w:rFonts w:ascii="Arial" w:hAnsi="Arial" w:cs="Arial"/>
        </w:rPr>
      </w:pPr>
      <w:r w:rsidRPr="00677AB0">
        <w:rPr>
          <w:rFonts w:ascii="Arial" w:hAnsi="Arial" w:cs="Arial"/>
          <w:b/>
          <w:i/>
        </w:rPr>
        <w:t>Rizik re</w:t>
      </w:r>
      <w:r>
        <w:rPr>
          <w:rFonts w:ascii="Arial" w:hAnsi="Arial" w:cs="Arial"/>
          <w:b/>
          <w:i/>
        </w:rPr>
        <w:t>financ</w:t>
      </w:r>
      <w:r w:rsidRPr="00677AB0">
        <w:rPr>
          <w:rFonts w:ascii="Arial" w:hAnsi="Arial" w:cs="Arial"/>
          <w:b/>
          <w:i/>
        </w:rPr>
        <w:t>iranja</w:t>
      </w:r>
      <w:r w:rsidRPr="00677AB0">
        <w:rPr>
          <w:rFonts w:ascii="Arial" w:hAnsi="Arial" w:cs="Arial"/>
        </w:rPr>
        <w:t xml:space="preserve"> – Iznos  dug</w:t>
      </w:r>
      <w:r w:rsidR="006E72EF">
        <w:rPr>
          <w:rFonts w:ascii="Arial" w:hAnsi="Arial" w:cs="Arial"/>
        </w:rPr>
        <w:t>a koji dospijeva u 2026. godini</w:t>
      </w:r>
      <w:r w:rsidRPr="00677AB0">
        <w:rPr>
          <w:rFonts w:ascii="Arial" w:hAnsi="Arial" w:cs="Arial"/>
        </w:rPr>
        <w:t xml:space="preserve"> je približno isti u svim strategijama ali je manji u relativnom iznosu u odnosu početni </w:t>
      </w:r>
      <w:r>
        <w:rPr>
          <w:rFonts w:ascii="Arial" w:hAnsi="Arial" w:cs="Arial"/>
        </w:rPr>
        <w:t>portfelj</w:t>
      </w:r>
      <w:r w:rsidRPr="00677AB0">
        <w:rPr>
          <w:rFonts w:ascii="Arial" w:hAnsi="Arial" w:cs="Arial"/>
        </w:rPr>
        <w:t xml:space="preserve"> duga iz 2023. godine kada je iznosio 14,22% i ispod je iznosa koji je u smjernicama o zaduživanju naveden kao gornja granica (15% ukupnog </w:t>
      </w:r>
      <w:r>
        <w:rPr>
          <w:rFonts w:ascii="Arial" w:hAnsi="Arial" w:cs="Arial"/>
        </w:rPr>
        <w:t>portfelja</w:t>
      </w:r>
      <w:r w:rsidRPr="00677AB0">
        <w:rPr>
          <w:rFonts w:ascii="Arial" w:hAnsi="Arial" w:cs="Arial"/>
        </w:rPr>
        <w:t xml:space="preserve"> duga). </w:t>
      </w:r>
    </w:p>
    <w:p w14:paraId="19C9F2CF" w14:textId="77777777" w:rsidR="0042308F" w:rsidRPr="00677AB0" w:rsidRDefault="0042308F" w:rsidP="0042308F">
      <w:pPr>
        <w:spacing w:after="0"/>
        <w:ind w:firstLine="426"/>
        <w:jc w:val="both"/>
        <w:rPr>
          <w:rFonts w:ascii="Arial" w:hAnsi="Arial" w:cs="Arial"/>
          <w:highlight w:val="yellow"/>
        </w:rPr>
      </w:pPr>
    </w:p>
    <w:p w14:paraId="7374ACDD" w14:textId="77777777" w:rsidR="0042308F" w:rsidRPr="00677AB0" w:rsidRDefault="0042308F" w:rsidP="0042308F">
      <w:pPr>
        <w:spacing w:after="0"/>
        <w:ind w:firstLine="426"/>
        <w:jc w:val="both"/>
        <w:rPr>
          <w:rFonts w:ascii="Arial" w:hAnsi="Arial" w:cs="Arial"/>
        </w:rPr>
      </w:pPr>
      <w:r w:rsidRPr="00677AB0">
        <w:rPr>
          <w:rFonts w:ascii="Arial" w:hAnsi="Arial" w:cs="Arial"/>
          <w:b/>
          <w:bCs/>
        </w:rPr>
        <w:t>Prosječno vrijeme do dospijeća (ATM)</w:t>
      </w:r>
      <w:r w:rsidRPr="00677AB0">
        <w:rPr>
          <w:rFonts w:ascii="Arial" w:hAnsi="Arial" w:cs="Arial"/>
        </w:rPr>
        <w:t xml:space="preserve"> bi se povećalo u svim analiziranim st</w:t>
      </w:r>
      <w:r w:rsidR="006E72EF">
        <w:rPr>
          <w:rFonts w:ascii="Arial" w:hAnsi="Arial" w:cs="Arial"/>
        </w:rPr>
        <w:t>rategijama i bilo bi u skladu s</w:t>
      </w:r>
      <w:r w:rsidRPr="00677AB0">
        <w:rPr>
          <w:rFonts w:ascii="Arial" w:hAnsi="Arial" w:cs="Arial"/>
        </w:rPr>
        <w:t xml:space="preserve"> definiranim strateškim ciljevima. Najduže prosječno vrijeme do</w:t>
      </w:r>
      <w:r w:rsidR="006E72EF">
        <w:rPr>
          <w:rFonts w:ascii="Arial" w:hAnsi="Arial" w:cs="Arial"/>
        </w:rPr>
        <w:t xml:space="preserve"> dospijeća bi bilo u strategiji</w:t>
      </w:r>
      <w:r w:rsidRPr="00677AB0">
        <w:rPr>
          <w:rFonts w:ascii="Arial" w:hAnsi="Arial" w:cs="Arial"/>
        </w:rPr>
        <w:t xml:space="preserve"> S4 uzimajući u obzir korištene </w:t>
      </w:r>
      <w:r w:rsidR="006E72EF" w:rsidRPr="00677AB0">
        <w:rPr>
          <w:rFonts w:ascii="Arial" w:hAnsi="Arial" w:cs="Arial"/>
        </w:rPr>
        <w:t>instrumente</w:t>
      </w:r>
      <w:r w:rsidRPr="00677AB0">
        <w:rPr>
          <w:rFonts w:ascii="Arial" w:hAnsi="Arial" w:cs="Arial"/>
        </w:rPr>
        <w:t xml:space="preserve"> duga u spomenutoj strategiji. Implementacijom strategije S1 prosječno vrijeme dospijeća </w:t>
      </w:r>
      <w:r>
        <w:rPr>
          <w:rFonts w:ascii="Arial" w:hAnsi="Arial" w:cs="Arial"/>
        </w:rPr>
        <w:t>portfelja</w:t>
      </w:r>
      <w:r w:rsidRPr="00677AB0">
        <w:rPr>
          <w:rFonts w:ascii="Arial" w:hAnsi="Arial" w:cs="Arial"/>
        </w:rPr>
        <w:t xml:space="preserve"> duga na kraju 2026. godine bi iznosilo 6,73 godina. </w:t>
      </w:r>
    </w:p>
    <w:p w14:paraId="5E1886EE" w14:textId="77777777" w:rsidR="0042308F" w:rsidRPr="00677AB0" w:rsidRDefault="0042308F" w:rsidP="0042308F">
      <w:pPr>
        <w:spacing w:after="0"/>
        <w:ind w:firstLine="426"/>
        <w:jc w:val="both"/>
        <w:rPr>
          <w:rFonts w:ascii="Arial" w:hAnsi="Arial" w:cs="Arial"/>
          <w:highlight w:val="yellow"/>
        </w:rPr>
      </w:pPr>
    </w:p>
    <w:p w14:paraId="6DFD40FC" w14:textId="77777777" w:rsidR="0042308F" w:rsidRPr="00677AB0" w:rsidRDefault="0042308F" w:rsidP="0042308F">
      <w:pPr>
        <w:spacing w:after="0"/>
        <w:ind w:firstLine="426"/>
        <w:jc w:val="both"/>
        <w:rPr>
          <w:rFonts w:ascii="Arial" w:hAnsi="Arial" w:cs="Arial"/>
        </w:rPr>
      </w:pPr>
      <w:r w:rsidRPr="00677AB0">
        <w:rPr>
          <w:rFonts w:ascii="Arial" w:hAnsi="Arial" w:cs="Arial"/>
          <w:b/>
          <w:i/>
        </w:rPr>
        <w:t>Kamatni rizik</w:t>
      </w:r>
      <w:r w:rsidRPr="00677AB0">
        <w:rPr>
          <w:rFonts w:ascii="Arial" w:hAnsi="Arial" w:cs="Arial"/>
        </w:rPr>
        <w:t xml:space="preserve"> – Prosječno vrijeme refiksiranja se povećava u preferiranoj strategiji i iznosi 4,73 godina, u odnosu na trenutno vrijeme refiksiranja od 4,15 godine. U</w:t>
      </w:r>
      <w:r w:rsidR="006E72EF">
        <w:rPr>
          <w:rFonts w:ascii="Arial" w:hAnsi="Arial" w:cs="Arial"/>
        </w:rPr>
        <w:t>djel duga s</w:t>
      </w:r>
      <w:r w:rsidRPr="00677AB0">
        <w:rPr>
          <w:rFonts w:ascii="Arial" w:hAnsi="Arial" w:cs="Arial"/>
        </w:rPr>
        <w:t xml:space="preserve"> fiksnim kamatnim stopama u preferiranoj strategiji bi se povećalo u odnosu na početni </w:t>
      </w:r>
      <w:r>
        <w:rPr>
          <w:rFonts w:ascii="Arial" w:hAnsi="Arial" w:cs="Arial"/>
        </w:rPr>
        <w:t>portfelj</w:t>
      </w:r>
      <w:r w:rsidRPr="00677AB0">
        <w:rPr>
          <w:rFonts w:ascii="Arial" w:hAnsi="Arial" w:cs="Arial"/>
        </w:rPr>
        <w:t xml:space="preserve"> duga i iznosilo bi 68,22%. Strategija S4 koja uzima u obzir zaduživanje emisijama euroobveznica po </w:t>
      </w:r>
      <w:r w:rsidRPr="00677AB0">
        <w:rPr>
          <w:rFonts w:ascii="Arial" w:hAnsi="Arial" w:cs="Arial"/>
        </w:rPr>
        <w:lastRenderedPageBreak/>
        <w:t>fiksnim kamatnim stopama imaju znatno povoljniji ATR koji iznosi 5,38 godina.</w:t>
      </w:r>
    </w:p>
    <w:p w14:paraId="27B2EC4C" w14:textId="77777777" w:rsidR="0042308F" w:rsidRPr="00677AB0" w:rsidRDefault="0042308F" w:rsidP="0042308F">
      <w:pPr>
        <w:spacing w:after="0"/>
        <w:ind w:firstLine="425"/>
        <w:jc w:val="both"/>
        <w:rPr>
          <w:rFonts w:ascii="Arial" w:hAnsi="Arial" w:cs="Arial"/>
        </w:rPr>
      </w:pPr>
    </w:p>
    <w:p w14:paraId="161FF70E" w14:textId="77777777" w:rsidR="0042308F" w:rsidRPr="00677AB0" w:rsidRDefault="0042308F" w:rsidP="0042308F">
      <w:pPr>
        <w:spacing w:after="0"/>
        <w:ind w:firstLine="425"/>
        <w:jc w:val="both"/>
        <w:rPr>
          <w:rFonts w:ascii="Arial" w:hAnsi="Arial" w:cs="Arial"/>
          <w:iCs/>
        </w:rPr>
      </w:pPr>
      <w:r w:rsidRPr="00677AB0">
        <w:rPr>
          <w:rFonts w:ascii="Arial" w:hAnsi="Arial" w:cs="Arial"/>
          <w:iCs/>
        </w:rPr>
        <w:t xml:space="preserve"> Vlada Federacije BiH je izabrala</w:t>
      </w:r>
      <w:r w:rsidRPr="00677AB0">
        <w:rPr>
          <w:rFonts w:ascii="Arial" w:hAnsi="Arial" w:cs="Arial"/>
          <w:b/>
          <w:iCs/>
        </w:rPr>
        <w:t xml:space="preserve"> Strategiju S1</w:t>
      </w:r>
      <w:r w:rsidRPr="00677AB0">
        <w:rPr>
          <w:rFonts w:ascii="Arial" w:hAnsi="Arial" w:cs="Arial"/>
          <w:iCs/>
        </w:rPr>
        <w:t xml:space="preserve"> koju će provoditi u periodu 2024-2026. iz</w:t>
      </w:r>
      <w:r w:rsidRPr="00677AB0">
        <w:rPr>
          <w:rFonts w:ascii="Arial" w:hAnsi="Arial" w:cs="Arial"/>
          <w:iCs/>
          <w:strike/>
        </w:rPr>
        <w:t xml:space="preserve"> </w:t>
      </w:r>
      <w:r w:rsidRPr="00677AB0">
        <w:rPr>
          <w:rFonts w:ascii="Arial" w:hAnsi="Arial" w:cs="Arial"/>
          <w:iCs/>
        </w:rPr>
        <w:t>razloga što su indikatori rizika izabrane strategije S1 na kraju 2026. godine uglavnom u skladu sa smjernicama za upravljanje dugom.</w:t>
      </w:r>
    </w:p>
    <w:p w14:paraId="63558696" w14:textId="77777777" w:rsidR="0042308F" w:rsidRPr="00677AB0" w:rsidRDefault="0042308F" w:rsidP="0042308F">
      <w:pPr>
        <w:spacing w:after="0"/>
        <w:ind w:firstLine="426"/>
        <w:jc w:val="both"/>
        <w:rPr>
          <w:rFonts w:ascii="Arial" w:hAnsi="Arial" w:cs="Arial"/>
        </w:rPr>
      </w:pPr>
    </w:p>
    <w:p w14:paraId="631912AA" w14:textId="77777777" w:rsidR="0042308F" w:rsidRPr="00677AB0" w:rsidRDefault="0042308F" w:rsidP="0042308F">
      <w:pPr>
        <w:spacing w:after="0"/>
        <w:rPr>
          <w:rFonts w:ascii="Arial" w:eastAsia="Times New Roman" w:hAnsi="Arial" w:cs="Arial"/>
          <w:lang w:eastAsia="bs-Latn-BA"/>
        </w:rPr>
      </w:pPr>
    </w:p>
    <w:p w14:paraId="53EDEC5B" w14:textId="77777777" w:rsidR="0042308F" w:rsidRPr="00677AB0" w:rsidRDefault="0042308F" w:rsidP="0042308F">
      <w:pPr>
        <w:pStyle w:val="Heading1"/>
        <w:numPr>
          <w:ilvl w:val="0"/>
          <w:numId w:val="1"/>
        </w:numPr>
        <w:spacing w:before="0"/>
        <w:ind w:left="567" w:hanging="425"/>
        <w:rPr>
          <w:rFonts w:ascii="Arial" w:hAnsi="Arial" w:cs="Arial"/>
          <w:b w:val="0"/>
          <w:color w:val="auto"/>
        </w:rPr>
      </w:pPr>
      <w:bookmarkStart w:id="135" w:name="_Toc172282258"/>
      <w:r w:rsidRPr="00677AB0">
        <w:rPr>
          <w:rFonts w:ascii="Arial" w:hAnsi="Arial" w:cs="Arial"/>
          <w:b w:val="0"/>
          <w:color w:val="auto"/>
        </w:rPr>
        <w:t>SMJERNICE ZA UPRAVLJANJE DUGOM</w:t>
      </w:r>
      <w:bookmarkEnd w:id="135"/>
    </w:p>
    <w:p w14:paraId="69914EC6" w14:textId="77777777" w:rsidR="0042308F" w:rsidRPr="00677AB0" w:rsidRDefault="0042308F" w:rsidP="0042308F">
      <w:pPr>
        <w:pStyle w:val="NoSpacing"/>
        <w:spacing w:line="276" w:lineRule="auto"/>
        <w:ind w:firstLine="284"/>
        <w:jc w:val="both"/>
        <w:rPr>
          <w:rFonts w:ascii="Arial" w:hAnsi="Arial" w:cs="Arial"/>
          <w:lang w:val="hr-HR"/>
        </w:rPr>
      </w:pPr>
    </w:p>
    <w:p w14:paraId="0687FB78" w14:textId="77777777" w:rsidR="0042308F" w:rsidRPr="00677AB0" w:rsidRDefault="0042308F" w:rsidP="0042308F">
      <w:pPr>
        <w:pStyle w:val="NoSpacing"/>
        <w:spacing w:line="276" w:lineRule="auto"/>
        <w:ind w:firstLine="284"/>
        <w:jc w:val="both"/>
        <w:rPr>
          <w:rFonts w:ascii="Arial" w:hAnsi="Arial" w:cs="Arial"/>
          <w:lang w:val="hr-HR"/>
        </w:rPr>
      </w:pPr>
      <w:r w:rsidRPr="00677AB0">
        <w:rPr>
          <w:rFonts w:ascii="Arial" w:hAnsi="Arial" w:cs="Arial"/>
          <w:lang w:val="hr-HR"/>
        </w:rPr>
        <w:t xml:space="preserve">U namjeri da se osiguraju sredstva za likvidnost </w:t>
      </w:r>
      <w:r w:rsidR="007D084A">
        <w:rPr>
          <w:rFonts w:ascii="Arial" w:hAnsi="Arial" w:cs="Arial"/>
          <w:lang w:val="hr-HR"/>
        </w:rPr>
        <w:t>proračun</w:t>
      </w:r>
      <w:r w:rsidRPr="00677AB0">
        <w:rPr>
          <w:rFonts w:ascii="Arial" w:hAnsi="Arial" w:cs="Arial"/>
          <w:lang w:val="hr-HR"/>
        </w:rPr>
        <w:t xml:space="preserve">a, zadovolji tražnja i poveća likvidnost vladinih vrijednosnih papira, u narednom </w:t>
      </w:r>
      <w:r w:rsidR="005B3B2B">
        <w:rPr>
          <w:rFonts w:ascii="Arial" w:hAnsi="Arial" w:cs="Arial"/>
          <w:lang w:val="hr-HR"/>
        </w:rPr>
        <w:t>razdoblju</w:t>
      </w:r>
      <w:r w:rsidRPr="00677AB0">
        <w:rPr>
          <w:rFonts w:ascii="Arial" w:hAnsi="Arial" w:cs="Arial"/>
          <w:lang w:val="hr-HR"/>
        </w:rPr>
        <w:t xml:space="preserve"> Vlada Federacije BiH će nas</w:t>
      </w:r>
      <w:r w:rsidR="005B3B2B">
        <w:rPr>
          <w:rFonts w:ascii="Arial" w:hAnsi="Arial" w:cs="Arial"/>
          <w:lang w:val="hr-HR"/>
        </w:rPr>
        <w:t>taviti s</w:t>
      </w:r>
      <w:r w:rsidRPr="00677AB0">
        <w:rPr>
          <w:rFonts w:ascii="Arial" w:hAnsi="Arial" w:cs="Arial"/>
          <w:lang w:val="hr-HR"/>
        </w:rPr>
        <w:t xml:space="preserve"> izdavanjem trezorskih zapisa i obveznica u o</w:t>
      </w:r>
      <w:r w:rsidR="005B3B2B">
        <w:rPr>
          <w:rFonts w:ascii="Arial" w:hAnsi="Arial" w:cs="Arial"/>
          <w:lang w:val="hr-HR"/>
        </w:rPr>
        <w:t>psegu</w:t>
      </w:r>
      <w:r w:rsidRPr="00677AB0">
        <w:rPr>
          <w:rFonts w:ascii="Arial" w:hAnsi="Arial" w:cs="Arial"/>
          <w:lang w:val="hr-HR"/>
        </w:rPr>
        <w:t xml:space="preserve"> i dinam</w:t>
      </w:r>
      <w:r w:rsidR="005B3B2B">
        <w:rPr>
          <w:rFonts w:ascii="Arial" w:hAnsi="Arial" w:cs="Arial"/>
          <w:lang w:val="hr-HR"/>
        </w:rPr>
        <w:t>ici koji će biti konzistentni s</w:t>
      </w:r>
      <w:r w:rsidRPr="00677AB0">
        <w:rPr>
          <w:rFonts w:ascii="Arial" w:hAnsi="Arial" w:cs="Arial"/>
          <w:lang w:val="hr-HR"/>
        </w:rPr>
        <w:t xml:space="preserve"> ovom srednjoročnom Strategijom. </w:t>
      </w:r>
    </w:p>
    <w:p w14:paraId="29C6CF89" w14:textId="77777777" w:rsidR="0042308F" w:rsidRPr="00677AB0" w:rsidRDefault="0042308F" w:rsidP="0042308F">
      <w:pPr>
        <w:pStyle w:val="NoSpacing"/>
        <w:spacing w:line="276" w:lineRule="auto"/>
        <w:ind w:firstLine="284"/>
        <w:jc w:val="both"/>
        <w:rPr>
          <w:rFonts w:ascii="Arial" w:hAnsi="Arial" w:cs="Arial"/>
          <w:lang w:val="hr-HR"/>
        </w:rPr>
      </w:pPr>
    </w:p>
    <w:p w14:paraId="4B14834D"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r w:rsidRPr="00677AB0">
        <w:rPr>
          <w:rFonts w:ascii="Arial" w:hAnsi="Arial" w:cs="Arial"/>
          <w:b w:val="0"/>
          <w:color w:val="auto"/>
          <w:sz w:val="24"/>
          <w:szCs w:val="24"/>
        </w:rPr>
        <w:t xml:space="preserve"> </w:t>
      </w:r>
      <w:bookmarkStart w:id="136" w:name="_Toc172282259"/>
      <w:r w:rsidRPr="00677AB0">
        <w:rPr>
          <w:rFonts w:ascii="Arial" w:hAnsi="Arial" w:cs="Arial"/>
          <w:b w:val="0"/>
          <w:color w:val="auto"/>
          <w:sz w:val="24"/>
          <w:szCs w:val="24"/>
        </w:rPr>
        <w:t>Sveukupna struktura portfelja duga</w:t>
      </w:r>
      <w:bookmarkEnd w:id="136"/>
    </w:p>
    <w:p w14:paraId="6CFDF437" w14:textId="77777777" w:rsidR="0042308F" w:rsidRPr="00677AB0" w:rsidRDefault="0042308F" w:rsidP="0042308F">
      <w:pPr>
        <w:pStyle w:val="NoSpacing"/>
        <w:spacing w:line="276" w:lineRule="auto"/>
        <w:ind w:firstLine="284"/>
        <w:jc w:val="both"/>
        <w:rPr>
          <w:rFonts w:ascii="Arial" w:hAnsi="Arial" w:cs="Arial"/>
          <w:lang w:val="hr-HR"/>
        </w:rPr>
      </w:pPr>
    </w:p>
    <w:p w14:paraId="658EDA9D" w14:textId="77777777" w:rsidR="0042308F" w:rsidRPr="00677AB0" w:rsidRDefault="0042308F" w:rsidP="0042308F">
      <w:pPr>
        <w:pStyle w:val="NoSpacing"/>
        <w:spacing w:line="276" w:lineRule="auto"/>
        <w:ind w:firstLine="284"/>
        <w:jc w:val="both"/>
        <w:rPr>
          <w:rFonts w:ascii="Arial" w:hAnsi="Arial" w:cs="Arial"/>
          <w:lang w:val="hr-HR"/>
        </w:rPr>
      </w:pPr>
      <w:r w:rsidRPr="00677AB0">
        <w:rPr>
          <w:rFonts w:ascii="Arial" w:hAnsi="Arial" w:cs="Arial"/>
          <w:lang w:val="hr-HR"/>
        </w:rPr>
        <w:t xml:space="preserve">Smjernice za poželjnu strukturu </w:t>
      </w:r>
      <w:r>
        <w:rPr>
          <w:rFonts w:ascii="Arial" w:hAnsi="Arial" w:cs="Arial"/>
          <w:lang w:val="hr-HR"/>
        </w:rPr>
        <w:t>portfelja</w:t>
      </w:r>
      <w:r w:rsidRPr="00677AB0">
        <w:rPr>
          <w:rFonts w:ascii="Arial" w:hAnsi="Arial" w:cs="Arial"/>
          <w:lang w:val="hr-HR"/>
        </w:rPr>
        <w:t xml:space="preserve"> duga su sljedeće:</w:t>
      </w:r>
    </w:p>
    <w:p w14:paraId="3465A3F5"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Održavanje </w:t>
      </w:r>
      <w:r w:rsidR="005B3B2B">
        <w:rPr>
          <w:rFonts w:ascii="Arial" w:hAnsi="Arial" w:cs="Arial"/>
          <w:lang w:val="hr-HR"/>
        </w:rPr>
        <w:t>udjela</w:t>
      </w:r>
      <w:r w:rsidRPr="00677AB0">
        <w:rPr>
          <w:rFonts w:ascii="Arial" w:hAnsi="Arial" w:cs="Arial"/>
          <w:lang w:val="hr-HR"/>
        </w:rPr>
        <w:t xml:space="preserve"> duga u KM i EUR valuti iznad 60% ukupnog </w:t>
      </w:r>
      <w:r>
        <w:rPr>
          <w:rFonts w:ascii="Arial" w:hAnsi="Arial" w:cs="Arial"/>
          <w:lang w:val="hr-HR"/>
        </w:rPr>
        <w:t>portfelja</w:t>
      </w:r>
      <w:r w:rsidRPr="00677AB0">
        <w:rPr>
          <w:rFonts w:ascii="Arial" w:hAnsi="Arial" w:cs="Arial"/>
          <w:lang w:val="hr-HR"/>
        </w:rPr>
        <w:t xml:space="preserve"> duga;</w:t>
      </w:r>
    </w:p>
    <w:p w14:paraId="3A4FCF90"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lastRenderedPageBreak/>
        <w:t>Održanje u</w:t>
      </w:r>
      <w:r w:rsidR="005B3B2B">
        <w:rPr>
          <w:rFonts w:ascii="Arial" w:hAnsi="Arial" w:cs="Arial"/>
          <w:lang w:val="hr-HR"/>
        </w:rPr>
        <w:t>djela</w:t>
      </w:r>
      <w:r w:rsidRPr="00677AB0">
        <w:rPr>
          <w:rFonts w:ascii="Arial" w:hAnsi="Arial" w:cs="Arial"/>
          <w:lang w:val="hr-HR"/>
        </w:rPr>
        <w:t xml:space="preserve"> duga s fiksnom kamatnom stopom preko 50% ukupnog </w:t>
      </w:r>
      <w:r>
        <w:rPr>
          <w:rFonts w:ascii="Arial" w:hAnsi="Arial" w:cs="Arial"/>
          <w:lang w:val="hr-HR"/>
        </w:rPr>
        <w:t>portfelja</w:t>
      </w:r>
      <w:r w:rsidRPr="00677AB0">
        <w:rPr>
          <w:rFonts w:ascii="Arial" w:hAnsi="Arial" w:cs="Arial"/>
          <w:lang w:val="hr-HR"/>
        </w:rPr>
        <w:t xml:space="preserve"> duga;</w:t>
      </w:r>
    </w:p>
    <w:p w14:paraId="22DA8DD2"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Vrijeme prosječnog dospijeća ukupnog </w:t>
      </w:r>
      <w:r>
        <w:rPr>
          <w:rFonts w:ascii="Arial" w:hAnsi="Arial" w:cs="Arial"/>
          <w:lang w:val="hr-HR"/>
        </w:rPr>
        <w:t>portfelja</w:t>
      </w:r>
      <w:r w:rsidRPr="00677AB0">
        <w:rPr>
          <w:rFonts w:ascii="Arial" w:hAnsi="Arial" w:cs="Arial"/>
          <w:lang w:val="hr-HR"/>
        </w:rPr>
        <w:t xml:space="preserve"> duga produžiti na 6,5 godina.</w:t>
      </w:r>
    </w:p>
    <w:p w14:paraId="357F8835" w14:textId="77777777" w:rsidR="0042308F" w:rsidRPr="00677AB0" w:rsidRDefault="0042308F" w:rsidP="0042308F">
      <w:pPr>
        <w:pStyle w:val="NoSpacing"/>
        <w:spacing w:line="276" w:lineRule="auto"/>
        <w:ind w:left="720"/>
        <w:jc w:val="both"/>
        <w:rPr>
          <w:rFonts w:ascii="Arial" w:hAnsi="Arial" w:cs="Arial"/>
          <w:lang w:val="hr-HR"/>
        </w:rPr>
      </w:pPr>
    </w:p>
    <w:p w14:paraId="789927B3"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37" w:name="_Toc424728955"/>
      <w:bookmarkStart w:id="138" w:name="_Toc172282260"/>
      <w:r w:rsidRPr="00677AB0">
        <w:rPr>
          <w:rFonts w:ascii="Arial" w:hAnsi="Arial" w:cs="Arial"/>
          <w:b w:val="0"/>
          <w:color w:val="auto"/>
          <w:sz w:val="24"/>
          <w:szCs w:val="24"/>
        </w:rPr>
        <w:t>Smjernice za zaduživanje</w:t>
      </w:r>
      <w:bookmarkEnd w:id="137"/>
      <w:bookmarkEnd w:id="138"/>
    </w:p>
    <w:p w14:paraId="2695050D" w14:textId="77777777" w:rsidR="0042308F" w:rsidRPr="00677AB0" w:rsidRDefault="0042308F" w:rsidP="0042308F">
      <w:pPr>
        <w:pStyle w:val="NoSpacing"/>
        <w:spacing w:line="276" w:lineRule="auto"/>
        <w:rPr>
          <w:rFonts w:ascii="Arial" w:hAnsi="Arial" w:cs="Arial"/>
          <w:lang w:val="hr-HR"/>
        </w:rPr>
      </w:pPr>
    </w:p>
    <w:p w14:paraId="3DEF837D" w14:textId="77777777" w:rsidR="0042308F" w:rsidRPr="00677AB0" w:rsidRDefault="0042308F" w:rsidP="0042308F">
      <w:pPr>
        <w:pStyle w:val="NoSpacing"/>
        <w:spacing w:line="276" w:lineRule="auto"/>
        <w:ind w:firstLine="284"/>
        <w:rPr>
          <w:rFonts w:ascii="Arial" w:hAnsi="Arial" w:cs="Arial"/>
          <w:lang w:val="hr-HR"/>
        </w:rPr>
      </w:pPr>
      <w:r w:rsidRPr="00677AB0">
        <w:rPr>
          <w:rFonts w:ascii="Arial" w:hAnsi="Arial" w:cs="Arial"/>
          <w:lang w:val="hr-HR"/>
        </w:rPr>
        <w:t xml:space="preserve">Glavne smjernice za zaduživanje Federacije BiH u narednom </w:t>
      </w:r>
      <w:r w:rsidR="005B3B2B">
        <w:rPr>
          <w:rFonts w:ascii="Arial" w:hAnsi="Arial" w:cs="Arial"/>
          <w:lang w:val="hr-HR"/>
        </w:rPr>
        <w:t>razdoblju</w:t>
      </w:r>
      <w:r w:rsidRPr="00677AB0">
        <w:rPr>
          <w:rFonts w:ascii="Arial" w:hAnsi="Arial" w:cs="Arial"/>
          <w:lang w:val="hr-HR"/>
        </w:rPr>
        <w:t xml:space="preserve"> su:</w:t>
      </w:r>
    </w:p>
    <w:p w14:paraId="28941BFE"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Prilikom planiranja zaduživanja vodit će se računa da se održi ravnomjerna struktura otplate po godinama u cilju minimiziranja rizika re</w:t>
      </w:r>
      <w:r>
        <w:rPr>
          <w:rFonts w:ascii="Arial" w:hAnsi="Arial" w:cs="Arial"/>
          <w:lang w:val="hr-HR"/>
        </w:rPr>
        <w:t>financ</w:t>
      </w:r>
      <w:r w:rsidRPr="00677AB0">
        <w:rPr>
          <w:rFonts w:ascii="Arial" w:hAnsi="Arial" w:cs="Arial"/>
          <w:lang w:val="hr-HR"/>
        </w:rPr>
        <w:t xml:space="preserve">iranja, te o proširenju i </w:t>
      </w:r>
      <w:r w:rsidR="005B3B2B" w:rsidRPr="00677AB0">
        <w:rPr>
          <w:rFonts w:ascii="Arial" w:hAnsi="Arial" w:cs="Arial"/>
          <w:lang w:val="hr-HR"/>
        </w:rPr>
        <w:t>diversifikaciji</w:t>
      </w:r>
      <w:r w:rsidRPr="00677AB0">
        <w:rPr>
          <w:rFonts w:ascii="Arial" w:hAnsi="Arial" w:cs="Arial"/>
          <w:lang w:val="hr-HR"/>
        </w:rPr>
        <w:t xml:space="preserve"> baze investitora;</w:t>
      </w:r>
    </w:p>
    <w:p w14:paraId="5502A0FC"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Radi smanjenja valutnog rizika maksimalno će koristiti zaduživanje u EUR i KM;</w:t>
      </w:r>
    </w:p>
    <w:p w14:paraId="60E6C8D9"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U cilju smanjenja rizika re</w:t>
      </w:r>
      <w:r>
        <w:rPr>
          <w:rFonts w:ascii="Arial" w:hAnsi="Arial" w:cs="Arial"/>
          <w:lang w:val="hr-HR"/>
        </w:rPr>
        <w:t>financ</w:t>
      </w:r>
      <w:r w:rsidRPr="00677AB0">
        <w:rPr>
          <w:rFonts w:ascii="Arial" w:hAnsi="Arial" w:cs="Arial"/>
          <w:lang w:val="hr-HR"/>
        </w:rPr>
        <w:t>iranja duga: u</w:t>
      </w:r>
      <w:r w:rsidR="005B3B2B">
        <w:rPr>
          <w:rFonts w:ascii="Arial" w:hAnsi="Arial" w:cs="Arial"/>
          <w:lang w:val="hr-HR"/>
        </w:rPr>
        <w:t>djel</w:t>
      </w:r>
      <w:r w:rsidRPr="00677AB0">
        <w:rPr>
          <w:rFonts w:ascii="Arial" w:hAnsi="Arial" w:cs="Arial"/>
          <w:lang w:val="hr-HR"/>
        </w:rPr>
        <w:t xml:space="preserve"> </w:t>
      </w:r>
      <w:r>
        <w:rPr>
          <w:rFonts w:ascii="Arial" w:hAnsi="Arial" w:cs="Arial"/>
          <w:lang w:val="hr-HR"/>
        </w:rPr>
        <w:t>portfelja</w:t>
      </w:r>
      <w:r w:rsidRPr="00677AB0">
        <w:rPr>
          <w:rFonts w:ascii="Arial" w:hAnsi="Arial" w:cs="Arial"/>
          <w:lang w:val="hr-HR"/>
        </w:rPr>
        <w:t xml:space="preserve"> duga koji dospijeva unutar 12 mjeseci/jedne godine će iznositi maksimalno 15% ukupnog neotplaćenog duga;</w:t>
      </w:r>
    </w:p>
    <w:p w14:paraId="10B41CDA"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 xml:space="preserve">Kako bi se produžilo prosječno dospijeće </w:t>
      </w:r>
      <w:r>
        <w:rPr>
          <w:rFonts w:ascii="Arial" w:hAnsi="Arial" w:cs="Arial"/>
          <w:lang w:val="hr-HR"/>
        </w:rPr>
        <w:t>portfelja</w:t>
      </w:r>
      <w:r w:rsidRPr="00677AB0">
        <w:rPr>
          <w:rFonts w:ascii="Arial" w:hAnsi="Arial" w:cs="Arial"/>
          <w:lang w:val="hr-HR"/>
        </w:rPr>
        <w:t xml:space="preserve"> duga iznad 6,5 godin</w:t>
      </w:r>
      <w:r w:rsidR="005B3B2B">
        <w:rPr>
          <w:rFonts w:ascii="Arial" w:hAnsi="Arial" w:cs="Arial"/>
          <w:lang w:val="hr-HR"/>
        </w:rPr>
        <w:t>a, buduća zaduženja ugovarati s</w:t>
      </w:r>
      <w:r w:rsidRPr="00677AB0">
        <w:rPr>
          <w:rFonts w:ascii="Arial" w:hAnsi="Arial" w:cs="Arial"/>
          <w:lang w:val="hr-HR"/>
        </w:rPr>
        <w:t xml:space="preserve"> dužim grace </w:t>
      </w:r>
      <w:r w:rsidR="005B3B2B">
        <w:rPr>
          <w:rFonts w:ascii="Arial" w:hAnsi="Arial" w:cs="Arial"/>
          <w:lang w:val="hr-HR"/>
        </w:rPr>
        <w:t>razdobljem</w:t>
      </w:r>
      <w:r w:rsidRPr="00677AB0">
        <w:rPr>
          <w:rFonts w:ascii="Arial" w:hAnsi="Arial" w:cs="Arial"/>
          <w:lang w:val="hr-HR"/>
        </w:rPr>
        <w:t xml:space="preserve"> i dužim rokom otplate. Prosječno </w:t>
      </w:r>
      <w:r w:rsidR="005B3B2B" w:rsidRPr="00677AB0">
        <w:rPr>
          <w:rFonts w:ascii="Arial" w:hAnsi="Arial" w:cs="Arial"/>
          <w:lang w:val="hr-HR"/>
        </w:rPr>
        <w:t>ponderirano</w:t>
      </w:r>
      <w:r w:rsidRPr="00677AB0">
        <w:rPr>
          <w:rFonts w:ascii="Arial" w:hAnsi="Arial" w:cs="Arial"/>
          <w:lang w:val="hr-HR"/>
        </w:rPr>
        <w:t xml:space="preserve"> dospijeće </w:t>
      </w:r>
      <w:r>
        <w:rPr>
          <w:rFonts w:ascii="Arial" w:hAnsi="Arial" w:cs="Arial"/>
          <w:lang w:val="hr-HR"/>
        </w:rPr>
        <w:t>portfelja</w:t>
      </w:r>
      <w:r w:rsidRPr="00677AB0">
        <w:rPr>
          <w:rFonts w:ascii="Arial" w:hAnsi="Arial" w:cs="Arial"/>
          <w:lang w:val="hr-HR"/>
        </w:rPr>
        <w:t xml:space="preserve"> duga produžiti na najmanje 6,5 godina.</w:t>
      </w:r>
    </w:p>
    <w:p w14:paraId="68C39FE0" w14:textId="77777777" w:rsidR="0042308F" w:rsidRPr="00677AB0" w:rsidRDefault="0042308F" w:rsidP="0042308F">
      <w:pPr>
        <w:pStyle w:val="NoSpacing"/>
        <w:spacing w:line="276" w:lineRule="auto"/>
        <w:ind w:left="720"/>
        <w:jc w:val="both"/>
        <w:rPr>
          <w:rFonts w:ascii="Arial" w:hAnsi="Arial" w:cs="Arial"/>
          <w:highlight w:val="yellow"/>
          <w:lang w:val="hr-HR"/>
        </w:rPr>
      </w:pPr>
    </w:p>
    <w:p w14:paraId="33D9358F" w14:textId="77777777" w:rsidR="0042308F" w:rsidRPr="00677AB0" w:rsidRDefault="0042308F" w:rsidP="0042308F">
      <w:pPr>
        <w:pStyle w:val="Heading2"/>
        <w:numPr>
          <w:ilvl w:val="1"/>
          <w:numId w:val="1"/>
        </w:numPr>
        <w:spacing w:before="0" w:line="240" w:lineRule="auto"/>
        <w:ind w:left="993" w:hanging="709"/>
        <w:rPr>
          <w:rFonts w:ascii="Arial" w:hAnsi="Arial" w:cs="Arial"/>
          <w:b w:val="0"/>
          <w:color w:val="auto"/>
          <w:sz w:val="24"/>
          <w:szCs w:val="24"/>
        </w:rPr>
      </w:pPr>
      <w:bookmarkStart w:id="139" w:name="_Toc172282261"/>
      <w:r w:rsidRPr="00677AB0">
        <w:rPr>
          <w:rFonts w:ascii="Arial" w:hAnsi="Arial" w:cs="Arial"/>
          <w:b w:val="0"/>
          <w:color w:val="auto"/>
          <w:sz w:val="24"/>
          <w:szCs w:val="24"/>
        </w:rPr>
        <w:t>Kvantitativni ciljevi</w:t>
      </w:r>
      <w:bookmarkEnd w:id="139"/>
    </w:p>
    <w:p w14:paraId="2EE878FB" w14:textId="77777777" w:rsidR="0042308F" w:rsidRPr="00677AB0" w:rsidRDefault="0042308F" w:rsidP="0042308F">
      <w:pPr>
        <w:pStyle w:val="NoSpacing"/>
        <w:spacing w:line="276" w:lineRule="auto"/>
        <w:jc w:val="both"/>
        <w:rPr>
          <w:rFonts w:ascii="Arial" w:hAnsi="Arial" w:cs="Arial"/>
          <w:lang w:val="hr-HR"/>
        </w:rPr>
      </w:pPr>
    </w:p>
    <w:p w14:paraId="2775FA58" w14:textId="77777777" w:rsidR="0042308F" w:rsidRPr="00677AB0" w:rsidRDefault="0042308F" w:rsidP="0042308F">
      <w:pPr>
        <w:pStyle w:val="NoSpacing"/>
        <w:spacing w:line="276" w:lineRule="auto"/>
        <w:ind w:firstLine="284"/>
        <w:jc w:val="both"/>
        <w:rPr>
          <w:rFonts w:ascii="Arial" w:hAnsi="Arial" w:cs="Arial"/>
          <w:lang w:val="hr-HR"/>
        </w:rPr>
      </w:pPr>
      <w:r w:rsidRPr="00677AB0">
        <w:rPr>
          <w:rFonts w:ascii="Arial" w:hAnsi="Arial" w:cs="Arial"/>
          <w:lang w:val="hr-HR"/>
        </w:rPr>
        <w:t xml:space="preserve">Na </w:t>
      </w:r>
      <w:r w:rsidR="005B3B2B">
        <w:rPr>
          <w:rFonts w:ascii="Arial" w:hAnsi="Arial" w:cs="Arial"/>
          <w:lang w:val="hr-HR"/>
        </w:rPr>
        <w:t>temelju</w:t>
      </w:r>
      <w:r w:rsidRPr="00677AB0">
        <w:rPr>
          <w:rFonts w:ascii="Arial" w:hAnsi="Arial" w:cs="Arial"/>
          <w:lang w:val="hr-HR"/>
        </w:rPr>
        <w:t xml:space="preserve"> trenutnog makroekonomskog okvira praćenjem preferirane strategije zaduživanja na kraju 2026. godine očekivani indikatori rizika </w:t>
      </w:r>
      <w:r>
        <w:rPr>
          <w:rFonts w:ascii="Arial" w:hAnsi="Arial" w:cs="Arial"/>
          <w:lang w:val="hr-HR"/>
        </w:rPr>
        <w:t>portfelja</w:t>
      </w:r>
      <w:r w:rsidRPr="00677AB0">
        <w:rPr>
          <w:rFonts w:ascii="Arial" w:hAnsi="Arial" w:cs="Arial"/>
          <w:lang w:val="hr-HR"/>
        </w:rPr>
        <w:t xml:space="preserve"> duga bili bi sljedeći:</w:t>
      </w:r>
    </w:p>
    <w:p w14:paraId="7411CE8B" w14:textId="77777777" w:rsidR="0042308F" w:rsidRPr="00677AB0" w:rsidRDefault="0042308F" w:rsidP="0042308F">
      <w:pPr>
        <w:pStyle w:val="NoSpacing"/>
        <w:spacing w:line="276" w:lineRule="auto"/>
        <w:ind w:firstLine="284"/>
        <w:jc w:val="both"/>
        <w:rPr>
          <w:rFonts w:ascii="Arial" w:hAnsi="Arial" w:cs="Arial"/>
          <w:highlight w:val="yellow"/>
          <w:lang w:val="hr-HR"/>
        </w:rPr>
      </w:pPr>
    </w:p>
    <w:p w14:paraId="6A2D9CC2"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prosječno vrijeme dospijeća kredita (ATM) ne bi trebalo biti manje od 6,73</w:t>
      </w:r>
      <w:r w:rsidRPr="00677AB0">
        <w:rPr>
          <w:rFonts w:ascii="Arial" w:hAnsi="Arial" w:cs="Arial"/>
          <w:color w:val="FF0000"/>
          <w:lang w:val="hr-HR"/>
        </w:rPr>
        <w:t xml:space="preserve"> </w:t>
      </w:r>
      <w:r w:rsidRPr="00677AB0">
        <w:rPr>
          <w:rFonts w:ascii="Arial" w:hAnsi="Arial" w:cs="Arial"/>
          <w:lang w:val="hr-HR"/>
        </w:rPr>
        <w:t>godina;</w:t>
      </w:r>
    </w:p>
    <w:p w14:paraId="72E3BED3"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prosječno vrijeme refiksiranja kredita (ATR) će iznositi 4,73 godinu;</w:t>
      </w:r>
    </w:p>
    <w:p w14:paraId="261CAAA0" w14:textId="77777777" w:rsidR="0042308F" w:rsidRPr="00677AB0" w:rsidRDefault="0042308F" w:rsidP="0042308F">
      <w:pPr>
        <w:pStyle w:val="NoSpacing"/>
        <w:numPr>
          <w:ilvl w:val="0"/>
          <w:numId w:val="4"/>
        </w:numPr>
        <w:spacing w:line="276" w:lineRule="auto"/>
        <w:jc w:val="both"/>
        <w:rPr>
          <w:rFonts w:ascii="Arial" w:hAnsi="Arial" w:cs="Arial"/>
          <w:lang w:val="hr-HR"/>
        </w:rPr>
      </w:pPr>
      <w:r w:rsidRPr="00677AB0">
        <w:rPr>
          <w:rFonts w:ascii="Arial" w:hAnsi="Arial" w:cs="Arial"/>
          <w:lang w:val="hr-HR"/>
        </w:rPr>
        <w:t>u</w:t>
      </w:r>
      <w:r w:rsidR="005B3B2B">
        <w:rPr>
          <w:rFonts w:ascii="Arial" w:hAnsi="Arial" w:cs="Arial"/>
          <w:lang w:val="hr-HR"/>
        </w:rPr>
        <w:t>djel</w:t>
      </w:r>
      <w:r w:rsidRPr="00677AB0">
        <w:rPr>
          <w:rFonts w:ascii="Arial" w:hAnsi="Arial" w:cs="Arial"/>
          <w:lang w:val="hr-HR"/>
        </w:rPr>
        <w:t xml:space="preserve"> servisiranja kamata po osnov</w:t>
      </w:r>
      <w:r w:rsidR="005B3B2B">
        <w:rPr>
          <w:rFonts w:ascii="Arial" w:hAnsi="Arial" w:cs="Arial"/>
          <w:lang w:val="hr-HR"/>
        </w:rPr>
        <w:t>i</w:t>
      </w:r>
      <w:r w:rsidRPr="00677AB0">
        <w:rPr>
          <w:rFonts w:ascii="Arial" w:hAnsi="Arial" w:cs="Arial"/>
          <w:lang w:val="hr-HR"/>
        </w:rPr>
        <w:t xml:space="preserve"> duga u prihodima će iznositi manje od 15%.</w:t>
      </w:r>
    </w:p>
    <w:p w14:paraId="34CA8D46" w14:textId="77777777" w:rsidR="0042308F" w:rsidRPr="00677AB0" w:rsidRDefault="0042308F" w:rsidP="0042308F">
      <w:pPr>
        <w:pStyle w:val="NoSpacing"/>
        <w:spacing w:line="276" w:lineRule="auto"/>
        <w:ind w:firstLine="360"/>
        <w:jc w:val="both"/>
        <w:rPr>
          <w:rFonts w:ascii="Arial" w:hAnsi="Arial" w:cs="Arial"/>
          <w:lang w:val="hr-HR"/>
        </w:rPr>
      </w:pPr>
    </w:p>
    <w:p w14:paraId="599A8567" w14:textId="77777777" w:rsidR="0042308F" w:rsidRPr="00677AB0" w:rsidRDefault="0042308F" w:rsidP="0042308F">
      <w:pPr>
        <w:pStyle w:val="NoSpacing"/>
        <w:spacing w:line="276" w:lineRule="auto"/>
        <w:ind w:firstLine="360"/>
        <w:jc w:val="both"/>
        <w:rPr>
          <w:rFonts w:ascii="Arial" w:hAnsi="Arial" w:cs="Arial"/>
          <w:lang w:val="hr-HR"/>
        </w:rPr>
      </w:pPr>
      <w:r w:rsidRPr="00677AB0">
        <w:rPr>
          <w:rFonts w:ascii="Arial" w:hAnsi="Arial" w:cs="Arial"/>
          <w:lang w:val="hr-HR"/>
        </w:rPr>
        <w:t xml:space="preserve">Ciljevi definirani ovom Strategijom su osjetljivi na promjene pretpostavki o rastu, fiskalnom deficitu i dostupnosti predviđenih izvora </w:t>
      </w:r>
      <w:r>
        <w:rPr>
          <w:rFonts w:ascii="Arial" w:hAnsi="Arial" w:cs="Arial"/>
          <w:lang w:val="hr-HR"/>
        </w:rPr>
        <w:t>financ</w:t>
      </w:r>
      <w:r w:rsidRPr="00677AB0">
        <w:rPr>
          <w:rFonts w:ascii="Arial" w:hAnsi="Arial" w:cs="Arial"/>
          <w:lang w:val="hr-HR"/>
        </w:rPr>
        <w:t xml:space="preserve">iranja, prvenstveno </w:t>
      </w:r>
      <w:r w:rsidRPr="0099055F">
        <w:rPr>
          <w:rFonts w:ascii="Arial" w:hAnsi="Arial" w:cs="Arial"/>
          <w:lang w:val="hr-HR"/>
        </w:rPr>
        <w:t>koncesionalnih</w:t>
      </w:r>
      <w:r w:rsidRPr="00677AB0">
        <w:rPr>
          <w:rFonts w:ascii="Arial" w:hAnsi="Arial" w:cs="Arial"/>
          <w:lang w:val="hr-HR"/>
        </w:rPr>
        <w:t xml:space="preserve"> izvora </w:t>
      </w:r>
      <w:r>
        <w:rPr>
          <w:rFonts w:ascii="Arial" w:hAnsi="Arial" w:cs="Arial"/>
          <w:lang w:val="hr-HR"/>
        </w:rPr>
        <w:t>financ</w:t>
      </w:r>
      <w:r w:rsidRPr="00677AB0">
        <w:rPr>
          <w:rFonts w:ascii="Arial" w:hAnsi="Arial" w:cs="Arial"/>
          <w:lang w:val="hr-HR"/>
        </w:rPr>
        <w:t>iranja.</w:t>
      </w:r>
    </w:p>
    <w:p w14:paraId="17FCAB7E" w14:textId="77777777" w:rsidR="00805A1D" w:rsidRDefault="00805A1D"/>
    <w:sectPr w:rsidR="00805A1D" w:rsidSect="0042308F">
      <w:footerReference w:type="default" r:id="rId23"/>
      <w:footerReference w:type="first" r:id="rId24"/>
      <w:pgSz w:w="11906" w:h="16838"/>
      <w:pgMar w:top="1418" w:right="1418"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BF19C" w14:textId="77777777" w:rsidR="00B91C3C" w:rsidRDefault="00B91C3C" w:rsidP="0042308F">
      <w:pPr>
        <w:spacing w:after="0" w:line="240" w:lineRule="auto"/>
      </w:pPr>
      <w:r>
        <w:separator/>
      </w:r>
    </w:p>
  </w:endnote>
  <w:endnote w:type="continuationSeparator" w:id="0">
    <w:p w14:paraId="4B5904C9" w14:textId="77777777" w:rsidR="00B91C3C" w:rsidRDefault="00B91C3C" w:rsidP="00423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43352" w14:textId="77777777" w:rsidR="00C73F9B" w:rsidRDefault="00C73F9B">
    <w:pPr>
      <w:pStyle w:val="Footer"/>
      <w:jc w:val="center"/>
    </w:pPr>
  </w:p>
  <w:p w14:paraId="5BA1BD5C" w14:textId="77777777" w:rsidR="00C73F9B" w:rsidRDefault="00C73F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ECAF3" w14:textId="77777777" w:rsidR="00C73F9B" w:rsidRDefault="00C73F9B">
    <w:pPr>
      <w:pStyle w:val="Footer"/>
      <w:jc w:val="center"/>
    </w:pPr>
  </w:p>
  <w:p w14:paraId="54DCAB6F" w14:textId="77777777" w:rsidR="00C73F9B" w:rsidRDefault="00C73F9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895302"/>
      <w:docPartObj>
        <w:docPartGallery w:val="Page Numbers (Bottom of Page)"/>
        <w:docPartUnique/>
      </w:docPartObj>
    </w:sdtPr>
    <w:sdtEndPr>
      <w:rPr>
        <w:noProof/>
      </w:rPr>
    </w:sdtEndPr>
    <w:sdtContent>
      <w:p w14:paraId="79A07EAA" w14:textId="1738A5C8" w:rsidR="00C73F9B" w:rsidRDefault="00C73F9B">
        <w:pPr>
          <w:pStyle w:val="Footer"/>
          <w:jc w:val="center"/>
        </w:pPr>
        <w:r>
          <w:fldChar w:fldCharType="begin"/>
        </w:r>
        <w:r>
          <w:instrText xml:space="preserve"> PAGE   \* MERGEFORMAT </w:instrText>
        </w:r>
        <w:r>
          <w:fldChar w:fldCharType="separate"/>
        </w:r>
        <w:r w:rsidR="00BD4527">
          <w:rPr>
            <w:noProof/>
          </w:rPr>
          <w:t>17</w:t>
        </w:r>
        <w:r>
          <w:rPr>
            <w:noProof/>
          </w:rPr>
          <w:fldChar w:fldCharType="end"/>
        </w:r>
      </w:p>
    </w:sdtContent>
  </w:sdt>
  <w:p w14:paraId="1D282896" w14:textId="77777777" w:rsidR="00C73F9B" w:rsidRDefault="00C73F9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62743"/>
      <w:docPartObj>
        <w:docPartGallery w:val="Page Numbers (Bottom of Page)"/>
        <w:docPartUnique/>
      </w:docPartObj>
    </w:sdtPr>
    <w:sdtEndPr>
      <w:rPr>
        <w:noProof/>
      </w:rPr>
    </w:sdtEndPr>
    <w:sdtContent>
      <w:p w14:paraId="12633502" w14:textId="41477A5D" w:rsidR="00C73F9B" w:rsidRDefault="00C73F9B">
        <w:pPr>
          <w:pStyle w:val="Footer"/>
          <w:jc w:val="center"/>
        </w:pPr>
        <w:r>
          <w:fldChar w:fldCharType="begin"/>
        </w:r>
        <w:r>
          <w:instrText xml:space="preserve"> PAGE   \* MERGEFORMAT </w:instrText>
        </w:r>
        <w:r>
          <w:fldChar w:fldCharType="separate"/>
        </w:r>
        <w:r w:rsidR="00BD4527">
          <w:rPr>
            <w:noProof/>
          </w:rPr>
          <w:t>1</w:t>
        </w:r>
        <w:r>
          <w:rPr>
            <w:noProof/>
          </w:rPr>
          <w:fldChar w:fldCharType="end"/>
        </w:r>
      </w:p>
    </w:sdtContent>
  </w:sdt>
  <w:p w14:paraId="02F55609" w14:textId="77777777" w:rsidR="00C73F9B" w:rsidRDefault="00C73F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CB2D3" w14:textId="77777777" w:rsidR="00B91C3C" w:rsidRDefault="00B91C3C" w:rsidP="0042308F">
      <w:pPr>
        <w:spacing w:after="0" w:line="240" w:lineRule="auto"/>
      </w:pPr>
      <w:r>
        <w:separator/>
      </w:r>
    </w:p>
  </w:footnote>
  <w:footnote w:type="continuationSeparator" w:id="0">
    <w:p w14:paraId="7ECC7E7F" w14:textId="77777777" w:rsidR="00B91C3C" w:rsidRDefault="00B91C3C" w:rsidP="0042308F">
      <w:pPr>
        <w:spacing w:after="0" w:line="240" w:lineRule="auto"/>
      </w:pPr>
      <w:r>
        <w:continuationSeparator/>
      </w:r>
    </w:p>
  </w:footnote>
  <w:footnote w:id="1">
    <w:p w14:paraId="42A350FD" w14:textId="77777777" w:rsidR="00C73F9B" w:rsidRPr="00831A29" w:rsidRDefault="00C73F9B" w:rsidP="0042308F">
      <w:pPr>
        <w:pStyle w:val="FootnoteText"/>
        <w:spacing w:after="0" w:line="240" w:lineRule="auto"/>
        <w:jc w:val="both"/>
        <w:rPr>
          <w:rFonts w:ascii="Arial" w:hAnsi="Arial" w:cs="Arial"/>
          <w:sz w:val="16"/>
          <w:highlight w:val="yellow"/>
        </w:rPr>
      </w:pPr>
      <w:r w:rsidRPr="00425A2B">
        <w:rPr>
          <w:rStyle w:val="FootnoteReference"/>
          <w:sz w:val="18"/>
          <w:szCs w:val="18"/>
        </w:rPr>
        <w:footnoteRef/>
      </w:r>
      <w:r w:rsidRPr="00425A2B">
        <w:rPr>
          <w:rStyle w:val="FootnoteReference"/>
          <w:sz w:val="18"/>
          <w:szCs w:val="18"/>
        </w:rPr>
        <w:t xml:space="preserve"> </w:t>
      </w:r>
      <w:r>
        <w:rPr>
          <w:rFonts w:ascii="Arial" w:hAnsi="Arial" w:cs="Arial"/>
          <w:sz w:val="16"/>
        </w:rPr>
        <w:t>Tečajna</w:t>
      </w:r>
      <w:r w:rsidRPr="00425A2B">
        <w:rPr>
          <w:rFonts w:ascii="Arial" w:hAnsi="Arial" w:cs="Arial"/>
          <w:sz w:val="16"/>
        </w:rPr>
        <w:t xml:space="preserve"> lista CBBH broj 257 od 3</w:t>
      </w:r>
      <w:r>
        <w:rPr>
          <w:rFonts w:ascii="Arial" w:hAnsi="Arial" w:cs="Arial"/>
          <w:sz w:val="16"/>
        </w:rPr>
        <w:t>0</w:t>
      </w:r>
      <w:r w:rsidRPr="00425A2B">
        <w:rPr>
          <w:rFonts w:ascii="Arial" w:hAnsi="Arial" w:cs="Arial"/>
          <w:sz w:val="16"/>
        </w:rPr>
        <w:t xml:space="preserve">.12.2023. </w:t>
      </w:r>
    </w:p>
  </w:footnote>
  <w:footnote w:id="2">
    <w:p w14:paraId="0E66CF08" w14:textId="77777777" w:rsidR="00C73F9B" w:rsidRPr="001A6860" w:rsidRDefault="00C73F9B" w:rsidP="0042308F">
      <w:pPr>
        <w:pStyle w:val="FootnoteText"/>
        <w:spacing w:after="0" w:line="240" w:lineRule="auto"/>
        <w:jc w:val="both"/>
        <w:rPr>
          <w:lang w:val="bs-Latn-BA"/>
        </w:rPr>
      </w:pPr>
      <w:r w:rsidRPr="001A6860">
        <w:rPr>
          <w:rStyle w:val="FootnoteReference"/>
          <w:sz w:val="18"/>
          <w:szCs w:val="18"/>
        </w:rPr>
        <w:footnoteRef/>
      </w:r>
      <w:r w:rsidRPr="001A6860">
        <w:rPr>
          <w:rStyle w:val="FootnoteReference"/>
          <w:sz w:val="18"/>
          <w:szCs w:val="18"/>
        </w:rPr>
        <w:t xml:space="preserve"> </w:t>
      </w:r>
      <w:r w:rsidRPr="001A6860">
        <w:rPr>
          <w:sz w:val="18"/>
          <w:szCs w:val="18"/>
        </w:rPr>
        <w:t xml:space="preserve">Procjena </w:t>
      </w:r>
      <w:r>
        <w:rPr>
          <w:sz w:val="18"/>
          <w:szCs w:val="18"/>
        </w:rPr>
        <w:t>FZS</w:t>
      </w:r>
      <w:r w:rsidRPr="001A6860">
        <w:rPr>
          <w:rFonts w:ascii="Arial" w:hAnsi="Arial" w:cs="Arial"/>
          <w:sz w:val="16"/>
        </w:rPr>
        <w:t xml:space="preserve">: </w:t>
      </w:r>
      <w:r w:rsidRPr="004E56B3">
        <w:rPr>
          <w:rFonts w:ascii="Arial" w:hAnsi="Arial" w:cs="Arial"/>
          <w:sz w:val="16"/>
        </w:rPr>
        <w:t>Realni BDP</w:t>
      </w:r>
      <w:r w:rsidRPr="001A6860">
        <w:rPr>
          <w:rFonts w:ascii="Arial" w:hAnsi="Arial" w:cs="Arial"/>
          <w:sz w:val="16"/>
        </w:rPr>
        <w:t xml:space="preserve"> u 2023. godini iznosi </w:t>
      </w:r>
      <w:r>
        <w:rPr>
          <w:rFonts w:ascii="Arial" w:hAnsi="Arial" w:cs="Arial"/>
          <w:sz w:val="16"/>
        </w:rPr>
        <w:t>30</w:t>
      </w:r>
      <w:r w:rsidRPr="001A6860">
        <w:rPr>
          <w:rFonts w:ascii="Arial" w:hAnsi="Arial" w:cs="Arial"/>
          <w:sz w:val="16"/>
        </w:rPr>
        <w:t>.</w:t>
      </w:r>
      <w:r>
        <w:rPr>
          <w:rFonts w:ascii="Arial" w:hAnsi="Arial" w:cs="Arial"/>
          <w:sz w:val="16"/>
        </w:rPr>
        <w:t>003</w:t>
      </w:r>
      <w:r w:rsidRPr="001A6860">
        <w:rPr>
          <w:rFonts w:ascii="Arial" w:hAnsi="Arial" w:cs="Arial"/>
          <w:sz w:val="16"/>
        </w:rPr>
        <w:t xml:space="preserve"> mil. KM</w:t>
      </w:r>
      <w:r>
        <w:rPr>
          <w:rFonts w:ascii="Arial" w:hAnsi="Arial" w:cs="Arial"/>
          <w:sz w:val="16"/>
        </w:rPr>
        <w:t>, 29. 3. 2024.</w:t>
      </w:r>
    </w:p>
  </w:footnote>
  <w:footnote w:id="3">
    <w:p w14:paraId="19212692" w14:textId="77777777" w:rsidR="00C73F9B" w:rsidRPr="00337704" w:rsidRDefault="00C73F9B" w:rsidP="0042308F">
      <w:pPr>
        <w:pStyle w:val="FootnoteText"/>
        <w:spacing w:after="0" w:line="240" w:lineRule="auto"/>
        <w:jc w:val="both"/>
        <w:rPr>
          <w:rFonts w:ascii="Arial Narrow" w:hAnsi="Arial Narrow" w:cs="Arial"/>
          <w:sz w:val="16"/>
          <w:szCs w:val="18"/>
        </w:rPr>
      </w:pPr>
      <w:r w:rsidRPr="00720EA7">
        <w:rPr>
          <w:rStyle w:val="FootnoteReference"/>
        </w:rPr>
        <w:footnoteRef/>
      </w:r>
      <w:r w:rsidRPr="00720EA7">
        <w:t xml:space="preserve"> </w:t>
      </w:r>
      <w:bookmarkStart w:id="59" w:name="_Hlk167186286"/>
      <w:r w:rsidRPr="00720EA7">
        <w:rPr>
          <w:rFonts w:ascii="Arial Narrow" w:eastAsia="Arial" w:hAnsi="Arial Narrow" w:cs="Arial"/>
          <w:sz w:val="16"/>
        </w:rPr>
        <w:t>SDR – međunarodna obračunska valuta sastavljen</w:t>
      </w:r>
      <w:r>
        <w:rPr>
          <w:rFonts w:ascii="Arial Narrow" w:eastAsia="Arial" w:hAnsi="Arial Narrow" w:cs="Arial"/>
          <w:sz w:val="16"/>
        </w:rPr>
        <w:t>a od sl</w:t>
      </w:r>
      <w:r w:rsidRPr="00720EA7">
        <w:rPr>
          <w:rFonts w:ascii="Arial Narrow" w:eastAsia="Arial" w:hAnsi="Arial Narrow" w:cs="Arial"/>
          <w:sz w:val="16"/>
        </w:rPr>
        <w:t>jedećih valuta: Kineski Juan (CNY) 1,0993; Euro (EUR) 0,37379; Američki dolar (USD) 0,57813; Britanska Funta (GBP) 0,08087 i Japanski Yen (JPY) 13,452</w:t>
      </w:r>
      <w:bookmarkEnd w:id="59"/>
      <w:r w:rsidRPr="00720EA7">
        <w:rPr>
          <w:rFonts w:ascii="Arial Narrow" w:eastAsia="Arial" w:hAnsi="Arial Narrow" w:cs="Arial"/>
          <w:sz w:val="16"/>
        </w:rPr>
        <w:t>.</w:t>
      </w:r>
    </w:p>
    <w:p w14:paraId="27D17F84" w14:textId="77777777" w:rsidR="00C73F9B" w:rsidRPr="000D54BA" w:rsidRDefault="00C73F9B" w:rsidP="0042308F">
      <w:pPr>
        <w:pStyle w:val="FootnoteText"/>
        <w:rPr>
          <w:lang w:val="bs-Latn-BA"/>
        </w:rPr>
      </w:pPr>
    </w:p>
  </w:footnote>
  <w:footnote w:id="4">
    <w:p w14:paraId="2B15A194" w14:textId="77777777" w:rsidR="00C73F9B" w:rsidRPr="00337704" w:rsidRDefault="00C73F9B" w:rsidP="0042308F">
      <w:pPr>
        <w:pStyle w:val="FootnoteText"/>
        <w:spacing w:after="0"/>
        <w:jc w:val="both"/>
        <w:rPr>
          <w:rFonts w:ascii="Arial Narrow" w:eastAsia="Arial" w:hAnsi="Arial Narrow" w:cs="Arial"/>
          <w:sz w:val="16"/>
        </w:rPr>
      </w:pPr>
      <w:r w:rsidRPr="006309F0">
        <w:rPr>
          <w:rStyle w:val="FootnoteReference"/>
          <w:rFonts w:ascii="Arial" w:hAnsi="Arial" w:cs="Arial"/>
          <w:sz w:val="16"/>
        </w:rPr>
        <w:footnoteRef/>
      </w:r>
      <w:r w:rsidRPr="006309F0">
        <w:rPr>
          <w:rFonts w:ascii="Arial" w:hAnsi="Arial" w:cs="Arial"/>
          <w:sz w:val="16"/>
        </w:rPr>
        <w:t xml:space="preserve"> </w:t>
      </w:r>
      <w:r w:rsidRPr="00337704">
        <w:rPr>
          <w:rFonts w:ascii="Arial Narrow" w:eastAsia="Arial" w:hAnsi="Arial Narrow" w:cs="Arial"/>
          <w:sz w:val="16"/>
        </w:rPr>
        <w:t xml:space="preserve">Zakon o utvrđivanju i načinu izmirenja </w:t>
      </w:r>
      <w:r>
        <w:rPr>
          <w:rFonts w:ascii="Arial Narrow" w:eastAsia="Arial" w:hAnsi="Arial Narrow" w:cs="Arial"/>
          <w:sz w:val="16"/>
        </w:rPr>
        <w:t>unutarnjih ob</w:t>
      </w:r>
      <w:r w:rsidRPr="00337704">
        <w:rPr>
          <w:rFonts w:ascii="Arial Narrow" w:eastAsia="Arial" w:hAnsi="Arial Narrow" w:cs="Arial"/>
          <w:sz w:val="16"/>
        </w:rPr>
        <w:t>veza Federacije Bosne i Hercegovine ("Službene novine Federacije BiH", br. 66/04, 49/05, 35/06, 31/08, 32/09, 65/09</w:t>
      </w:r>
      <w:r>
        <w:rPr>
          <w:rFonts w:ascii="Arial Narrow" w:eastAsia="Arial" w:hAnsi="Arial Narrow" w:cs="Arial"/>
          <w:sz w:val="16"/>
        </w:rPr>
        <w:t xml:space="preserve"> i 42/11); Zakon o izmirenju </w:t>
      </w:r>
      <w:r w:rsidRPr="0099055F">
        <w:rPr>
          <w:rFonts w:ascii="Arial Narrow" w:eastAsia="Arial" w:hAnsi="Arial Narrow" w:cs="Arial"/>
          <w:sz w:val="16"/>
        </w:rPr>
        <w:t xml:space="preserve">obveza na osnovu </w:t>
      </w:r>
      <w:r w:rsidRPr="00337704">
        <w:rPr>
          <w:rFonts w:ascii="Arial Narrow" w:eastAsia="Arial" w:hAnsi="Arial Narrow" w:cs="Arial"/>
          <w:sz w:val="16"/>
        </w:rPr>
        <w:t>računa stare devizne štednje u Federaciji Bosne i Hercegovine ("Službene novine Federacije BiH", br. 62/09, 42/11, 91/13 i 101/16)</w:t>
      </w:r>
    </w:p>
  </w:footnote>
  <w:footnote w:id="5">
    <w:p w14:paraId="77E46E33" w14:textId="77777777" w:rsidR="00C73F9B" w:rsidRDefault="00C73F9B" w:rsidP="0042308F">
      <w:pPr>
        <w:pStyle w:val="FootnoteText"/>
        <w:spacing w:after="0"/>
        <w:rPr>
          <w:rFonts w:ascii="Arial Narrow" w:eastAsia="Arial" w:hAnsi="Arial Narrow" w:cs="Arial"/>
          <w:sz w:val="16"/>
        </w:rPr>
      </w:pPr>
      <w:r w:rsidRPr="00BF51BB">
        <w:rPr>
          <w:rFonts w:ascii="Arial Narrow" w:eastAsia="Arial" w:hAnsi="Arial Narrow"/>
          <w:sz w:val="16"/>
        </w:rPr>
        <w:footnoteRef/>
      </w:r>
      <w:r w:rsidRPr="00BF51BB">
        <w:rPr>
          <w:rFonts w:ascii="Arial Narrow" w:eastAsia="Arial" w:hAnsi="Arial Narrow" w:cs="Arial"/>
          <w:sz w:val="16"/>
        </w:rPr>
        <w:t xml:space="preserve"> BHAS: Bruto domaći proizvod-rashodni pristup-tromjesečni podaci (lančano povezane vrijednosti u cijenama 2015), od </w:t>
      </w:r>
      <w:r>
        <w:rPr>
          <w:rFonts w:ascii="Arial Narrow" w:eastAsia="Arial" w:hAnsi="Arial Narrow" w:cs="Arial"/>
          <w:sz w:val="16"/>
        </w:rPr>
        <w:t>30. 3</w:t>
      </w:r>
      <w:r w:rsidRPr="00BF51BB">
        <w:rPr>
          <w:rFonts w:ascii="Arial Narrow" w:eastAsia="Arial" w:hAnsi="Arial Narrow" w:cs="Arial"/>
          <w:sz w:val="16"/>
        </w:rPr>
        <w:t>.</w:t>
      </w:r>
      <w:r>
        <w:rPr>
          <w:rFonts w:ascii="Arial Narrow" w:eastAsia="Arial" w:hAnsi="Arial Narrow" w:cs="Arial"/>
          <w:sz w:val="16"/>
        </w:rPr>
        <w:t xml:space="preserve"> </w:t>
      </w:r>
      <w:r w:rsidRPr="00BF51BB">
        <w:rPr>
          <w:rFonts w:ascii="Arial Narrow" w:eastAsia="Arial" w:hAnsi="Arial Narrow" w:cs="Arial"/>
          <w:sz w:val="16"/>
        </w:rPr>
        <w:t>202</w:t>
      </w:r>
      <w:r>
        <w:rPr>
          <w:rFonts w:ascii="Arial Narrow" w:eastAsia="Arial" w:hAnsi="Arial Narrow" w:cs="Arial"/>
          <w:sz w:val="16"/>
        </w:rPr>
        <w:t>3</w:t>
      </w:r>
      <w:r w:rsidRPr="00BF51BB">
        <w:rPr>
          <w:rFonts w:ascii="Arial Narrow" w:eastAsia="Arial" w:hAnsi="Arial Narrow" w:cs="Arial"/>
          <w:sz w:val="16"/>
        </w:rPr>
        <w:t>.</w:t>
      </w:r>
    </w:p>
    <w:p w14:paraId="116486A7" w14:textId="77777777" w:rsidR="00C73F9B" w:rsidRPr="00F305CB" w:rsidRDefault="00C73F9B" w:rsidP="0042308F">
      <w:pPr>
        <w:pStyle w:val="FootnoteText"/>
        <w:spacing w:after="0"/>
        <w:rPr>
          <w:rFonts w:ascii="Arial" w:eastAsia="Arial" w:hAnsi="Arial" w:cs="Arial"/>
          <w:sz w:val="16"/>
          <w:szCs w:val="16"/>
        </w:rPr>
      </w:pPr>
    </w:p>
  </w:footnote>
  <w:footnote w:id="6">
    <w:p w14:paraId="588E6C57" w14:textId="77777777" w:rsidR="00C73F9B" w:rsidRPr="009A29A5" w:rsidRDefault="00C73F9B" w:rsidP="0042308F">
      <w:pPr>
        <w:pStyle w:val="FootnoteText"/>
        <w:spacing w:after="0"/>
        <w:jc w:val="both"/>
        <w:rPr>
          <w:rFonts w:ascii="Arial Narrow" w:hAnsi="Arial Narrow" w:cs="Arial"/>
          <w:sz w:val="16"/>
          <w:szCs w:val="16"/>
          <w:lang w:val="bs-Latn-BA"/>
        </w:rPr>
      </w:pPr>
      <w:r w:rsidRPr="00741FF9">
        <w:rPr>
          <w:rStyle w:val="FootnoteReference"/>
          <w:rFonts w:ascii="Arial Narrow" w:hAnsi="Arial Narrow"/>
          <w:sz w:val="16"/>
          <w:szCs w:val="16"/>
        </w:rPr>
        <w:footnoteRef/>
      </w:r>
      <w:r w:rsidRPr="00741FF9">
        <w:rPr>
          <w:rFonts w:ascii="Arial Narrow" w:hAnsi="Arial Narrow"/>
          <w:sz w:val="16"/>
          <w:szCs w:val="16"/>
        </w:rPr>
        <w:t xml:space="preserve"> </w:t>
      </w:r>
      <w:r w:rsidRPr="00741FF9">
        <w:rPr>
          <w:rFonts w:ascii="Arial Narrow" w:hAnsi="Arial Narrow" w:cs="Arial"/>
          <w:sz w:val="16"/>
          <w:szCs w:val="16"/>
          <w:lang w:val="bs-Latn-BA"/>
        </w:rPr>
        <w:t xml:space="preserve">Prema podacima jedinica za </w:t>
      </w:r>
      <w:r w:rsidRPr="00D912D1">
        <w:rPr>
          <w:rFonts w:ascii="Arial Narrow" w:hAnsi="Arial Narrow" w:cs="Arial"/>
          <w:sz w:val="16"/>
          <w:szCs w:val="16"/>
          <w:lang w:val="bs-Latn-BA"/>
        </w:rPr>
        <w:t>implementaciju projekata</w:t>
      </w:r>
      <w:r>
        <w:rPr>
          <w:rFonts w:ascii="Arial Narrow" w:hAnsi="Arial Narrow" w:cs="Arial"/>
          <w:sz w:val="16"/>
          <w:szCs w:val="16"/>
          <w:lang w:val="bs-Latn-BA"/>
        </w:rPr>
        <w:t xml:space="preserve"> iz PJI </w:t>
      </w:r>
      <w:r w:rsidRPr="009A29A5">
        <w:rPr>
          <w:rFonts w:ascii="Arial Narrow" w:hAnsi="Arial Narrow" w:cs="Arial"/>
          <w:sz w:val="16"/>
          <w:szCs w:val="16"/>
          <w:lang w:val="bs-Latn-BA"/>
        </w:rPr>
        <w:t>F BiH 2024-2026</w:t>
      </w:r>
      <w:r>
        <w:rPr>
          <w:rFonts w:ascii="Arial Narrow" w:hAnsi="Arial Narrow" w:cs="Arial"/>
          <w:sz w:val="16"/>
          <w:szCs w:val="16"/>
          <w:lang w:val="bs-Latn-BA"/>
        </w:rPr>
        <w:t>.</w:t>
      </w:r>
    </w:p>
  </w:footnote>
  <w:footnote w:id="7">
    <w:p w14:paraId="6ADF1DDE" w14:textId="77777777" w:rsidR="00C73F9B" w:rsidRPr="00BF51BB" w:rsidRDefault="00C73F9B" w:rsidP="0042308F">
      <w:pPr>
        <w:pStyle w:val="FootnoteText"/>
        <w:spacing w:after="0" w:line="240" w:lineRule="auto"/>
        <w:jc w:val="both"/>
        <w:rPr>
          <w:rFonts w:ascii="Arial Narrow" w:hAnsi="Arial Narrow" w:cs="Arial"/>
          <w:sz w:val="16"/>
          <w:szCs w:val="16"/>
          <w:lang w:val="bs-Latn-BA"/>
        </w:rPr>
      </w:pPr>
      <w:r w:rsidRPr="009A29A5">
        <w:rPr>
          <w:rStyle w:val="FootnoteReference"/>
          <w:rFonts w:ascii="Arial Narrow" w:hAnsi="Arial Narrow" w:cs="Arial"/>
          <w:sz w:val="16"/>
          <w:szCs w:val="16"/>
        </w:rPr>
        <w:footnoteRef/>
      </w:r>
      <w:r w:rsidRPr="009A29A5">
        <w:rPr>
          <w:rFonts w:ascii="Arial Narrow" w:hAnsi="Arial Narrow" w:cs="Arial"/>
          <w:sz w:val="16"/>
          <w:szCs w:val="16"/>
        </w:rPr>
        <w:t xml:space="preserve"> </w:t>
      </w:r>
      <w:r w:rsidRPr="009A29A5">
        <w:rPr>
          <w:rFonts w:ascii="Arial Narrow" w:hAnsi="Arial Narrow" w:cs="Arial"/>
          <w:sz w:val="16"/>
          <w:szCs w:val="16"/>
          <w:lang w:val="bs-Latn-BA"/>
        </w:rPr>
        <w:t xml:space="preserve">Preračun izvršen prema </w:t>
      </w:r>
      <w:r>
        <w:rPr>
          <w:rFonts w:ascii="Arial Narrow" w:hAnsi="Arial Narrow" w:cs="Arial"/>
          <w:sz w:val="16"/>
          <w:szCs w:val="16"/>
          <w:lang w:val="bs-Latn-BA"/>
        </w:rPr>
        <w:t xml:space="preserve">tečaju </w:t>
      </w:r>
      <w:r w:rsidRPr="009A29A5">
        <w:rPr>
          <w:rFonts w:ascii="Arial Narrow" w:hAnsi="Arial Narrow" w:cs="Arial"/>
          <w:sz w:val="16"/>
          <w:szCs w:val="16"/>
          <w:lang w:val="bs-Latn-BA"/>
        </w:rPr>
        <w:t xml:space="preserve">USD : KM na dan </w:t>
      </w:r>
      <w:r>
        <w:rPr>
          <w:rFonts w:ascii="Arial Narrow" w:hAnsi="Arial Narrow" w:cs="Arial"/>
          <w:sz w:val="16"/>
          <w:szCs w:val="16"/>
          <w:lang w:val="bs-Latn-BA"/>
        </w:rPr>
        <w:t>31. 12. 2023.</w:t>
      </w:r>
      <w:r w:rsidRPr="009A29A5">
        <w:rPr>
          <w:rFonts w:ascii="Arial Narrow" w:hAnsi="Arial Narrow" w:cs="Arial"/>
          <w:sz w:val="16"/>
          <w:szCs w:val="16"/>
          <w:lang w:val="bs-Latn-BA"/>
        </w:rPr>
        <w:t xml:space="preserve"> (1USD=1,769982 KM)</w:t>
      </w:r>
    </w:p>
  </w:footnote>
  <w:footnote w:id="8">
    <w:p w14:paraId="0C89CCCE" w14:textId="77777777" w:rsidR="00C73F9B" w:rsidRPr="00214C62" w:rsidRDefault="00C73F9B" w:rsidP="0042308F">
      <w:pPr>
        <w:pStyle w:val="FootnoteText"/>
        <w:spacing w:after="0" w:line="240" w:lineRule="auto"/>
        <w:rPr>
          <w:rFonts w:ascii="Arial" w:hAnsi="Arial" w:cs="Arial"/>
          <w:sz w:val="16"/>
          <w:szCs w:val="16"/>
        </w:rPr>
      </w:pPr>
      <w:r w:rsidRPr="00214C62">
        <w:rPr>
          <w:rStyle w:val="FootnoteReference"/>
          <w:rFonts w:ascii="Arial" w:hAnsi="Arial" w:cs="Arial"/>
          <w:sz w:val="16"/>
          <w:szCs w:val="16"/>
        </w:rPr>
        <w:footnoteRef/>
      </w:r>
      <w:r w:rsidRPr="00214C62">
        <w:rPr>
          <w:rFonts w:ascii="Arial" w:hAnsi="Arial" w:cs="Arial"/>
          <w:sz w:val="16"/>
          <w:szCs w:val="16"/>
        </w:rPr>
        <w:t xml:space="preserve"> London Interbank Offered Rate </w:t>
      </w:r>
    </w:p>
  </w:footnote>
  <w:footnote w:id="9">
    <w:p w14:paraId="1D82B7C1" w14:textId="77777777" w:rsidR="00C73F9B" w:rsidRPr="002B6A7D" w:rsidRDefault="00C73F9B" w:rsidP="0042308F">
      <w:pPr>
        <w:pStyle w:val="FootnoteText"/>
        <w:spacing w:after="0" w:line="240" w:lineRule="auto"/>
      </w:pPr>
      <w:r w:rsidRPr="00214C62">
        <w:rPr>
          <w:rStyle w:val="FootnoteReference"/>
          <w:rFonts w:ascii="Arial" w:hAnsi="Arial" w:cs="Arial"/>
          <w:sz w:val="16"/>
          <w:szCs w:val="16"/>
        </w:rPr>
        <w:footnoteRef/>
      </w:r>
      <w:r w:rsidRPr="00214C62">
        <w:rPr>
          <w:rFonts w:ascii="Arial" w:hAnsi="Arial" w:cs="Arial"/>
          <w:sz w:val="16"/>
          <w:szCs w:val="16"/>
        </w:rPr>
        <w:t xml:space="preserve"> Euro Interbank Offered Rate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80E10"/>
    <w:multiLevelType w:val="multilevel"/>
    <w:tmpl w:val="FFC02AEE"/>
    <w:lvl w:ilvl="0">
      <w:start w:val="7"/>
      <w:numFmt w:val="decimal"/>
      <w:lvlText w:val="%1."/>
      <w:lvlJc w:val="left"/>
      <w:pPr>
        <w:ind w:left="396" w:hanging="396"/>
      </w:pPr>
      <w:rPr>
        <w:rFonts w:hint="default"/>
        <w:sz w:val="24"/>
        <w:szCs w:val="24"/>
      </w:rPr>
    </w:lvl>
    <w:lvl w:ilvl="1">
      <w:start w:val="2"/>
      <w:numFmt w:val="decimal"/>
      <w:lvlText w:val="%1.%2."/>
      <w:lvlJc w:val="left"/>
      <w:pPr>
        <w:ind w:left="1364" w:hanging="720"/>
      </w:pPr>
      <w:rPr>
        <w:rFonts w:hint="default"/>
        <w:sz w:val="24"/>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 w15:restartNumberingAfterBreak="0">
    <w:nsid w:val="0D8A0B87"/>
    <w:multiLevelType w:val="hybridMultilevel"/>
    <w:tmpl w:val="D3A06104"/>
    <w:lvl w:ilvl="0" w:tplc="70AC0FBA">
      <w:start w:val="1"/>
      <w:numFmt w:val="decimal"/>
      <w:lvlText w:val="%1."/>
      <w:lvlJc w:val="left"/>
      <w:pPr>
        <w:ind w:left="975" w:hanging="61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F314E"/>
    <w:multiLevelType w:val="hybridMultilevel"/>
    <w:tmpl w:val="985C82D2"/>
    <w:lvl w:ilvl="0" w:tplc="04381C9E">
      <w:start w:val="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05CA9"/>
    <w:multiLevelType w:val="hybridMultilevel"/>
    <w:tmpl w:val="23D4EEAA"/>
    <w:lvl w:ilvl="0" w:tplc="0EA404E0">
      <w:start w:val="1"/>
      <w:numFmt w:val="lowerRoman"/>
      <w:pStyle w:val="ParagraphNumbering"/>
      <w:lvlText w:val="%1."/>
      <w:lvlJc w:val="left"/>
      <w:pPr>
        <w:tabs>
          <w:tab w:val="num" w:pos="3510"/>
        </w:tabs>
        <w:ind w:left="2790" w:firstLine="0"/>
      </w:pPr>
      <w:rPr>
        <w:rFonts w:hint="default"/>
        <w:b w:val="0"/>
      </w:r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5310"/>
        </w:tabs>
        <w:ind w:left="-531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3150"/>
        </w:tabs>
        <w:ind w:left="-3150" w:hanging="180"/>
      </w:pPr>
    </w:lvl>
    <w:lvl w:ilvl="6" w:tplc="294A8154" w:tentative="1">
      <w:start w:val="1"/>
      <w:numFmt w:val="decimal"/>
      <w:lvlText w:val="%7."/>
      <w:lvlJc w:val="left"/>
      <w:pPr>
        <w:tabs>
          <w:tab w:val="num" w:pos="-2430"/>
        </w:tabs>
        <w:ind w:left="-2430" w:hanging="360"/>
      </w:pPr>
    </w:lvl>
    <w:lvl w:ilvl="7" w:tplc="04090019" w:tentative="1">
      <w:start w:val="1"/>
      <w:numFmt w:val="lowerLetter"/>
      <w:lvlText w:val="%8."/>
      <w:lvlJc w:val="left"/>
      <w:pPr>
        <w:tabs>
          <w:tab w:val="num" w:pos="-1710"/>
        </w:tabs>
        <w:ind w:left="-1710" w:hanging="360"/>
      </w:pPr>
    </w:lvl>
    <w:lvl w:ilvl="8" w:tplc="0409001B" w:tentative="1">
      <w:start w:val="1"/>
      <w:numFmt w:val="lowerRoman"/>
      <w:lvlText w:val="%9."/>
      <w:lvlJc w:val="right"/>
      <w:pPr>
        <w:tabs>
          <w:tab w:val="num" w:pos="-990"/>
        </w:tabs>
        <w:ind w:left="-990" w:hanging="180"/>
      </w:pPr>
    </w:lvl>
  </w:abstractNum>
  <w:abstractNum w:abstractNumId="4" w15:restartNumberingAfterBreak="0">
    <w:nsid w:val="195E59ED"/>
    <w:multiLevelType w:val="multilevel"/>
    <w:tmpl w:val="6770BE46"/>
    <w:lvl w:ilvl="0">
      <w:start w:val="6"/>
      <w:numFmt w:val="decimal"/>
      <w:lvlText w:val="%1."/>
      <w:lvlJc w:val="left"/>
      <w:pPr>
        <w:ind w:left="360" w:hanging="360"/>
      </w:pPr>
      <w:rPr>
        <w:rFonts w:hint="default"/>
      </w:rPr>
    </w:lvl>
    <w:lvl w:ilvl="1">
      <w:start w:val="2"/>
      <w:numFmt w:val="decimal"/>
      <w:lvlText w:val="%1.%2."/>
      <w:lvlJc w:val="left"/>
      <w:pPr>
        <w:ind w:left="1637" w:hanging="72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136" w:hanging="1800"/>
      </w:pPr>
      <w:rPr>
        <w:rFonts w:hint="default"/>
      </w:rPr>
    </w:lvl>
  </w:abstractNum>
  <w:abstractNum w:abstractNumId="5" w15:restartNumberingAfterBreak="0">
    <w:nsid w:val="1D19102A"/>
    <w:multiLevelType w:val="multilevel"/>
    <w:tmpl w:val="2812A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7A2F0E"/>
    <w:multiLevelType w:val="hybridMultilevel"/>
    <w:tmpl w:val="CDE2F6C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2B8F3C4F"/>
    <w:multiLevelType w:val="hybridMultilevel"/>
    <w:tmpl w:val="EB6293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352B7BF2"/>
    <w:multiLevelType w:val="multilevel"/>
    <w:tmpl w:val="457C1B1E"/>
    <w:lvl w:ilvl="0">
      <w:start w:val="3"/>
      <w:numFmt w:val="decimal"/>
      <w:lvlText w:val="%1."/>
      <w:lvlJc w:val="left"/>
      <w:pPr>
        <w:ind w:left="390" w:hanging="390"/>
      </w:pPr>
      <w:rPr>
        <w:rFonts w:hint="default"/>
      </w:rPr>
    </w:lvl>
    <w:lvl w:ilvl="1">
      <w:start w:val="4"/>
      <w:numFmt w:val="decimal"/>
      <w:lvlText w:val="%1.%2."/>
      <w:lvlJc w:val="left"/>
      <w:pPr>
        <w:ind w:left="1637" w:hanging="720"/>
      </w:pPr>
      <w:rPr>
        <w:rFonts w:hint="default"/>
        <w:sz w:val="24"/>
        <w:szCs w:val="20"/>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496" w:hanging="2160"/>
      </w:pPr>
      <w:rPr>
        <w:rFonts w:hint="default"/>
      </w:rPr>
    </w:lvl>
  </w:abstractNum>
  <w:abstractNum w:abstractNumId="9" w15:restartNumberingAfterBreak="0">
    <w:nsid w:val="38DF7868"/>
    <w:multiLevelType w:val="hybridMultilevel"/>
    <w:tmpl w:val="F0B041C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38EB5397"/>
    <w:multiLevelType w:val="hybridMultilevel"/>
    <w:tmpl w:val="1C30B252"/>
    <w:lvl w:ilvl="0" w:tplc="0A90AC24">
      <w:start w:val="1"/>
      <w:numFmt w:val="bullet"/>
      <w:lvlText w:val=""/>
      <w:lvlJc w:val="left"/>
      <w:pPr>
        <w:ind w:left="1495"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C2672"/>
    <w:multiLevelType w:val="multilevel"/>
    <w:tmpl w:val="33B28158"/>
    <w:lvl w:ilvl="0">
      <w:start w:val="4"/>
      <w:numFmt w:val="decimal"/>
      <w:lvlText w:val="%1"/>
      <w:lvlJc w:val="left"/>
      <w:pPr>
        <w:ind w:left="360" w:hanging="360"/>
      </w:pPr>
      <w:rPr>
        <w:rFonts w:hint="default"/>
      </w:rPr>
    </w:lvl>
    <w:lvl w:ilvl="1">
      <w:start w:val="2"/>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2" w15:restartNumberingAfterBreak="0">
    <w:nsid w:val="3F4215FC"/>
    <w:multiLevelType w:val="hybridMultilevel"/>
    <w:tmpl w:val="33E8B8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8A0C5388">
      <w:start w:val="6"/>
      <w:numFmt w:val="bullet"/>
      <w:lvlText w:val="-"/>
      <w:lvlJc w:val="left"/>
      <w:pPr>
        <w:ind w:left="2160" w:hanging="360"/>
      </w:pPr>
      <w:rPr>
        <w:rFonts w:ascii="Arial" w:eastAsiaTheme="minorHAnsi" w:hAnsi="Arial" w:cs="Aria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0180914"/>
    <w:multiLevelType w:val="multilevel"/>
    <w:tmpl w:val="D45AFC1E"/>
    <w:lvl w:ilvl="0">
      <w:start w:val="3"/>
      <w:numFmt w:val="decimal"/>
      <w:lvlText w:val="%1."/>
      <w:lvlJc w:val="left"/>
      <w:pPr>
        <w:ind w:left="420" w:hanging="420"/>
      </w:pPr>
      <w:rPr>
        <w:rFonts w:hint="default"/>
        <w:sz w:val="24"/>
      </w:rPr>
    </w:lvl>
    <w:lvl w:ilvl="1">
      <w:start w:val="1"/>
      <w:numFmt w:val="decimal"/>
      <w:lvlText w:val="%1.%2."/>
      <w:lvlJc w:val="left"/>
      <w:pPr>
        <w:ind w:left="1004" w:hanging="720"/>
      </w:pPr>
      <w:rPr>
        <w:rFonts w:hint="default"/>
        <w:sz w:val="24"/>
      </w:rPr>
    </w:lvl>
    <w:lvl w:ilvl="2">
      <w:start w:val="1"/>
      <w:numFmt w:val="decimal"/>
      <w:lvlText w:val="%1.%2.%3."/>
      <w:lvlJc w:val="left"/>
      <w:pPr>
        <w:ind w:left="1288" w:hanging="720"/>
      </w:pPr>
      <w:rPr>
        <w:rFonts w:ascii="Arial" w:hAnsi="Arial" w:cs="Arial" w:hint="default"/>
        <w:b w:val="0"/>
        <w:color w:val="auto"/>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45FF10FE"/>
    <w:multiLevelType w:val="hybridMultilevel"/>
    <w:tmpl w:val="DB44531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49D817FF"/>
    <w:multiLevelType w:val="hybridMultilevel"/>
    <w:tmpl w:val="7994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D708C"/>
    <w:multiLevelType w:val="hybridMultilevel"/>
    <w:tmpl w:val="F30222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528757AB"/>
    <w:multiLevelType w:val="hybridMultilevel"/>
    <w:tmpl w:val="EDD6D5F0"/>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E603E4"/>
    <w:multiLevelType w:val="hybridMultilevel"/>
    <w:tmpl w:val="B56C664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0AEC85B6">
      <w:start w:val="2"/>
      <w:numFmt w:val="bullet"/>
      <w:lvlText w:val="-"/>
      <w:lvlJc w:val="left"/>
      <w:pPr>
        <w:ind w:left="2160" w:hanging="360"/>
      </w:pPr>
      <w:rPr>
        <w:rFonts w:ascii="Times New Roman" w:eastAsia="Times New Roman" w:hAnsi="Times New Roman" w:cs="Times New Roman" w:hint="default"/>
        <w:sz w:val="14"/>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CFD1424"/>
    <w:multiLevelType w:val="hybridMultilevel"/>
    <w:tmpl w:val="9BD4B25A"/>
    <w:lvl w:ilvl="0" w:tplc="08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61E31A1B"/>
    <w:multiLevelType w:val="multilevel"/>
    <w:tmpl w:val="4E7653C2"/>
    <w:lvl w:ilvl="0">
      <w:start w:val="5"/>
      <w:numFmt w:val="decimal"/>
      <w:lvlText w:val="%1."/>
      <w:lvlJc w:val="left"/>
      <w:pPr>
        <w:ind w:left="360" w:hanging="360"/>
      </w:pPr>
      <w:rPr>
        <w:rFonts w:hint="default"/>
        <w:sz w:val="22"/>
      </w:rPr>
    </w:lvl>
    <w:lvl w:ilvl="1">
      <w:start w:val="1"/>
      <w:numFmt w:val="decimal"/>
      <w:lvlText w:val="%1.%2."/>
      <w:lvlJc w:val="left"/>
      <w:pPr>
        <w:ind w:left="1637" w:hanging="720"/>
      </w:pPr>
      <w:rPr>
        <w:rFonts w:hint="default"/>
        <w:sz w:val="22"/>
      </w:rPr>
    </w:lvl>
    <w:lvl w:ilvl="2">
      <w:start w:val="1"/>
      <w:numFmt w:val="decimal"/>
      <w:lvlText w:val="%1.%2.%3."/>
      <w:lvlJc w:val="left"/>
      <w:pPr>
        <w:ind w:left="2554" w:hanging="720"/>
      </w:pPr>
      <w:rPr>
        <w:rFonts w:hint="default"/>
        <w:sz w:val="22"/>
      </w:rPr>
    </w:lvl>
    <w:lvl w:ilvl="3">
      <w:start w:val="1"/>
      <w:numFmt w:val="decimal"/>
      <w:lvlText w:val="%1.%2.%3.%4."/>
      <w:lvlJc w:val="left"/>
      <w:pPr>
        <w:ind w:left="3831" w:hanging="1080"/>
      </w:pPr>
      <w:rPr>
        <w:rFonts w:hint="default"/>
        <w:sz w:val="22"/>
      </w:rPr>
    </w:lvl>
    <w:lvl w:ilvl="4">
      <w:start w:val="1"/>
      <w:numFmt w:val="decimal"/>
      <w:lvlText w:val="%1.%2.%3.%4.%5."/>
      <w:lvlJc w:val="left"/>
      <w:pPr>
        <w:ind w:left="5108" w:hanging="1440"/>
      </w:pPr>
      <w:rPr>
        <w:rFonts w:hint="default"/>
        <w:sz w:val="22"/>
      </w:rPr>
    </w:lvl>
    <w:lvl w:ilvl="5">
      <w:start w:val="1"/>
      <w:numFmt w:val="decimal"/>
      <w:lvlText w:val="%1.%2.%3.%4.%5.%6."/>
      <w:lvlJc w:val="left"/>
      <w:pPr>
        <w:ind w:left="6025" w:hanging="1440"/>
      </w:pPr>
      <w:rPr>
        <w:rFonts w:hint="default"/>
        <w:sz w:val="22"/>
      </w:rPr>
    </w:lvl>
    <w:lvl w:ilvl="6">
      <w:start w:val="1"/>
      <w:numFmt w:val="decimal"/>
      <w:lvlText w:val="%1.%2.%3.%4.%5.%6.%7."/>
      <w:lvlJc w:val="left"/>
      <w:pPr>
        <w:ind w:left="7302" w:hanging="1800"/>
      </w:pPr>
      <w:rPr>
        <w:rFonts w:hint="default"/>
        <w:sz w:val="22"/>
      </w:rPr>
    </w:lvl>
    <w:lvl w:ilvl="7">
      <w:start w:val="1"/>
      <w:numFmt w:val="decimal"/>
      <w:lvlText w:val="%1.%2.%3.%4.%5.%6.%7.%8."/>
      <w:lvlJc w:val="left"/>
      <w:pPr>
        <w:ind w:left="8579" w:hanging="2160"/>
      </w:pPr>
      <w:rPr>
        <w:rFonts w:hint="default"/>
        <w:sz w:val="22"/>
      </w:rPr>
    </w:lvl>
    <w:lvl w:ilvl="8">
      <w:start w:val="1"/>
      <w:numFmt w:val="decimal"/>
      <w:lvlText w:val="%1.%2.%3.%4.%5.%6.%7.%8.%9."/>
      <w:lvlJc w:val="left"/>
      <w:pPr>
        <w:ind w:left="9496" w:hanging="2160"/>
      </w:pPr>
      <w:rPr>
        <w:rFonts w:hint="default"/>
        <w:sz w:val="22"/>
      </w:rPr>
    </w:lvl>
  </w:abstractNum>
  <w:abstractNum w:abstractNumId="21" w15:restartNumberingAfterBreak="0">
    <w:nsid w:val="65437647"/>
    <w:multiLevelType w:val="multilevel"/>
    <w:tmpl w:val="7CAE88F0"/>
    <w:lvl w:ilvl="0">
      <w:start w:val="4"/>
      <w:numFmt w:val="decimal"/>
      <w:lvlText w:val="%1."/>
      <w:lvlJc w:val="left"/>
      <w:pPr>
        <w:ind w:left="360" w:hanging="360"/>
      </w:pPr>
      <w:rPr>
        <w:rFonts w:hint="default"/>
      </w:rPr>
    </w:lvl>
    <w:lvl w:ilvl="1">
      <w:start w:val="4"/>
      <w:numFmt w:val="decimal"/>
      <w:lvlText w:val="%1.%2."/>
      <w:lvlJc w:val="left"/>
      <w:pPr>
        <w:ind w:left="1004" w:hanging="720"/>
      </w:pPr>
      <w:rPr>
        <w:rFonts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65DA2EF6"/>
    <w:multiLevelType w:val="hybridMultilevel"/>
    <w:tmpl w:val="30B4D270"/>
    <w:lvl w:ilvl="0" w:tplc="AD5C392E">
      <w:start w:val="1"/>
      <w:numFmt w:val="bullet"/>
      <w:lvlText w:val=""/>
      <w:lvlJc w:val="left"/>
      <w:pPr>
        <w:ind w:left="720" w:hanging="360"/>
      </w:pPr>
      <w:rPr>
        <w:rFonts w:ascii="Symbol" w:hAnsi="Symbol" w:hint="default"/>
        <w:b w:val="0"/>
        <w:color w:val="auto"/>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69217521"/>
    <w:multiLevelType w:val="multilevel"/>
    <w:tmpl w:val="720233CC"/>
    <w:lvl w:ilvl="0">
      <w:start w:val="6"/>
      <w:numFmt w:val="decimal"/>
      <w:lvlText w:val="%1."/>
      <w:lvlJc w:val="left"/>
      <w:pPr>
        <w:ind w:left="360" w:hanging="360"/>
      </w:pPr>
      <w:rPr>
        <w:rFonts w:hint="default"/>
      </w:rPr>
    </w:lvl>
    <w:lvl w:ilvl="1">
      <w:start w:val="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6EE92BD7"/>
    <w:multiLevelType w:val="hybridMultilevel"/>
    <w:tmpl w:val="26FE387E"/>
    <w:lvl w:ilvl="0" w:tplc="0A90AC24">
      <w:start w:val="1"/>
      <w:numFmt w:val="bullet"/>
      <w:lvlText w:val=""/>
      <w:lvlJc w:val="left"/>
      <w:pPr>
        <w:ind w:left="1353" w:hanging="360"/>
      </w:pPr>
      <w:rPr>
        <w:rFonts w:ascii="Symbol" w:hAnsi="Symbol" w:hint="default"/>
        <w:b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5" w15:restartNumberingAfterBreak="0">
    <w:nsid w:val="723A7567"/>
    <w:multiLevelType w:val="hybridMultilevel"/>
    <w:tmpl w:val="9F002D2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15:restartNumberingAfterBreak="0">
    <w:nsid w:val="748A1842"/>
    <w:multiLevelType w:val="hybridMultilevel"/>
    <w:tmpl w:val="7E027ED2"/>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A1D9F"/>
    <w:multiLevelType w:val="hybridMultilevel"/>
    <w:tmpl w:val="1D6E8564"/>
    <w:lvl w:ilvl="0" w:tplc="04381C9E">
      <w:start w:val="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D5201"/>
    <w:multiLevelType w:val="multilevel"/>
    <w:tmpl w:val="7E8AEAB8"/>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A240101"/>
    <w:multiLevelType w:val="multilevel"/>
    <w:tmpl w:val="00DEB3AE"/>
    <w:lvl w:ilvl="0">
      <w:start w:val="1"/>
      <w:numFmt w:val="decimal"/>
      <w:lvlText w:val="%1."/>
      <w:lvlJc w:val="left"/>
      <w:pPr>
        <w:ind w:left="644" w:hanging="360"/>
      </w:pPr>
      <w:rPr>
        <w:rFonts w:hint="default"/>
        <w:sz w:val="28"/>
        <w:szCs w:val="28"/>
      </w:rPr>
    </w:lvl>
    <w:lvl w:ilvl="1">
      <w:start w:val="1"/>
      <w:numFmt w:val="decimal"/>
      <w:isLgl/>
      <w:lvlText w:val="%1.%2."/>
      <w:lvlJc w:val="left"/>
      <w:pPr>
        <w:ind w:left="1637" w:hanging="720"/>
      </w:pPr>
      <w:rPr>
        <w:rFonts w:ascii="Arial" w:hAnsi="Arial" w:cs="Arial" w:hint="default"/>
        <w:b w:val="0"/>
        <w:color w:val="auto"/>
        <w:sz w:val="24"/>
      </w:rPr>
    </w:lvl>
    <w:lvl w:ilvl="2">
      <w:start w:val="1"/>
      <w:numFmt w:val="decimal"/>
      <w:isLgl/>
      <w:lvlText w:val="%1.%2.%3."/>
      <w:lvlJc w:val="left"/>
      <w:pPr>
        <w:ind w:left="1004" w:hanging="607"/>
      </w:pPr>
      <w:rPr>
        <w:rFonts w:ascii="Arial" w:hAnsi="Arial" w:cs="Arial" w:hint="default"/>
        <w:b w:val="0"/>
        <w:bCs w:val="0"/>
        <w:sz w:val="22"/>
        <w:szCs w:val="24"/>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29"/>
  </w:num>
  <w:num w:numId="2">
    <w:abstractNumId w:val="28"/>
  </w:num>
  <w:num w:numId="3">
    <w:abstractNumId w:val="3"/>
  </w:num>
  <w:num w:numId="4">
    <w:abstractNumId w:val="27"/>
  </w:num>
  <w:num w:numId="5">
    <w:abstractNumId w:val="0"/>
  </w:num>
  <w:num w:numId="6">
    <w:abstractNumId w:val="7"/>
  </w:num>
  <w:num w:numId="7">
    <w:abstractNumId w:val="9"/>
  </w:num>
  <w:num w:numId="8">
    <w:abstractNumId w:val="22"/>
  </w:num>
  <w:num w:numId="9">
    <w:abstractNumId w:val="25"/>
  </w:num>
  <w:num w:numId="10">
    <w:abstractNumId w:val="13"/>
  </w:num>
  <w:num w:numId="11">
    <w:abstractNumId w:val="21"/>
  </w:num>
  <w:num w:numId="12">
    <w:abstractNumId w:val="11"/>
  </w:num>
  <w:num w:numId="13">
    <w:abstractNumId w:val="19"/>
  </w:num>
  <w:num w:numId="14">
    <w:abstractNumId w:val="16"/>
  </w:num>
  <w:num w:numId="15">
    <w:abstractNumId w:val="18"/>
  </w:num>
  <w:num w:numId="16">
    <w:abstractNumId w:val="12"/>
  </w:num>
  <w:num w:numId="17">
    <w:abstractNumId w:val="14"/>
  </w:num>
  <w:num w:numId="18">
    <w:abstractNumId w:val="1"/>
  </w:num>
  <w:num w:numId="19">
    <w:abstractNumId w:val="6"/>
  </w:num>
  <w:num w:numId="20">
    <w:abstractNumId w:val="17"/>
  </w:num>
  <w:num w:numId="21">
    <w:abstractNumId w:val="24"/>
  </w:num>
  <w:num w:numId="22">
    <w:abstractNumId w:val="10"/>
  </w:num>
  <w:num w:numId="23">
    <w:abstractNumId w:val="26"/>
  </w:num>
  <w:num w:numId="24">
    <w:abstractNumId w:val="5"/>
  </w:num>
  <w:num w:numId="25">
    <w:abstractNumId w:val="23"/>
  </w:num>
  <w:num w:numId="26">
    <w:abstractNumId w:val="8"/>
  </w:num>
  <w:num w:numId="27">
    <w:abstractNumId w:val="20"/>
  </w:num>
  <w:num w:numId="28">
    <w:abstractNumId w:val="4"/>
  </w:num>
  <w:num w:numId="29">
    <w:abstractNumId w:val="1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8F"/>
    <w:rsid w:val="00120771"/>
    <w:rsid w:val="00153015"/>
    <w:rsid w:val="001967B2"/>
    <w:rsid w:val="00232E4D"/>
    <w:rsid w:val="002728C9"/>
    <w:rsid w:val="0037268C"/>
    <w:rsid w:val="003747A5"/>
    <w:rsid w:val="0042308F"/>
    <w:rsid w:val="00440C9C"/>
    <w:rsid w:val="00457D97"/>
    <w:rsid w:val="00470DEA"/>
    <w:rsid w:val="00522D4F"/>
    <w:rsid w:val="00550550"/>
    <w:rsid w:val="005B3B2B"/>
    <w:rsid w:val="006D49E9"/>
    <w:rsid w:val="006E2C23"/>
    <w:rsid w:val="006E72EF"/>
    <w:rsid w:val="006E752C"/>
    <w:rsid w:val="00743A0A"/>
    <w:rsid w:val="007D084A"/>
    <w:rsid w:val="007E4189"/>
    <w:rsid w:val="0080518A"/>
    <w:rsid w:val="00805A1D"/>
    <w:rsid w:val="009064F8"/>
    <w:rsid w:val="00906DF3"/>
    <w:rsid w:val="00935B9D"/>
    <w:rsid w:val="00943089"/>
    <w:rsid w:val="0096172C"/>
    <w:rsid w:val="0099055F"/>
    <w:rsid w:val="00A35FB3"/>
    <w:rsid w:val="00B91C3C"/>
    <w:rsid w:val="00BD4527"/>
    <w:rsid w:val="00C627BE"/>
    <w:rsid w:val="00C73F9B"/>
    <w:rsid w:val="00C8169A"/>
    <w:rsid w:val="00C84824"/>
    <w:rsid w:val="00CE7F67"/>
    <w:rsid w:val="00D40F05"/>
    <w:rsid w:val="00D71297"/>
    <w:rsid w:val="00F06121"/>
    <w:rsid w:val="00F674D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53FC"/>
  <w15:chartTrackingRefBased/>
  <w15:docId w15:val="{568F934A-2530-4E5A-8E20-415E75AA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1"/>
    <w:qFormat/>
    <w:rsid w:val="0042308F"/>
    <w:pPr>
      <w:spacing w:after="200" w:line="276" w:lineRule="auto"/>
    </w:pPr>
    <w:rPr>
      <w:rFonts w:asciiTheme="minorHAnsi" w:hAnsiTheme="minorHAnsi"/>
      <w:lang w:val="hr-HR"/>
    </w:rPr>
  </w:style>
  <w:style w:type="paragraph" w:styleId="Heading1">
    <w:name w:val="heading 1"/>
    <w:basedOn w:val="Normal"/>
    <w:next w:val="Normal"/>
    <w:link w:val="Heading1Char"/>
    <w:uiPriority w:val="9"/>
    <w:qFormat/>
    <w:rsid w:val="0042308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2308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2308F"/>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08F"/>
    <w:rPr>
      <w:rFonts w:asciiTheme="majorHAnsi" w:eastAsiaTheme="majorEastAsia" w:hAnsiTheme="majorHAnsi" w:cstheme="majorBidi"/>
      <w:b/>
      <w:bCs/>
      <w:color w:val="2E74B5" w:themeColor="accent1" w:themeShade="BF"/>
      <w:sz w:val="28"/>
      <w:szCs w:val="28"/>
      <w:lang w:val="hr-HR"/>
    </w:rPr>
  </w:style>
  <w:style w:type="character" w:customStyle="1" w:styleId="Heading2Char">
    <w:name w:val="Heading 2 Char"/>
    <w:basedOn w:val="DefaultParagraphFont"/>
    <w:link w:val="Heading2"/>
    <w:uiPriority w:val="9"/>
    <w:rsid w:val="0042308F"/>
    <w:rPr>
      <w:rFonts w:asciiTheme="majorHAnsi" w:eastAsiaTheme="majorEastAsia" w:hAnsiTheme="majorHAnsi" w:cstheme="majorBidi"/>
      <w:b/>
      <w:bCs/>
      <w:color w:val="5B9BD5" w:themeColor="accent1"/>
      <w:sz w:val="26"/>
      <w:szCs w:val="26"/>
      <w:lang w:val="hr-HR"/>
    </w:rPr>
  </w:style>
  <w:style w:type="character" w:customStyle="1" w:styleId="Heading3Char">
    <w:name w:val="Heading 3 Char"/>
    <w:basedOn w:val="DefaultParagraphFont"/>
    <w:link w:val="Heading3"/>
    <w:uiPriority w:val="9"/>
    <w:rsid w:val="0042308F"/>
    <w:rPr>
      <w:rFonts w:asciiTheme="majorHAnsi" w:eastAsiaTheme="majorEastAsia" w:hAnsiTheme="majorHAnsi" w:cstheme="majorBidi"/>
      <w:b/>
      <w:bCs/>
      <w:color w:val="5B9BD5" w:themeColor="accent1"/>
      <w:lang w:val="hr-HR"/>
    </w:rPr>
  </w:style>
  <w:style w:type="character" w:styleId="Hyperlink">
    <w:name w:val="Hyperlink"/>
    <w:basedOn w:val="DefaultParagraphFont"/>
    <w:uiPriority w:val="99"/>
    <w:unhideWhenUsed/>
    <w:rsid w:val="0042308F"/>
    <w:rPr>
      <w:color w:val="0563C1" w:themeColor="hyperlink"/>
      <w:u w:val="single"/>
    </w:rPr>
  </w:style>
  <w:style w:type="paragraph" w:styleId="TOCHeading">
    <w:name w:val="TOC Heading"/>
    <w:basedOn w:val="Heading1"/>
    <w:next w:val="Normal"/>
    <w:uiPriority w:val="39"/>
    <w:semiHidden/>
    <w:unhideWhenUsed/>
    <w:qFormat/>
    <w:rsid w:val="0042308F"/>
    <w:pPr>
      <w:outlineLvl w:val="9"/>
    </w:pPr>
  </w:style>
  <w:style w:type="paragraph" w:styleId="TOC1">
    <w:name w:val="toc 1"/>
    <w:basedOn w:val="Normal"/>
    <w:next w:val="Normal"/>
    <w:autoRedefine/>
    <w:uiPriority w:val="39"/>
    <w:unhideWhenUsed/>
    <w:qFormat/>
    <w:rsid w:val="0042308F"/>
    <w:pPr>
      <w:tabs>
        <w:tab w:val="left" w:pos="440"/>
        <w:tab w:val="right" w:leader="dot" w:pos="9396"/>
      </w:tabs>
      <w:spacing w:after="100" w:line="240" w:lineRule="auto"/>
    </w:pPr>
    <w:rPr>
      <w:rFonts w:ascii="Arial" w:hAnsi="Arial" w:cs="Arial"/>
      <w:noProof/>
      <w:sz w:val="24"/>
      <w:szCs w:val="24"/>
      <w:lang w:val="bs-Latn-BA"/>
    </w:rPr>
  </w:style>
  <w:style w:type="paragraph" w:styleId="TOC2">
    <w:name w:val="toc 2"/>
    <w:basedOn w:val="Normal"/>
    <w:next w:val="Normal"/>
    <w:autoRedefine/>
    <w:uiPriority w:val="39"/>
    <w:unhideWhenUsed/>
    <w:qFormat/>
    <w:rsid w:val="0042308F"/>
    <w:pPr>
      <w:tabs>
        <w:tab w:val="left" w:pos="880"/>
        <w:tab w:val="right" w:leader="dot" w:pos="9396"/>
      </w:tabs>
      <w:spacing w:after="100" w:line="240" w:lineRule="auto"/>
      <w:ind w:left="220"/>
    </w:pPr>
  </w:style>
  <w:style w:type="paragraph" w:styleId="TOC3">
    <w:name w:val="toc 3"/>
    <w:basedOn w:val="Normal"/>
    <w:next w:val="Normal"/>
    <w:autoRedefine/>
    <w:uiPriority w:val="39"/>
    <w:unhideWhenUsed/>
    <w:qFormat/>
    <w:rsid w:val="0042308F"/>
    <w:pPr>
      <w:tabs>
        <w:tab w:val="left" w:pos="993"/>
        <w:tab w:val="right" w:leader="dot" w:pos="9356"/>
      </w:tabs>
      <w:spacing w:after="100"/>
      <w:ind w:left="440" w:hanging="298"/>
    </w:pPr>
  </w:style>
  <w:style w:type="paragraph" w:styleId="BalloonText">
    <w:name w:val="Balloon Text"/>
    <w:basedOn w:val="Normal"/>
    <w:link w:val="BalloonTextChar"/>
    <w:uiPriority w:val="99"/>
    <w:semiHidden/>
    <w:unhideWhenUsed/>
    <w:rsid w:val="00423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08F"/>
    <w:rPr>
      <w:rFonts w:ascii="Tahoma" w:hAnsi="Tahoma" w:cs="Tahoma"/>
      <w:sz w:val="16"/>
      <w:szCs w:val="16"/>
      <w:lang w:val="hr-HR"/>
    </w:rPr>
  </w:style>
  <w:style w:type="paragraph" w:styleId="NoSpacing">
    <w:name w:val="No Spacing"/>
    <w:link w:val="NoSpacingChar"/>
    <w:uiPriority w:val="1"/>
    <w:qFormat/>
    <w:rsid w:val="0042308F"/>
    <w:pPr>
      <w:spacing w:after="0" w:line="240" w:lineRule="auto"/>
    </w:pPr>
    <w:rPr>
      <w:rFonts w:asciiTheme="minorHAnsi" w:hAnsiTheme="minorHAnsi"/>
      <w:lang w:val="en-US"/>
    </w:rPr>
  </w:style>
  <w:style w:type="character" w:styleId="CommentReference">
    <w:name w:val="annotation reference"/>
    <w:basedOn w:val="DefaultParagraphFont"/>
    <w:uiPriority w:val="99"/>
    <w:semiHidden/>
    <w:unhideWhenUsed/>
    <w:rsid w:val="0042308F"/>
    <w:rPr>
      <w:sz w:val="16"/>
      <w:szCs w:val="16"/>
    </w:rPr>
  </w:style>
  <w:style w:type="paragraph" w:styleId="CommentText">
    <w:name w:val="annotation text"/>
    <w:basedOn w:val="Normal"/>
    <w:link w:val="CommentTextChar"/>
    <w:uiPriority w:val="99"/>
    <w:semiHidden/>
    <w:unhideWhenUsed/>
    <w:rsid w:val="0042308F"/>
    <w:pPr>
      <w:spacing w:line="240" w:lineRule="auto"/>
    </w:pPr>
    <w:rPr>
      <w:sz w:val="20"/>
      <w:szCs w:val="20"/>
    </w:rPr>
  </w:style>
  <w:style w:type="character" w:customStyle="1" w:styleId="CommentTextChar">
    <w:name w:val="Comment Text Char"/>
    <w:basedOn w:val="DefaultParagraphFont"/>
    <w:link w:val="CommentText"/>
    <w:uiPriority w:val="99"/>
    <w:semiHidden/>
    <w:rsid w:val="0042308F"/>
    <w:rPr>
      <w:rFonts w:asciiTheme="minorHAnsi" w:hAnsiTheme="minorHAnsi"/>
      <w:sz w:val="20"/>
      <w:szCs w:val="20"/>
      <w:lang w:val="hr-HR"/>
    </w:rPr>
  </w:style>
  <w:style w:type="character" w:styleId="FootnoteReference">
    <w:name w:val="footnote reference"/>
    <w:aliases w:val="ftref,16 Point,Superscript 6 Point,Ref. de nota al pie.,fr, BVI fnr,BVI fnr,Footnote Reference Number,Footnote Reference_LVL6,Footnote Reference_LVL61,Footnote Reference_LVL62,Footnote Reference_LVL63,Footnote Reference_LVL64,4_G,Ref"/>
    <w:link w:val="BVIfnrZchnCharZchnCharCharCharChar"/>
    <w:uiPriority w:val="99"/>
    <w:qFormat/>
    <w:rsid w:val="0042308F"/>
    <w:rPr>
      <w:vertAlign w:val="superscript"/>
    </w:rPr>
  </w:style>
  <w:style w:type="paragraph" w:styleId="FootnoteText">
    <w:name w:val="footnote text"/>
    <w:aliases w:val="fn,Footnote Text Char1,Footnote Text Char Char,FOOTNOTES,single space,ALTS FOOTNOTE,Fodnotetekst Tegn,Footnote Text Char Char Char Char Char Char,ADB,WB-Fußnotentext,Footnote,Fußnote,WB-Fuﬂnotentext,Fuﬂnote,footnote text,Footnote Text 1,f"/>
    <w:basedOn w:val="Normal"/>
    <w:link w:val="FootnoteTextChar2"/>
    <w:uiPriority w:val="99"/>
    <w:qFormat/>
    <w:rsid w:val="0042308F"/>
    <w:pPr>
      <w:spacing w:after="120" w:line="264" w:lineRule="auto"/>
    </w:pPr>
    <w:rPr>
      <w:rFonts w:ascii="Times New Roman" w:eastAsia="SimSun" w:hAnsi="Times New Roman" w:cs="Times New Roman"/>
      <w:sz w:val="20"/>
      <w:szCs w:val="20"/>
    </w:rPr>
  </w:style>
  <w:style w:type="character" w:customStyle="1" w:styleId="FootnoteTextChar">
    <w:name w:val="Footnote Text Char"/>
    <w:aliases w:val="Footnote Text Blue Char,Footnote Text1 Char,Char Char,footnote text Char,Footnote Text Char Char Char Char,Footnote Text Char Char Char1,ft Char,Tegn1 Char1,Tegn1 Char Char, Ch Char, Char Char, Char Char Char Char, Char1 Char Char1"/>
    <w:basedOn w:val="DefaultParagraphFont"/>
    <w:uiPriority w:val="99"/>
    <w:rsid w:val="0042308F"/>
    <w:rPr>
      <w:rFonts w:asciiTheme="minorHAnsi" w:hAnsiTheme="minorHAnsi"/>
      <w:sz w:val="20"/>
      <w:szCs w:val="20"/>
      <w:lang w:val="hr-HR"/>
    </w:rPr>
  </w:style>
  <w:style w:type="character" w:customStyle="1" w:styleId="FootnoteTextChar2">
    <w:name w:val="Footnote Text Char2"/>
    <w:aliases w:val="fn Char,Footnote Text Char1 Char,Footnote Text Char Char Char,FOOTNOTES Char,single space Char,ALTS FOOTNOTE Char,Fodnotetekst Tegn Char,Footnote Text Char Char Char Char Char Char Char,ADB Char,WB-Fußnotentext Char,Footnote Char"/>
    <w:link w:val="FootnoteText"/>
    <w:uiPriority w:val="99"/>
    <w:locked/>
    <w:rsid w:val="0042308F"/>
    <w:rPr>
      <w:rFonts w:ascii="Times New Roman" w:eastAsia="SimSun" w:hAnsi="Times New Roman" w:cs="Times New Roman"/>
      <w:sz w:val="20"/>
      <w:szCs w:val="20"/>
      <w:lang w:val="hr-HR"/>
    </w:rPr>
  </w:style>
  <w:style w:type="table" w:customStyle="1" w:styleId="GridTable4-Accent11">
    <w:name w:val="Grid Table 4 - Accent 11"/>
    <w:basedOn w:val="TableNormal"/>
    <w:uiPriority w:val="49"/>
    <w:rsid w:val="0042308F"/>
    <w:pPr>
      <w:spacing w:after="0" w:line="240" w:lineRule="auto"/>
    </w:pPr>
    <w:rPr>
      <w:rFonts w:asciiTheme="minorHAnsi" w:hAnsiTheme="minorHAnsi"/>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ragraphNumbering">
    <w:name w:val="Paragraph Numbering"/>
    <w:basedOn w:val="Normal"/>
    <w:link w:val="ParagraphNumberingChar"/>
    <w:uiPriority w:val="1"/>
    <w:qFormat/>
    <w:rsid w:val="0042308F"/>
    <w:pPr>
      <w:numPr>
        <w:numId w:val="3"/>
      </w:numPr>
      <w:spacing w:after="240" w:line="264" w:lineRule="auto"/>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locked/>
    <w:rsid w:val="0042308F"/>
    <w:rPr>
      <w:rFonts w:ascii="Times New Roman" w:eastAsia="SimSun" w:hAnsi="Times New Roman" w:cs="Times New Roman"/>
      <w:sz w:val="24"/>
      <w:szCs w:val="24"/>
      <w:lang w:val="hr-HR"/>
    </w:rPr>
  </w:style>
  <w:style w:type="table" w:customStyle="1" w:styleId="GridTable5Dark-Accent11">
    <w:name w:val="Grid Table 5 Dark - Accent 11"/>
    <w:basedOn w:val="TableNormal"/>
    <w:uiPriority w:val="50"/>
    <w:rsid w:val="0042308F"/>
    <w:pPr>
      <w:spacing w:after="0" w:line="240" w:lineRule="auto"/>
    </w:pPr>
    <w:rPr>
      <w:rFonts w:asciiTheme="minorHAnsi" w:hAnsiTheme="minorHAns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DeMPAHeading2">
    <w:name w:val="DeMPA Heading 2"/>
    <w:basedOn w:val="Heading2"/>
    <w:qFormat/>
    <w:rsid w:val="0042308F"/>
    <w:pPr>
      <w:spacing w:before="480" w:after="200" w:line="240" w:lineRule="auto"/>
      <w:jc w:val="both"/>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423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08F"/>
    <w:rPr>
      <w:rFonts w:asciiTheme="minorHAnsi" w:hAnsiTheme="minorHAnsi"/>
      <w:lang w:val="hr-HR"/>
    </w:rPr>
  </w:style>
  <w:style w:type="paragraph" w:styleId="Footer">
    <w:name w:val="footer"/>
    <w:basedOn w:val="Normal"/>
    <w:link w:val="FooterChar"/>
    <w:uiPriority w:val="99"/>
    <w:unhideWhenUsed/>
    <w:rsid w:val="00423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08F"/>
    <w:rPr>
      <w:rFonts w:asciiTheme="minorHAnsi" w:hAnsiTheme="minorHAnsi"/>
      <w:lang w:val="hr-HR"/>
    </w:rPr>
  </w:style>
  <w:style w:type="paragraph" w:styleId="Caption">
    <w:name w:val="caption"/>
    <w:basedOn w:val="Normal"/>
    <w:next w:val="Normal"/>
    <w:uiPriority w:val="35"/>
    <w:unhideWhenUsed/>
    <w:qFormat/>
    <w:rsid w:val="0042308F"/>
    <w:pPr>
      <w:spacing w:line="240" w:lineRule="auto"/>
    </w:pPr>
    <w:rPr>
      <w:b/>
      <w:bCs/>
      <w:color w:val="5B9BD5" w:themeColor="accent1"/>
      <w:sz w:val="18"/>
      <w:szCs w:val="18"/>
    </w:rPr>
  </w:style>
  <w:style w:type="paragraph" w:styleId="ListParagraph">
    <w:name w:val="List Paragraph"/>
    <w:basedOn w:val="Normal"/>
    <w:link w:val="ListParagraphChar"/>
    <w:uiPriority w:val="34"/>
    <w:qFormat/>
    <w:rsid w:val="0042308F"/>
    <w:pPr>
      <w:ind w:left="720"/>
      <w:contextualSpacing/>
    </w:pPr>
  </w:style>
  <w:style w:type="table" w:styleId="LightShading-Accent1">
    <w:name w:val="Light Shading Accent 1"/>
    <w:basedOn w:val="TableNormal"/>
    <w:uiPriority w:val="60"/>
    <w:rsid w:val="0042308F"/>
    <w:pPr>
      <w:spacing w:after="0" w:line="240" w:lineRule="auto"/>
    </w:pPr>
    <w:rPr>
      <w:rFonts w:asciiTheme="minorHAnsi" w:hAnsiTheme="minorHAnsi"/>
      <w:color w:val="2E74B5" w:themeColor="accent1" w:themeShade="BF"/>
      <w:lang w:val="en-GB"/>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oSpacingChar">
    <w:name w:val="No Spacing Char"/>
    <w:link w:val="NoSpacing"/>
    <w:uiPriority w:val="1"/>
    <w:locked/>
    <w:rsid w:val="0042308F"/>
    <w:rPr>
      <w:rFonts w:asciiTheme="minorHAnsi" w:hAnsiTheme="minorHAnsi"/>
      <w:lang w:val="en-US"/>
    </w:rPr>
  </w:style>
  <w:style w:type="character" w:customStyle="1" w:styleId="ListParagraphChar">
    <w:name w:val="List Paragraph Char"/>
    <w:link w:val="ListParagraph"/>
    <w:uiPriority w:val="34"/>
    <w:locked/>
    <w:rsid w:val="0042308F"/>
    <w:rPr>
      <w:rFonts w:asciiTheme="minorHAnsi" w:hAnsiTheme="minorHAnsi"/>
      <w:lang w:val="hr-HR"/>
    </w:rPr>
  </w:style>
  <w:style w:type="character" w:styleId="FollowedHyperlink">
    <w:name w:val="FollowedHyperlink"/>
    <w:basedOn w:val="DefaultParagraphFont"/>
    <w:uiPriority w:val="99"/>
    <w:semiHidden/>
    <w:unhideWhenUsed/>
    <w:rsid w:val="0042308F"/>
    <w:rPr>
      <w:color w:val="954F72" w:themeColor="followedHyperlink"/>
      <w:u w:val="single"/>
    </w:rPr>
  </w:style>
  <w:style w:type="paragraph" w:customStyle="1" w:styleId="Default">
    <w:name w:val="Default"/>
    <w:rsid w:val="0042308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2308F"/>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styleId="CommentSubject">
    <w:name w:val="annotation subject"/>
    <w:basedOn w:val="CommentText"/>
    <w:next w:val="CommentText"/>
    <w:link w:val="CommentSubjectChar"/>
    <w:uiPriority w:val="99"/>
    <w:semiHidden/>
    <w:unhideWhenUsed/>
    <w:rsid w:val="0042308F"/>
    <w:rPr>
      <w:b/>
      <w:bCs/>
    </w:rPr>
  </w:style>
  <w:style w:type="character" w:customStyle="1" w:styleId="CommentSubjectChar">
    <w:name w:val="Comment Subject Char"/>
    <w:basedOn w:val="CommentTextChar"/>
    <w:link w:val="CommentSubject"/>
    <w:uiPriority w:val="99"/>
    <w:semiHidden/>
    <w:rsid w:val="0042308F"/>
    <w:rPr>
      <w:rFonts w:asciiTheme="minorHAnsi" w:hAnsiTheme="minorHAnsi"/>
      <w:b/>
      <w:bCs/>
      <w:sz w:val="20"/>
      <w:szCs w:val="20"/>
      <w:lang w:val="hr-HR"/>
    </w:rPr>
  </w:style>
  <w:style w:type="paragraph" w:styleId="EndnoteText">
    <w:name w:val="endnote text"/>
    <w:basedOn w:val="Normal"/>
    <w:link w:val="EndnoteTextChar"/>
    <w:uiPriority w:val="99"/>
    <w:semiHidden/>
    <w:unhideWhenUsed/>
    <w:rsid w:val="004230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308F"/>
    <w:rPr>
      <w:rFonts w:asciiTheme="minorHAnsi" w:hAnsiTheme="minorHAnsi"/>
      <w:sz w:val="20"/>
      <w:szCs w:val="20"/>
      <w:lang w:val="hr-HR"/>
    </w:rPr>
  </w:style>
  <w:style w:type="character" w:styleId="EndnoteReference">
    <w:name w:val="endnote reference"/>
    <w:basedOn w:val="DefaultParagraphFont"/>
    <w:uiPriority w:val="99"/>
    <w:semiHidden/>
    <w:unhideWhenUsed/>
    <w:rsid w:val="0042308F"/>
    <w:rPr>
      <w:vertAlign w:val="superscript"/>
    </w:rPr>
  </w:style>
  <w:style w:type="paragraph" w:styleId="Revision">
    <w:name w:val="Revision"/>
    <w:hidden/>
    <w:uiPriority w:val="99"/>
    <w:semiHidden/>
    <w:rsid w:val="0042308F"/>
    <w:pPr>
      <w:spacing w:after="0" w:line="240" w:lineRule="auto"/>
    </w:pPr>
    <w:rPr>
      <w:rFonts w:asciiTheme="minorHAnsi" w:hAnsiTheme="minorHAnsi"/>
      <w:lang w:val="hr-BA"/>
    </w:rPr>
  </w:style>
  <w:style w:type="table" w:styleId="GridTable4-Accent3">
    <w:name w:val="Grid Table 4 Accent 3"/>
    <w:basedOn w:val="TableNormal"/>
    <w:uiPriority w:val="49"/>
    <w:rsid w:val="0042308F"/>
    <w:pPr>
      <w:spacing w:after="0"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51">
    <w:name w:val="List Table 6 Colorful - Accent 51"/>
    <w:basedOn w:val="TableNormal"/>
    <w:uiPriority w:val="51"/>
    <w:rsid w:val="0042308F"/>
    <w:pPr>
      <w:spacing w:after="0" w:line="240" w:lineRule="auto"/>
    </w:pPr>
    <w:rPr>
      <w:rFonts w:asciiTheme="minorHAnsi" w:hAnsiTheme="minorHAnsi"/>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59"/>
    <w:rsid w:val="0042308F"/>
    <w:pPr>
      <w:spacing w:after="0" w:line="240" w:lineRule="auto"/>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2308F"/>
    <w:rPr>
      <w:b/>
      <w:bCs/>
    </w:rPr>
  </w:style>
  <w:style w:type="paragraph" w:customStyle="1" w:styleId="BVIfnrZchnCharZchnCharCharCharChar">
    <w:name w:val="BVI fnr Zchn Char Zchn Char Char Char Char"/>
    <w:aliases w:val="BVI fnr Car Car Zchn Char Zchn Char Char Char Char,BVI fnr Car Zchn Char Zchn Char Char Char Char"/>
    <w:basedOn w:val="Normal"/>
    <w:link w:val="FootnoteReference"/>
    <w:uiPriority w:val="99"/>
    <w:rsid w:val="0042308F"/>
    <w:pPr>
      <w:spacing w:after="120" w:line="240" w:lineRule="exact"/>
    </w:pPr>
    <w:rPr>
      <w:rFonts w:ascii="Arial" w:hAnsi="Arial"/>
      <w:vertAlign w:val="superscript"/>
      <w:lang w:val="bs-Latn-BA"/>
    </w:rPr>
  </w:style>
  <w:style w:type="paragraph" w:styleId="IntenseQuote">
    <w:name w:val="Intense Quote"/>
    <w:basedOn w:val="Normal"/>
    <w:next w:val="Normal"/>
    <w:link w:val="IntenseQuoteChar"/>
    <w:uiPriority w:val="30"/>
    <w:qFormat/>
    <w:rsid w:val="0042308F"/>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2308F"/>
    <w:rPr>
      <w:rFonts w:asciiTheme="majorHAnsi" w:eastAsiaTheme="majorEastAsia" w:hAnsiTheme="majorHAnsi" w:cstheme="majorBidi"/>
      <w:color w:val="5B9BD5" w:themeColor="accent1"/>
      <w:sz w:val="28"/>
      <w:szCs w:val="28"/>
      <w:lang w:val="hr-HR"/>
    </w:rPr>
  </w:style>
  <w:style w:type="character" w:styleId="IntenseReference">
    <w:name w:val="Intense Reference"/>
    <w:basedOn w:val="DefaultParagraphFont"/>
    <w:uiPriority w:val="32"/>
    <w:qFormat/>
    <w:rsid w:val="0042308F"/>
    <w:rPr>
      <w:b/>
      <w:bCs/>
      <w:smallCaps/>
      <w:spacing w:val="5"/>
      <w:u w:val="single"/>
    </w:rPr>
  </w:style>
  <w:style w:type="character" w:styleId="Emphasis">
    <w:name w:val="Emphasis"/>
    <w:basedOn w:val="DefaultParagraphFont"/>
    <w:uiPriority w:val="20"/>
    <w:rsid w:val="0042308F"/>
    <w:rPr>
      <w:i/>
      <w:iCs/>
    </w:rPr>
  </w:style>
  <w:style w:type="character" w:styleId="SubtleEmphasis">
    <w:name w:val="Subtle Emphasis"/>
    <w:basedOn w:val="DefaultParagraphFont"/>
    <w:uiPriority w:val="19"/>
    <w:qFormat/>
    <w:rsid w:val="0042308F"/>
    <w:rPr>
      <w:i/>
      <w:iCs/>
      <w:color w:val="404040" w:themeColor="text1" w:themeTint="BF"/>
    </w:rPr>
  </w:style>
  <w:style w:type="table" w:customStyle="1" w:styleId="GridTable4-Accent113">
    <w:name w:val="Grid Table 4 - Accent 113"/>
    <w:basedOn w:val="TableNormal"/>
    <w:uiPriority w:val="49"/>
    <w:rsid w:val="0042308F"/>
    <w:pPr>
      <w:spacing w:after="0" w:line="240" w:lineRule="auto"/>
    </w:pPr>
    <w:rPr>
      <w:rFonts w:asciiTheme="minorHAnsi" w:hAnsi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
    <w:name w:val="Grid Table 4 - Accent 111"/>
    <w:basedOn w:val="TableNormal"/>
    <w:uiPriority w:val="49"/>
    <w:rsid w:val="0096172C"/>
    <w:pPr>
      <w:spacing w:after="0" w:line="240" w:lineRule="auto"/>
    </w:pPr>
    <w:rPr>
      <w:rFonts w:ascii="Calibri" w:hAnsi="Calibri"/>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1.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oleObject" Target="file:///D:\I.LJ\20.%20Informacija%20o%20vanjskom%20i%20unutarnjem%20dugu\Inofrmacija%20o%20vanjskom%20i%20unutarnjem%20dugu%202023\Book1%20Potrebno%20promijeniti%20podatke%20za%2031.12.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I.LJ\13.%20MTDS%20FBiH\MTDS%202024-2026\MTDSAT%20%202024_2026%20Finalno.XLSM"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I.LJ\13.%20MTDS%20FBiH\MTDS%202024-2026\MTDSAT%20%202024_2026%20Finalno.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I.LJ\13.%20MTDS%20FBiH\MTDS%202024-2026\Grafikoni%20i%20tabele%20MTDS%202024%202026.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I.LJ\10.%20BILTEN\2023\Q4%202023\Novi%20Grafikoni%20Q4%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'Graf1.Stanje duga-kreditorima'!$AE$31</c:f>
              <c:strCache>
                <c:ptCount val="1"/>
                <c:pt idx="0">
                  <c:v>KM</c:v>
                </c:pt>
              </c:strCache>
            </c:strRef>
          </c:tx>
          <c:spPr>
            <a:pattFill prst="wdUpDiag">
              <a:fgClr>
                <a:schemeClr val="tx1"/>
              </a:fgClr>
              <a:bgClr>
                <a:schemeClr val="bg1"/>
              </a:bgClr>
            </a:pattFill>
            <a:ln>
              <a:solidFill>
                <a:schemeClr val="tx1"/>
              </a:solidFill>
            </a:ln>
            <a:effectLst/>
          </c:spPr>
          <c:invertIfNegative val="0"/>
          <c:cat>
            <c:strRef>
              <c:f>'Graf1.Stanje duga-kreditorima'!$AD$32:$AD$44</c:f>
              <c:strCache>
                <c:ptCount val="13"/>
                <c:pt idx="0">
                  <c:v>Europska Investicijska banka</c:v>
                </c:pt>
                <c:pt idx="1">
                  <c:v>EBRD </c:v>
                </c:pt>
                <c:pt idx="2">
                  <c:v>Svjetska banka (WB IDA) </c:v>
                </c:pt>
                <c:pt idx="3">
                  <c:v>Svjetska banka (WB IBRD)</c:v>
                </c:pt>
                <c:pt idx="4">
                  <c:v>Međunarodni monetarni fond</c:v>
                </c:pt>
                <c:pt idx="5">
                  <c:v>Pariški klub</c:v>
                </c:pt>
                <c:pt idx="6">
                  <c:v>OPEC (OFID)  </c:v>
                </c:pt>
                <c:pt idx="7">
                  <c:v>Europska Komisija</c:v>
                </c:pt>
                <c:pt idx="8">
                  <c:v>KfW </c:v>
                </c:pt>
                <c:pt idx="9">
                  <c:v>Saudijski razvojni fond </c:v>
                </c:pt>
                <c:pt idx="10">
                  <c:v>Kuvajtski fond za Arapski ekonomski razvoj</c:v>
                </c:pt>
                <c:pt idx="11">
                  <c:v>Razvojna banka Vijeća Europe (CEB)</c:v>
                </c:pt>
                <c:pt idx="12">
                  <c:v>Ostali kreditori</c:v>
                </c:pt>
              </c:strCache>
            </c:strRef>
          </c:cat>
          <c:val>
            <c:numRef>
              <c:f>'Graf1.Stanje duga-kreditorima'!$AE$32:$AE$44</c:f>
              <c:numCache>
                <c:formatCode>#,##0.00</c:formatCode>
                <c:ptCount val="13"/>
                <c:pt idx="0">
                  <c:v>1353.7881937961511</c:v>
                </c:pt>
                <c:pt idx="1">
                  <c:v>714.46566681307991</c:v>
                </c:pt>
                <c:pt idx="2">
                  <c:v>713.89666332994352</c:v>
                </c:pt>
                <c:pt idx="3">
                  <c:v>692.476067621477</c:v>
                </c:pt>
                <c:pt idx="4">
                  <c:v>417.12261939068719</c:v>
                </c:pt>
                <c:pt idx="5">
                  <c:v>299.86837778197213</c:v>
                </c:pt>
                <c:pt idx="6">
                  <c:v>208.35645358396241</c:v>
                </c:pt>
                <c:pt idx="7">
                  <c:v>150.35443125</c:v>
                </c:pt>
                <c:pt idx="8">
                  <c:v>126.58142766570889</c:v>
                </c:pt>
                <c:pt idx="9">
                  <c:v>108.69092705829999</c:v>
                </c:pt>
                <c:pt idx="10">
                  <c:v>99.586279774800005</c:v>
                </c:pt>
                <c:pt idx="11">
                  <c:v>91.949122838604765</c:v>
                </c:pt>
                <c:pt idx="12">
                  <c:v>189.52950909531145</c:v>
                </c:pt>
              </c:numCache>
            </c:numRef>
          </c:val>
          <c:extLst>
            <c:ext xmlns:c16="http://schemas.microsoft.com/office/drawing/2014/chart" uri="{C3380CC4-5D6E-409C-BE32-E72D297353CC}">
              <c16:uniqueId val="{00000000-F9A5-4969-92FE-4BB9368BDAA4}"/>
            </c:ext>
          </c:extLst>
        </c:ser>
        <c:dLbls>
          <c:showLegendKey val="0"/>
          <c:showVal val="0"/>
          <c:showCatName val="0"/>
          <c:showSerName val="0"/>
          <c:showPercent val="0"/>
          <c:showBubbleSize val="0"/>
        </c:dLbls>
        <c:gapWidth val="182"/>
        <c:axId val="268888792"/>
        <c:axId val="268051824"/>
      </c:barChart>
      <c:catAx>
        <c:axId val="268888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crossAx val="268051824"/>
        <c:crosses val="autoZero"/>
        <c:auto val="1"/>
        <c:lblAlgn val="ctr"/>
        <c:lblOffset val="100"/>
        <c:noMultiLvlLbl val="0"/>
      </c:catAx>
      <c:valAx>
        <c:axId val="2680518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68888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'Slika 8.'!$H$16</c:f>
              <c:strCache>
                <c:ptCount val="1"/>
                <c:pt idx="0">
                  <c:v>Trezorski zapisi</c:v>
                </c:pt>
              </c:strCache>
            </c:strRef>
          </c:tx>
          <c:spPr>
            <a:pattFill prst="wdUpDiag">
              <a:fgClr>
                <a:schemeClr val="accent1"/>
              </a:fgClr>
              <a:bgClr>
                <a:schemeClr val="bg1"/>
              </a:bgClr>
            </a:pattFill>
            <a:ln>
              <a:solidFill>
                <a:schemeClr val="accent1"/>
              </a:solidFill>
            </a:ln>
            <a:effectLst/>
          </c:spPr>
          <c:invertIfNegative val="0"/>
          <c:cat>
            <c:numRef>
              <c:f>'Slika 8.'!$G$21:$G$27</c:f>
              <c:numCache>
                <c:formatCode>General</c:formatCode>
                <c:ptCount val="7"/>
                <c:pt idx="0">
                  <c:v>2017</c:v>
                </c:pt>
                <c:pt idx="1">
                  <c:v>2018</c:v>
                </c:pt>
                <c:pt idx="2">
                  <c:v>2019</c:v>
                </c:pt>
                <c:pt idx="3">
                  <c:v>2020</c:v>
                </c:pt>
                <c:pt idx="4">
                  <c:v>2021</c:v>
                </c:pt>
                <c:pt idx="5">
                  <c:v>2022</c:v>
                </c:pt>
                <c:pt idx="6">
                  <c:v>2023</c:v>
                </c:pt>
              </c:numCache>
            </c:numRef>
          </c:cat>
          <c:val>
            <c:numRef>
              <c:f>'Slika 8.'!$H$21:$H$27</c:f>
              <c:numCache>
                <c:formatCode>General</c:formatCode>
                <c:ptCount val="7"/>
                <c:pt idx="0">
                  <c:v>100</c:v>
                </c:pt>
                <c:pt idx="1">
                  <c:v>40</c:v>
                </c:pt>
                <c:pt idx="2">
                  <c:v>20</c:v>
                </c:pt>
                <c:pt idx="3">
                  <c:v>100</c:v>
                </c:pt>
                <c:pt idx="4">
                  <c:v>50</c:v>
                </c:pt>
                <c:pt idx="5">
                  <c:v>50</c:v>
                </c:pt>
                <c:pt idx="6" formatCode="0.00">
                  <c:v>100</c:v>
                </c:pt>
              </c:numCache>
            </c:numRef>
          </c:val>
          <c:extLst>
            <c:ext xmlns:c16="http://schemas.microsoft.com/office/drawing/2014/chart" uri="{C3380CC4-5D6E-409C-BE32-E72D297353CC}">
              <c16:uniqueId val="{00000000-4374-4A26-83E2-F54BD8AA8611}"/>
            </c:ext>
          </c:extLst>
        </c:ser>
        <c:ser>
          <c:idx val="1"/>
          <c:order val="1"/>
          <c:tx>
            <c:strRef>
              <c:f>'Slika 8.'!$I$16</c:f>
              <c:strCache>
                <c:ptCount val="1"/>
                <c:pt idx="0">
                  <c:v>Trezorske obveznice</c:v>
                </c:pt>
              </c:strCache>
            </c:strRef>
          </c:tx>
          <c:spPr>
            <a:noFill/>
            <a:ln>
              <a:solidFill>
                <a:schemeClr val="accent1"/>
              </a:solidFill>
            </a:ln>
            <a:effectLst/>
          </c:spPr>
          <c:invertIfNegative val="0"/>
          <c:cat>
            <c:numRef>
              <c:f>'Slika 8.'!$G$21:$G$27</c:f>
              <c:numCache>
                <c:formatCode>General</c:formatCode>
                <c:ptCount val="7"/>
                <c:pt idx="0">
                  <c:v>2017</c:v>
                </c:pt>
                <c:pt idx="1">
                  <c:v>2018</c:v>
                </c:pt>
                <c:pt idx="2">
                  <c:v>2019</c:v>
                </c:pt>
                <c:pt idx="3">
                  <c:v>2020</c:v>
                </c:pt>
                <c:pt idx="4">
                  <c:v>2021</c:v>
                </c:pt>
                <c:pt idx="5">
                  <c:v>2022</c:v>
                </c:pt>
                <c:pt idx="6">
                  <c:v>2023</c:v>
                </c:pt>
              </c:numCache>
            </c:numRef>
          </c:cat>
          <c:val>
            <c:numRef>
              <c:f>'Slika 8.'!$I$21:$I$27</c:f>
              <c:numCache>
                <c:formatCode>General</c:formatCode>
                <c:ptCount val="7"/>
                <c:pt idx="0">
                  <c:v>530</c:v>
                </c:pt>
                <c:pt idx="1">
                  <c:v>430</c:v>
                </c:pt>
                <c:pt idx="2">
                  <c:v>540</c:v>
                </c:pt>
                <c:pt idx="3">
                  <c:v>640</c:v>
                </c:pt>
                <c:pt idx="4">
                  <c:v>630</c:v>
                </c:pt>
                <c:pt idx="5">
                  <c:v>590</c:v>
                </c:pt>
                <c:pt idx="6">
                  <c:v>820</c:v>
                </c:pt>
              </c:numCache>
            </c:numRef>
          </c:val>
          <c:extLst>
            <c:ext xmlns:c16="http://schemas.microsoft.com/office/drawing/2014/chart" uri="{C3380CC4-5D6E-409C-BE32-E72D297353CC}">
              <c16:uniqueId val="{00000001-4374-4A26-83E2-F54BD8AA8611}"/>
            </c:ext>
          </c:extLst>
        </c:ser>
        <c:dLbls>
          <c:showLegendKey val="0"/>
          <c:showVal val="0"/>
          <c:showCatName val="0"/>
          <c:showSerName val="0"/>
          <c:showPercent val="0"/>
          <c:showBubbleSize val="0"/>
        </c:dLbls>
        <c:gapWidth val="150"/>
        <c:overlap val="100"/>
        <c:axId val="256663848"/>
        <c:axId val="257145264"/>
      </c:barChart>
      <c:catAx>
        <c:axId val="25666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7145264"/>
        <c:crosses val="autoZero"/>
        <c:auto val="1"/>
        <c:lblAlgn val="ctr"/>
        <c:lblOffset val="100"/>
        <c:noMultiLvlLbl val="0"/>
      </c:catAx>
      <c:valAx>
        <c:axId val="257145264"/>
        <c:scaling>
          <c:orientation val="minMax"/>
          <c:max val="9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6663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1491450492489"/>
          <c:y val="0.16368130858519822"/>
          <c:w val="0.80062816428336014"/>
          <c:h val="0.65414825319460757"/>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Tables!$C$198</c:f>
              <c:numCache>
                <c:formatCode>0.0000_);[Red]\(0.0000\)</c:formatCode>
                <c:ptCount val="1"/>
                <c:pt idx="0">
                  <c:v>0.20415762419750788</c:v>
                </c:pt>
              </c:numCache>
            </c:numRef>
          </c:xVal>
          <c:yVal>
            <c:numRef>
              <c:f>Tables!$C$193</c:f>
              <c:numCache>
                <c:formatCode>0.0000_);[Red]\(0.0000\)</c:formatCode>
                <c:ptCount val="1"/>
                <c:pt idx="0">
                  <c:v>0.41544588104230024</c:v>
                </c:pt>
              </c:numCache>
            </c:numRef>
          </c:yVal>
          <c:smooth val="0"/>
          <c:extLst>
            <c:ext xmlns:c16="http://schemas.microsoft.com/office/drawing/2014/chart" uri="{C3380CC4-5D6E-409C-BE32-E72D297353CC}">
              <c16:uniqueId val="{00000000-E624-4D2A-8507-18FF9181505D}"/>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Tables!$D$198</c:f>
              <c:numCache>
                <c:formatCode>0.0000_);[Red]\(0.0000\)</c:formatCode>
                <c:ptCount val="1"/>
                <c:pt idx="0">
                  <c:v>0.21196234248542989</c:v>
                </c:pt>
              </c:numCache>
            </c:numRef>
          </c:xVal>
          <c:yVal>
            <c:numRef>
              <c:f>Tables!$D$193</c:f>
              <c:numCache>
                <c:formatCode>0.0000_);[Red]\(0.0000\)</c:formatCode>
                <c:ptCount val="1"/>
                <c:pt idx="0">
                  <c:v>0.41643259381440523</c:v>
                </c:pt>
              </c:numCache>
            </c:numRef>
          </c:yVal>
          <c:smooth val="0"/>
          <c:extLst>
            <c:ext xmlns:c16="http://schemas.microsoft.com/office/drawing/2014/chart" uri="{C3380CC4-5D6E-409C-BE32-E72D297353CC}">
              <c16:uniqueId val="{00000001-E624-4D2A-8507-18FF9181505D}"/>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Tables!$E$198</c:f>
              <c:numCache>
                <c:formatCode>0.0000_);[Red]\(0.0000\)</c:formatCode>
                <c:ptCount val="1"/>
                <c:pt idx="0">
                  <c:v>0.1992777975033404</c:v>
                </c:pt>
              </c:numCache>
            </c:numRef>
          </c:xVal>
          <c:yVal>
            <c:numRef>
              <c:f>Tables!$E$193</c:f>
              <c:numCache>
                <c:formatCode>0.0000_);[Red]\(0.0000\)</c:formatCode>
                <c:ptCount val="1"/>
                <c:pt idx="0">
                  <c:v>0.41445773998276125</c:v>
                </c:pt>
              </c:numCache>
            </c:numRef>
          </c:yVal>
          <c:smooth val="0"/>
          <c:extLst>
            <c:ext xmlns:c16="http://schemas.microsoft.com/office/drawing/2014/chart" uri="{C3380CC4-5D6E-409C-BE32-E72D297353CC}">
              <c16:uniqueId val="{00000002-E624-4D2A-8507-18FF9181505D}"/>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dLblPos val="l"/>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Tables!$F$198</c:f>
              <c:numCache>
                <c:formatCode>0.0000_);[Red]\(0.0000\)</c:formatCode>
                <c:ptCount val="1"/>
                <c:pt idx="0">
                  <c:v>0.20717889448210014</c:v>
                </c:pt>
              </c:numCache>
            </c:numRef>
          </c:xVal>
          <c:yVal>
            <c:numRef>
              <c:f>Tables!$F$193</c:f>
              <c:numCache>
                <c:formatCode>0.0000_);[Red]\(0.0000\)</c:formatCode>
                <c:ptCount val="1"/>
                <c:pt idx="0">
                  <c:v>0.46050648031048635</c:v>
                </c:pt>
              </c:numCache>
            </c:numRef>
          </c:yVal>
          <c:smooth val="0"/>
          <c:extLst>
            <c:ext xmlns:c16="http://schemas.microsoft.com/office/drawing/2014/chart" uri="{C3380CC4-5D6E-409C-BE32-E72D297353CC}">
              <c16:uniqueId val="{00000003-E624-4D2A-8507-18FF9181505D}"/>
            </c:ext>
          </c:extLst>
        </c:ser>
        <c:dLbls>
          <c:showLegendKey val="0"/>
          <c:showVal val="0"/>
          <c:showCatName val="0"/>
          <c:showSerName val="0"/>
          <c:showPercent val="0"/>
          <c:showBubbleSize val="0"/>
        </c:dLbls>
        <c:axId val="295185216"/>
        <c:axId val="295184824"/>
      </c:scatterChart>
      <c:valAx>
        <c:axId val="295185216"/>
        <c:scaling>
          <c:orientation val="minMax"/>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en-US" b="0">
                    <a:latin typeface="Arial Narrow" pitchFamily="34" charset="0"/>
                  </a:rPr>
                  <a:t>Risk </a:t>
                </a:r>
              </a:p>
            </c:rich>
          </c:tx>
          <c:layout>
            <c:manualLayout>
              <c:xMode val="edge"/>
              <c:yMode val="edge"/>
              <c:x val="0.48434458278527748"/>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100" b="0" i="0" u="none" strike="noStrike" baseline="0">
                <a:solidFill>
                  <a:srgbClr val="000000"/>
                </a:solidFill>
                <a:latin typeface="Segoe UI"/>
                <a:ea typeface="Segoe UI"/>
                <a:cs typeface="Segoe UI"/>
              </a:defRPr>
            </a:pPr>
            <a:endParaRPr lang="sr-Latn-RS"/>
          </a:p>
        </c:txPr>
        <c:crossAx val="295184824"/>
        <c:crosses val="autoZero"/>
        <c:crossBetween val="midCat"/>
      </c:valAx>
      <c:valAx>
        <c:axId val="295184824"/>
        <c:scaling>
          <c:orientation val="minMax"/>
        </c:scaling>
        <c:delete val="0"/>
        <c:axPos val="l"/>
        <c:title>
          <c:tx>
            <c:rich>
              <a:bodyPr/>
              <a:lstStyle/>
              <a:p>
                <a:pPr>
                  <a:defRPr sz="1050" b="1" i="0" u="none" strike="noStrike" baseline="0">
                    <a:solidFill>
                      <a:srgbClr val="000000"/>
                    </a:solidFill>
                    <a:latin typeface="Calibri"/>
                    <a:ea typeface="Calibri"/>
                    <a:cs typeface="Calibri"/>
                  </a:defRPr>
                </a:pPr>
                <a:r>
                  <a:rPr lang="en-US" b="0"/>
                  <a:t>Cost</a:t>
                </a:r>
              </a:p>
            </c:rich>
          </c:tx>
          <c:layout>
            <c:manualLayout>
              <c:xMode val="edge"/>
              <c:yMode val="edge"/>
              <c:x val="3.2442626593872652E-3"/>
              <c:y val="0.39230262883806438"/>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sr-Latn-RS"/>
          </a:p>
        </c:txPr>
        <c:crossAx val="295185216"/>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Tables!$C$187</c:f>
              <c:numCache>
                <c:formatCode>0.0000_);[Red]\(0.0000\)</c:formatCode>
                <c:ptCount val="1"/>
                <c:pt idx="0">
                  <c:v>3.125525889939091</c:v>
                </c:pt>
              </c:numCache>
            </c:numRef>
          </c:xVal>
          <c:yVal>
            <c:numRef>
              <c:f>Tables!$C$182</c:f>
              <c:numCache>
                <c:formatCode>0.0000_);[Red]\(0.0000\)</c:formatCode>
                <c:ptCount val="1"/>
                <c:pt idx="0">
                  <c:v>12.294494120360744</c:v>
                </c:pt>
              </c:numCache>
            </c:numRef>
          </c:yVal>
          <c:smooth val="0"/>
          <c:extLst>
            <c:ext xmlns:c16="http://schemas.microsoft.com/office/drawing/2014/chart" uri="{C3380CC4-5D6E-409C-BE32-E72D297353CC}">
              <c16:uniqueId val="{00000000-5363-446B-8AE7-3513FB61EBE8}"/>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Tables!$D$187</c:f>
              <c:numCache>
                <c:formatCode>0.0000_);[Red]\(0.0000\)</c:formatCode>
                <c:ptCount val="1"/>
                <c:pt idx="0">
                  <c:v>3.1258899152226309</c:v>
                </c:pt>
              </c:numCache>
            </c:numRef>
          </c:xVal>
          <c:yVal>
            <c:numRef>
              <c:f>Tables!$D$182</c:f>
              <c:numCache>
                <c:formatCode>0.0000_);[Red]\(0.0000\)</c:formatCode>
                <c:ptCount val="1"/>
                <c:pt idx="0">
                  <c:v>12.295801761055737</c:v>
                </c:pt>
              </c:numCache>
            </c:numRef>
          </c:yVal>
          <c:smooth val="0"/>
          <c:extLst>
            <c:ext xmlns:c16="http://schemas.microsoft.com/office/drawing/2014/chart" uri="{C3380CC4-5D6E-409C-BE32-E72D297353CC}">
              <c16:uniqueId val="{00000001-5363-446B-8AE7-3513FB61EBE8}"/>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Tables!$E$187</c:f>
              <c:numCache>
                <c:formatCode>0.0000_);[Red]\(0.0000\)</c:formatCode>
                <c:ptCount val="1"/>
                <c:pt idx="0">
                  <c:v>3.1250295029543302</c:v>
                </c:pt>
              </c:numCache>
            </c:numRef>
          </c:xVal>
          <c:yVal>
            <c:numRef>
              <c:f>Tables!$E$182</c:f>
              <c:numCache>
                <c:formatCode>0.0000_);[Red]\(0.0000\)</c:formatCode>
                <c:ptCount val="1"/>
                <c:pt idx="0">
                  <c:v>12.29281190911848</c:v>
                </c:pt>
              </c:numCache>
            </c:numRef>
          </c:yVal>
          <c:smooth val="0"/>
          <c:extLst>
            <c:ext xmlns:c16="http://schemas.microsoft.com/office/drawing/2014/chart" uri="{C3380CC4-5D6E-409C-BE32-E72D297353CC}">
              <c16:uniqueId val="{00000002-5363-446B-8AE7-3513FB61EBE8}"/>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dLblPos val="l"/>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Tables!$F$187</c:f>
              <c:numCache>
                <c:formatCode>0.0000_);[Red]\(0.0000\)</c:formatCode>
                <c:ptCount val="1"/>
                <c:pt idx="0">
                  <c:v>3.2926638814516789</c:v>
                </c:pt>
              </c:numCache>
            </c:numRef>
          </c:xVal>
          <c:yVal>
            <c:numRef>
              <c:f>Tables!$F$182</c:f>
              <c:numCache>
                <c:formatCode>0.0000_);[Red]\(0.0000\)</c:formatCode>
                <c:ptCount val="1"/>
                <c:pt idx="0">
                  <c:v>12.363542639402445</c:v>
                </c:pt>
              </c:numCache>
            </c:numRef>
          </c:yVal>
          <c:smooth val="0"/>
          <c:extLst>
            <c:ext xmlns:c16="http://schemas.microsoft.com/office/drawing/2014/chart" uri="{C3380CC4-5D6E-409C-BE32-E72D297353CC}">
              <c16:uniqueId val="{00000003-5363-446B-8AE7-3513FB61EBE8}"/>
            </c:ext>
          </c:extLst>
        </c:ser>
        <c:dLbls>
          <c:showLegendKey val="0"/>
          <c:showVal val="0"/>
          <c:showCatName val="0"/>
          <c:showSerName val="0"/>
          <c:showPercent val="0"/>
          <c:showBubbleSize val="0"/>
        </c:dLbls>
        <c:axId val="262883552"/>
        <c:axId val="295182080"/>
      </c:scatterChart>
      <c:valAx>
        <c:axId val="262883552"/>
        <c:scaling>
          <c:orientation val="minMax"/>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Risk </a:t>
                </a:r>
              </a:p>
            </c:rich>
          </c:tx>
          <c:layout>
            <c:manualLayout>
              <c:xMode val="edge"/>
              <c:yMode val="edge"/>
              <c:x val="0.48434458278527687"/>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sr-Latn-RS"/>
          </a:p>
        </c:txPr>
        <c:crossAx val="295182080"/>
        <c:crosses val="autoZero"/>
        <c:crossBetween val="midCat"/>
      </c:valAx>
      <c:valAx>
        <c:axId val="295182080"/>
        <c:scaling>
          <c:orientation val="minMax"/>
        </c:scaling>
        <c:delete val="0"/>
        <c:axPos val="l"/>
        <c:title>
          <c:tx>
            <c:rich>
              <a:bodyPr/>
              <a:lstStyle/>
              <a:p>
                <a:pPr>
                  <a:defRPr sz="105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Cost</a:t>
                </a:r>
              </a:p>
            </c:rich>
          </c:tx>
          <c:layout>
            <c:manualLayout>
              <c:xMode val="edge"/>
              <c:yMode val="edge"/>
              <c:x val="3.2442626593872652E-3"/>
              <c:y val="0.39230262883806355"/>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sr-Latn-RS"/>
          </a:p>
        </c:txPr>
        <c:crossAx val="262883552"/>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bs-Latn-BA" sz="900">
                <a:latin typeface="Arial" panose="020B0604020202020204" pitchFamily="34" charset="0"/>
                <a:cs typeface="Arial" panose="020B0604020202020204" pitchFamily="34" charset="0"/>
              </a:rPr>
              <a:t>Prije dekompozicije SDR-a</a:t>
            </a:r>
          </a:p>
        </c:rich>
      </c:tx>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26D-4E76-82DE-567316B59F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6D-4E76-82DE-567316B59F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26D-4E76-82DE-567316B59F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26D-4E76-82DE-567316B59FF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26D-4E76-82DE-567316B59FF6}"/>
              </c:ext>
            </c:extLst>
          </c:dPt>
          <c:dLbls>
            <c:dLbl>
              <c:idx val="0"/>
              <c:layout>
                <c:manualLayout>
                  <c:x val="7.3022101993243077E-2"/>
                  <c:y val="0.12669927671749237"/>
                </c:manualLayout>
              </c:layout>
              <c:tx>
                <c:rich>
                  <a:bodyPr/>
                  <a:lstStyle/>
                  <a:p>
                    <a:fld id="{788E4A2A-0EDA-4AFF-81CE-D86C4E3A9889}" type="CELLRANGE">
                      <a:rPr lang="en-US" baseline="0"/>
                      <a:pPr/>
                      <a:t>[CELLRANGE]</a:t>
                    </a:fld>
                    <a:r>
                      <a:rPr lang="en-US" baseline="0"/>
                      <a:t>; </a:t>
                    </a:r>
                    <a:fld id="{1A5A6AEC-8C21-4D57-B95C-2D998BC8145D}"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526D-4E76-82DE-567316B59FF6}"/>
                </c:ext>
              </c:extLst>
            </c:dLbl>
            <c:dLbl>
              <c:idx val="1"/>
              <c:layout>
                <c:manualLayout>
                  <c:x val="4.6755432832826363E-2"/>
                  <c:y val="5.0262548150019189E-2"/>
                </c:manualLayout>
              </c:layout>
              <c:tx>
                <c:rich>
                  <a:bodyPr/>
                  <a:lstStyle/>
                  <a:p>
                    <a:fld id="{C096B500-64F8-436B-B1FB-BDBE65641A35}" type="CELLRANGE">
                      <a:rPr lang="en-US" baseline="0"/>
                      <a:pPr/>
                      <a:t>[CELLRANGE]</a:t>
                    </a:fld>
                    <a:r>
                      <a:rPr lang="en-US" baseline="0"/>
                      <a:t>; </a:t>
                    </a:r>
                    <a:fld id="{77BCCDE3-8BFC-4F29-A963-391DFAE03507}"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526D-4E76-82DE-567316B59FF6}"/>
                </c:ext>
              </c:extLst>
            </c:dLbl>
            <c:dLbl>
              <c:idx val="2"/>
              <c:layout>
                <c:manualLayout>
                  <c:x val="-5.7871550336061159E-2"/>
                  <c:y val="-1.4765843967221555E-2"/>
                </c:manualLayout>
              </c:layout>
              <c:tx>
                <c:rich>
                  <a:bodyPr/>
                  <a:lstStyle/>
                  <a:p>
                    <a:fld id="{7EA7CA4E-3E41-415F-9431-BFAEFB9CF7F2}" type="CELLRANGE">
                      <a:rPr lang="en-US" baseline="0"/>
                      <a:pPr/>
                      <a:t>[CELLRANGE]</a:t>
                    </a:fld>
                    <a:r>
                      <a:rPr lang="en-US" baseline="0"/>
                      <a:t>; </a:t>
                    </a:r>
                    <a:fld id="{0E2646F4-68A2-46CE-A620-764853D0C54B}"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526D-4E76-82DE-567316B59FF6}"/>
                </c:ext>
              </c:extLst>
            </c:dLbl>
            <c:dLbl>
              <c:idx val="3"/>
              <c:layout>
                <c:manualLayout>
                  <c:x val="-0.17889913404529897"/>
                  <c:y val="1.1032365556402921E-2"/>
                </c:manualLayout>
              </c:layout>
              <c:tx>
                <c:rich>
                  <a:bodyPr/>
                  <a:lstStyle/>
                  <a:p>
                    <a:fld id="{5C543904-E37F-496D-9927-546A4BBCB3B6}" type="CELLRANGE">
                      <a:rPr lang="en-US" baseline="0"/>
                      <a:pPr/>
                      <a:t>[CELLRANGE]</a:t>
                    </a:fld>
                    <a:r>
                      <a:rPr lang="en-US" baseline="0"/>
                      <a:t>; </a:t>
                    </a:r>
                    <a:fld id="{C4023ED5-B87C-435D-A71B-00D52A243A1F}"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7-526D-4E76-82DE-567316B59FF6}"/>
                </c:ext>
              </c:extLst>
            </c:dLbl>
            <c:dLbl>
              <c:idx val="4"/>
              <c:layout>
                <c:manualLayout>
                  <c:x val="0.19743937211908111"/>
                  <c:y val="3.4031680648185479E-3"/>
                </c:manualLayout>
              </c:layout>
              <c:tx>
                <c:rich>
                  <a:bodyPr/>
                  <a:lstStyle/>
                  <a:p>
                    <a:fld id="{EE1EB755-2800-4961-A5A0-8C05E3A6AB73}" type="CELLRANGE">
                      <a:rPr lang="en-US" baseline="0"/>
                      <a:pPr/>
                      <a:t>[CELLRANGE]</a:t>
                    </a:fld>
                    <a:r>
                      <a:rPr lang="en-US" baseline="0"/>
                      <a:t>; </a:t>
                    </a:r>
                    <a:fld id="{91F6E74E-5C3F-4471-AE10-8C0454F412E1}"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9-526D-4E76-82DE-567316B59FF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val>
            <c:numRef>
              <c:f>'LOANS External &amp; Domestic'!$U$1431:$U$1435</c:f>
              <c:numCache>
                <c:formatCode>0.00%</c:formatCode>
                <c:ptCount val="5"/>
                <c:pt idx="0">
                  <c:v>0.20562869549290835</c:v>
                </c:pt>
                <c:pt idx="1">
                  <c:v>0.11526715708457662</c:v>
                </c:pt>
                <c:pt idx="2">
                  <c:v>0.67500538356002449</c:v>
                </c:pt>
                <c:pt idx="3">
                  <c:v>0</c:v>
                </c:pt>
                <c:pt idx="4">
                  <c:v>4.0987638624905513E-3</c:v>
                </c:pt>
              </c:numCache>
            </c:numRef>
          </c:val>
          <c:extLst>
            <c:ext xmlns:c15="http://schemas.microsoft.com/office/drawing/2012/chart" uri="{02D57815-91ED-43cb-92C2-25804820EDAC}">
              <c15:filteredCategoryTitle>
                <c15:cat>
                  <c:strRef>
                    <c:extLst>
                      <c:ext uri="{02D57815-91ED-43cb-92C2-25804820EDAC}">
                        <c15:formulaRef>
                          <c15:sqref>'LOANS External &amp; Domestic'!$T$1431:$T$1435</c15:sqref>
                        </c15:formulaRef>
                      </c:ext>
                    </c:extLst>
                    <c:strCache>
                      <c:ptCount val="5"/>
                      <c:pt idx="0">
                        <c:v>SDR</c:v>
                      </c:pt>
                      <c:pt idx="1">
                        <c:v>USD</c:v>
                      </c:pt>
                      <c:pt idx="2">
                        <c:v>EUR</c:v>
                      </c:pt>
                      <c:pt idx="3">
                        <c:v>GBP</c:v>
                      </c:pt>
                      <c:pt idx="4">
                        <c:v>JPY</c:v>
                      </c:pt>
                    </c:strCache>
                  </c:strRef>
                </c15:cat>
              </c15:filteredCategoryTitle>
            </c:ext>
            <c:ext xmlns:c15="http://schemas.microsoft.com/office/drawing/2012/chart" uri="{02D57815-91ED-43cb-92C2-25804820EDAC}">
              <c15:datalabelsRange>
                <c15:f>'LOANS External &amp; Domestic'!$T$1431:$T$1435</c15:f>
                <c15:dlblRangeCache>
                  <c:ptCount val="5"/>
                  <c:pt idx="0">
                    <c:v>SDR</c:v>
                  </c:pt>
                  <c:pt idx="1">
                    <c:v>USD</c:v>
                  </c:pt>
                  <c:pt idx="2">
                    <c:v>EUR</c:v>
                  </c:pt>
                  <c:pt idx="3">
                    <c:v>GBP</c:v>
                  </c:pt>
                  <c:pt idx="4">
                    <c:v>JPY</c:v>
                  </c:pt>
                </c15:dlblRangeCache>
              </c15:datalabelsRange>
            </c:ext>
            <c:ext xmlns:c16="http://schemas.microsoft.com/office/drawing/2014/chart" uri="{C3380CC4-5D6E-409C-BE32-E72D297353CC}">
              <c16:uniqueId val="{0000000A-526D-4E76-82DE-567316B59FF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Poslije dekompozicije SDR-a</a:t>
            </a:r>
          </a:p>
        </c:rich>
      </c:tx>
      <c:layout/>
      <c:overlay val="0"/>
      <c:spPr>
        <a:noFill/>
        <a:ln>
          <a:noFill/>
        </a:ln>
        <a:effectLst/>
      </c:spPr>
      <c:txPr>
        <a:bodyPr rot="0" spcFirstLastPara="1" vertOverflow="ellipsis" vert="horz" wrap="square" anchor="ctr" anchorCtr="1"/>
        <a:lstStyle/>
        <a:p>
          <a:pPr algn="ctr" rtl="0">
            <a:def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20-47F1-974B-68EEE238500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20-47F1-974B-68EEE238500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20-47F1-974B-68EEE238500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20-47F1-974B-68EEE238500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20-47F1-974B-68EEE2385002}"/>
              </c:ext>
            </c:extLst>
          </c:dPt>
          <c:dLbls>
            <c:dLbl>
              <c:idx val="0"/>
              <c:layout>
                <c:manualLayout>
                  <c:x val="0.1070944170956829"/>
                  <c:y val="6.573127310350857E-2"/>
                </c:manualLayout>
              </c:layout>
              <c:tx>
                <c:rich>
                  <a:bodyPr/>
                  <a:lstStyle/>
                  <a:p>
                    <a:fld id="{6E2FE0C1-CCF0-44CB-916D-229ACAABD744}" type="CELLRANGE">
                      <a:rPr lang="en-US" baseline="0"/>
                      <a:pPr/>
                      <a:t>[CELLRANGE]</a:t>
                    </a:fld>
                    <a:r>
                      <a:rPr lang="en-US" baseline="0"/>
                      <a:t>; </a:t>
                    </a:r>
                    <a:fld id="{2C250EE8-831A-4E83-BA63-84FF07B719B9}"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0B20-47F1-974B-68EEE2385002}"/>
                </c:ext>
              </c:extLst>
            </c:dLbl>
            <c:dLbl>
              <c:idx val="1"/>
              <c:layout>
                <c:manualLayout>
                  <c:x val="-0.10940928409053471"/>
                  <c:y val="-8.3819164800575136E-2"/>
                </c:manualLayout>
              </c:layout>
              <c:tx>
                <c:rich>
                  <a:bodyPr/>
                  <a:lstStyle/>
                  <a:p>
                    <a:fld id="{FB1E62AD-BC4F-4D5D-8325-731A50459A9A}" type="CELLRANGE">
                      <a:rPr lang="en-US" baseline="0"/>
                      <a:pPr/>
                      <a:t>[CELLRANGE]</a:t>
                    </a:fld>
                    <a:r>
                      <a:rPr lang="en-US" baseline="0"/>
                      <a:t>; </a:t>
                    </a:r>
                    <a:fld id="{90487D82-32DD-4836-AD6E-0573A56A711F}"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0B20-47F1-974B-68EEE2385002}"/>
                </c:ext>
              </c:extLst>
            </c:dLbl>
            <c:dLbl>
              <c:idx val="2"/>
              <c:layout>
                <c:manualLayout>
                  <c:x val="-0.15534751615638442"/>
                  <c:y val="7.868478192230903E-2"/>
                </c:manualLayout>
              </c:layout>
              <c:tx>
                <c:rich>
                  <a:bodyPr/>
                  <a:lstStyle/>
                  <a:p>
                    <a:fld id="{1D4882A7-7427-4264-8A79-8A5E75D1477E}" type="CELLRANGE">
                      <a:rPr lang="en-US" baseline="0"/>
                      <a:pPr/>
                      <a:t>[CELLRANGE]</a:t>
                    </a:fld>
                    <a:r>
                      <a:rPr lang="en-US" baseline="0"/>
                      <a:t>; </a:t>
                    </a:r>
                    <a:fld id="{F2A9251C-F78A-45DB-8331-860C24382696}"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0B20-47F1-974B-68EEE2385002}"/>
                </c:ext>
              </c:extLst>
            </c:dLbl>
            <c:dLbl>
              <c:idx val="3"/>
              <c:tx>
                <c:rich>
                  <a:bodyPr/>
                  <a:lstStyle/>
                  <a:p>
                    <a:fld id="{D8D7E61B-C41B-4452-AFC5-A927C599E245}" type="CELLRANGE">
                      <a:rPr lang="hr-HR"/>
                      <a:pPr/>
                      <a:t>[CELLRANGE]</a:t>
                    </a:fld>
                    <a:r>
                      <a:rPr lang="hr-HR" baseline="0"/>
                      <a:t>; </a:t>
                    </a:r>
                    <a:fld id="{D1955546-F57D-48B0-864F-2C9B7FB18B77}" type="PERCENTAGE">
                      <a:rPr lang="hr-HR" baseline="0"/>
                      <a:pPr/>
                      <a:t>[PERCENTAGE]</a:t>
                    </a:fld>
                    <a:endParaRPr lang="hr-HR" baseline="0"/>
                  </a:p>
                </c:rich>
              </c:tx>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B20-47F1-974B-68EEE2385002}"/>
                </c:ext>
              </c:extLst>
            </c:dLbl>
            <c:dLbl>
              <c:idx val="4"/>
              <c:tx>
                <c:rich>
                  <a:bodyPr/>
                  <a:lstStyle/>
                  <a:p>
                    <a:fld id="{3FCA3ECD-87A6-49DC-BAFA-6B41318C3041}" type="CELLRANGE">
                      <a:rPr lang="hr-HR"/>
                      <a:pPr/>
                      <a:t>[CELLRANGE]</a:t>
                    </a:fld>
                    <a:r>
                      <a:rPr lang="hr-HR" baseline="0"/>
                      <a:t>; </a:t>
                    </a:r>
                    <a:fld id="{90B41595-09E1-4A9F-8289-AE78E1F1D450}" type="PERCENTAGE">
                      <a:rPr lang="hr-HR" baseline="0"/>
                      <a:pPr/>
                      <a:t>[PERCENTAGE]</a:t>
                    </a:fld>
                    <a:endParaRPr lang="hr-HR" baseline="0"/>
                  </a:p>
                </c:rich>
              </c:tx>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B20-47F1-974B-68EEE238500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val>
            <c:numRef>
              <c:f>'LOANS External &amp; Domestic'!$T$1440:$T$1444</c:f>
              <c:numCache>
                <c:formatCode>#,##0.00</c:formatCode>
                <c:ptCount val="5"/>
                <c:pt idx="0">
                  <c:v>596854874.23265743</c:v>
                </c:pt>
                <c:pt idx="1">
                  <c:v>2146304848.707408</c:v>
                </c:pt>
                <c:pt idx="2">
                  <c:v>44657887.125749968</c:v>
                </c:pt>
                <c:pt idx="3">
                  <c:v>57522743.903347775</c:v>
                </c:pt>
                <c:pt idx="4">
                  <c:v>73709523.374221712</c:v>
                </c:pt>
              </c:numCache>
            </c:numRef>
          </c:val>
          <c:extLst>
            <c:ext xmlns:c15="http://schemas.microsoft.com/office/drawing/2012/chart" uri="{02D57815-91ED-43cb-92C2-25804820EDAC}">
              <c15:filteredCategoryTitle>
                <c15:cat>
                  <c:strRef>
                    <c:extLst>
                      <c:ext uri="{02D57815-91ED-43cb-92C2-25804820EDAC}">
                        <c15:formulaRef>
                          <c15:sqref>'LOANS External &amp; Domestic'!$S$1440:$S$1444</c15:sqref>
                        </c15:formulaRef>
                      </c:ext>
                    </c:extLst>
                    <c:strCache>
                      <c:ptCount val="5"/>
                      <c:pt idx="0">
                        <c:v>USD</c:v>
                      </c:pt>
                      <c:pt idx="1">
                        <c:v>EUR</c:v>
                      </c:pt>
                      <c:pt idx="2">
                        <c:v>GBP</c:v>
                      </c:pt>
                      <c:pt idx="3">
                        <c:v>JPY</c:v>
                      </c:pt>
                      <c:pt idx="4">
                        <c:v>CHY</c:v>
                      </c:pt>
                    </c:strCache>
                  </c:strRef>
                </c15:cat>
              </c15:filteredCategoryTitle>
            </c:ext>
            <c:ext xmlns:c15="http://schemas.microsoft.com/office/drawing/2012/chart" uri="{02D57815-91ED-43cb-92C2-25804820EDAC}">
              <c15:datalabelsRange>
                <c15:f>'LOANS External &amp; Domestic'!$S$1440:$S$1444</c15:f>
                <c15:dlblRangeCache>
                  <c:ptCount val="5"/>
                  <c:pt idx="0">
                    <c:v>USD</c:v>
                  </c:pt>
                  <c:pt idx="1">
                    <c:v>EUR</c:v>
                  </c:pt>
                  <c:pt idx="2">
                    <c:v>GBP</c:v>
                  </c:pt>
                  <c:pt idx="3">
                    <c:v>JPY</c:v>
                  </c:pt>
                  <c:pt idx="4">
                    <c:v>CHY</c:v>
                  </c:pt>
                </c15:dlblRangeCache>
              </c15:datalabelsRange>
            </c:ext>
            <c:ext xmlns:c16="http://schemas.microsoft.com/office/drawing/2014/chart" uri="{C3380CC4-5D6E-409C-BE32-E72D297353CC}">
              <c16:uniqueId val="{0000000A-0B20-47F1-974B-68EEE238500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46270798452004"/>
          <c:y val="9.854710983069126E-2"/>
          <c:w val="0.47408752818057592"/>
          <c:h val="0.77587031491704861"/>
        </c:manualLayout>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772-4A65-A4A9-CC39273D635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772-4A65-A4A9-CC39273D6352}"/>
              </c:ext>
            </c:extLst>
          </c:dPt>
          <c:dLbls>
            <c:dLbl>
              <c:idx val="0"/>
              <c:layout>
                <c:manualLayout>
                  <c:x val="4.3255274908818218E-2"/>
                  <c:y val="-5.61973150171714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6161638886048335"/>
                      <c:h val="0.15591632844208556"/>
                    </c:manualLayout>
                  </c15:layout>
                </c:ext>
                <c:ext xmlns:c16="http://schemas.microsoft.com/office/drawing/2014/chart" uri="{C3380CC4-5D6E-409C-BE32-E72D297353CC}">
                  <c16:uniqueId val="{00000001-4772-4A65-A4A9-CC39273D6352}"/>
                </c:ext>
              </c:extLst>
            </c:dLbl>
            <c:dLbl>
              <c:idx val="1"/>
              <c:layout>
                <c:manualLayout>
                  <c:x val="-3.7878617445546582E-2"/>
                  <c:y val="-6.2441461130189873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658581313699424"/>
                      <c:h val="0.15591632844208556"/>
                    </c:manualLayout>
                  </c15:layout>
                </c:ext>
                <c:ext xmlns:c16="http://schemas.microsoft.com/office/drawing/2014/chart" uri="{C3380CC4-5D6E-409C-BE32-E72D297353CC}">
                  <c16:uniqueId val="{00000003-4772-4A65-A4A9-CC39273D635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3.'!$G$19:$G$20</c:f>
              <c:strCache>
                <c:ptCount val="2"/>
                <c:pt idx="0">
                  <c:v>Varijabilna</c:v>
                </c:pt>
                <c:pt idx="1">
                  <c:v>Fiksna kamata</c:v>
                </c:pt>
              </c:strCache>
            </c:strRef>
          </c:cat>
          <c:val>
            <c:numRef>
              <c:f>'Slika 3.'!$H$19:$H$20</c:f>
              <c:numCache>
                <c:formatCode>#,##0.00</c:formatCode>
                <c:ptCount val="2"/>
                <c:pt idx="0">
                  <c:v>2289319190.4782763</c:v>
                </c:pt>
                <c:pt idx="1">
                  <c:v>2877346549.5217195</c:v>
                </c:pt>
              </c:numCache>
            </c:numRef>
          </c:val>
          <c:extLst>
            <c:ext xmlns:c16="http://schemas.microsoft.com/office/drawing/2014/chart" uri="{C3380CC4-5D6E-409C-BE32-E72D297353CC}">
              <c16:uniqueId val="{00000004-4772-4A65-A4A9-CC39273D6352}"/>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'Graf3.Unutarnji.dug.kamat.stop'!$G$45</c:f>
              <c:strCache>
                <c:ptCount val="1"/>
                <c:pt idx="0">
                  <c:v>Iznos duga</c:v>
                </c:pt>
              </c:strCache>
            </c:strRef>
          </c:tx>
          <c:spPr>
            <a:solidFill>
              <a:schemeClr val="accent1"/>
            </a:solidFill>
            <a:ln>
              <a:noFill/>
            </a:ln>
            <a:effectLst/>
          </c:spPr>
          <c:invertIfNegative val="0"/>
          <c:cat>
            <c:strRef>
              <c:f>'Graf3.Unutarnji.dug.kamat.stop'!$F$46:$F$49</c:f>
              <c:strCache>
                <c:ptCount val="4"/>
                <c:pt idx="0">
                  <c:v>(0 - 1) %</c:v>
                </c:pt>
                <c:pt idx="1">
                  <c:v>(1 - 2) %</c:v>
                </c:pt>
                <c:pt idx="2">
                  <c:v>(2 - 3) %</c:v>
                </c:pt>
                <c:pt idx="3">
                  <c:v>(3 - 4) %</c:v>
                </c:pt>
              </c:strCache>
            </c:strRef>
          </c:cat>
          <c:val>
            <c:numRef>
              <c:f>'Graf3.Unutarnji.dug.kamat.stop'!$G$46:$G$49</c:f>
              <c:numCache>
                <c:formatCode>#,##0</c:formatCode>
                <c:ptCount val="4"/>
                <c:pt idx="0">
                  <c:v>380</c:v>
                </c:pt>
                <c:pt idx="1">
                  <c:v>160</c:v>
                </c:pt>
                <c:pt idx="2">
                  <c:v>142.893824</c:v>
                </c:pt>
                <c:pt idx="3">
                  <c:v>240</c:v>
                </c:pt>
              </c:numCache>
            </c:numRef>
          </c:val>
          <c:extLst>
            <c:ext xmlns:c16="http://schemas.microsoft.com/office/drawing/2014/chart" uri="{C3380CC4-5D6E-409C-BE32-E72D297353CC}">
              <c16:uniqueId val="{00000000-DE21-4418-8675-D75FCF9C736F}"/>
            </c:ext>
          </c:extLst>
        </c:ser>
        <c:dLbls>
          <c:showLegendKey val="0"/>
          <c:showVal val="0"/>
          <c:showCatName val="0"/>
          <c:showSerName val="0"/>
          <c:showPercent val="0"/>
          <c:showBubbleSize val="0"/>
        </c:dLbls>
        <c:gapWidth val="182"/>
        <c:axId val="258377624"/>
        <c:axId val="258378016"/>
      </c:barChart>
      <c:catAx>
        <c:axId val="258377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8378016"/>
        <c:crosses val="autoZero"/>
        <c:auto val="1"/>
        <c:lblAlgn val="ctr"/>
        <c:lblOffset val="100"/>
        <c:noMultiLvlLbl val="0"/>
      </c:catAx>
      <c:valAx>
        <c:axId val="2583780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83776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'\I.LJ\10. BILTEN\2022\Q4 2022\[Grafikoni Q4.xlsx]VANJSKI'!$D$119</c:f>
              <c:strCache>
                <c:ptCount val="1"/>
                <c:pt idx="0">
                  <c:v>Vanjski dug</c:v>
                </c:pt>
              </c:strCache>
            </c:strRef>
          </c:tx>
          <c:spPr>
            <a:solidFill>
              <a:schemeClr val="accent1"/>
            </a:solidFill>
            <a:ln>
              <a:noFill/>
            </a:ln>
            <a:effectLst/>
          </c:spPr>
          <c:invertIfNegative val="0"/>
          <c:cat>
            <c:numRef>
              <c:f>'Slika 5.'!$B$62:$AA$62</c:f>
              <c:numCache>
                <c:formatCode>0</c:formatCode>
                <c:ptCount val="26"/>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numCache>
            </c:numRef>
          </c:cat>
          <c:val>
            <c:numRef>
              <c:f>'Slika 5.'!$B$64:$AA$64</c:f>
              <c:numCache>
                <c:formatCode>0</c:formatCode>
                <c:ptCount val="26"/>
                <c:pt idx="0">
                  <c:v>695.56446548071074</c:v>
                </c:pt>
                <c:pt idx="1">
                  <c:v>558.86998497617117</c:v>
                </c:pt>
                <c:pt idx="2">
                  <c:v>444.76048386035285</c:v>
                </c:pt>
                <c:pt idx="3">
                  <c:v>384.23989269182789</c:v>
                </c:pt>
                <c:pt idx="4">
                  <c:v>371.37669322832829</c:v>
                </c:pt>
                <c:pt idx="5">
                  <c:v>359.62748138727704</c:v>
                </c:pt>
                <c:pt idx="6">
                  <c:v>345.39732214301233</c:v>
                </c:pt>
                <c:pt idx="7">
                  <c:v>295.3507063183996</c:v>
                </c:pt>
                <c:pt idx="8">
                  <c:v>232.23201726745245</c:v>
                </c:pt>
                <c:pt idx="9">
                  <c:v>201.32428870925554</c:v>
                </c:pt>
                <c:pt idx="10">
                  <c:v>174.5351078305039</c:v>
                </c:pt>
                <c:pt idx="11">
                  <c:v>153.51463670116624</c:v>
                </c:pt>
                <c:pt idx="12">
                  <c:v>282.85656420228656</c:v>
                </c:pt>
                <c:pt idx="13">
                  <c:v>111.54648324545033</c:v>
                </c:pt>
                <c:pt idx="14">
                  <c:v>94.722403719841253</c:v>
                </c:pt>
                <c:pt idx="15">
                  <c:v>70.88108392767225</c:v>
                </c:pt>
                <c:pt idx="16">
                  <c:v>59.119715860859301</c:v>
                </c:pt>
                <c:pt idx="17">
                  <c:v>55.427294764126273</c:v>
                </c:pt>
                <c:pt idx="18">
                  <c:v>51.523175763137928</c:v>
                </c:pt>
                <c:pt idx="19">
                  <c:v>45.846764079317545</c:v>
                </c:pt>
                <c:pt idx="20">
                  <c:v>41.907680030337836</c:v>
                </c:pt>
                <c:pt idx="21">
                  <c:v>40.09764460040924</c:v>
                </c:pt>
                <c:pt idx="22">
                  <c:v>35.289637412532969</c:v>
                </c:pt>
                <c:pt idx="23">
                  <c:v>26.738105687857033</c:v>
                </c:pt>
                <c:pt idx="24">
                  <c:v>19.373027972853343</c:v>
                </c:pt>
                <c:pt idx="25">
                  <c:v>8.8924983306259975</c:v>
                </c:pt>
              </c:numCache>
            </c:numRef>
          </c:val>
          <c:extLst>
            <c:ext xmlns:c16="http://schemas.microsoft.com/office/drawing/2014/chart" uri="{C3380CC4-5D6E-409C-BE32-E72D297353CC}">
              <c16:uniqueId val="{00000000-22AA-4147-A5DF-F29FFA9B7A83}"/>
            </c:ext>
          </c:extLst>
        </c:ser>
        <c:ser>
          <c:idx val="1"/>
          <c:order val="1"/>
          <c:tx>
            <c:strRef>
              <c:f>'Slika 5.'!$A$63</c:f>
              <c:strCache>
                <c:ptCount val="1"/>
                <c:pt idx="0">
                  <c:v>Unutarnji dug</c:v>
                </c:pt>
              </c:strCache>
            </c:strRef>
          </c:tx>
          <c:spPr>
            <a:solidFill>
              <a:srgbClr val="CC3300"/>
            </a:solidFill>
            <a:ln>
              <a:noFill/>
            </a:ln>
            <a:effectLst/>
          </c:spPr>
          <c:invertIfNegative val="0"/>
          <c:cat>
            <c:numRef>
              <c:f>'Slika 5.'!$B$62:$AA$62</c:f>
              <c:numCache>
                <c:formatCode>0</c:formatCode>
                <c:ptCount val="26"/>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numCache>
            </c:numRef>
          </c:cat>
          <c:val>
            <c:numRef>
              <c:f>'Slika 5.'!$B$63:$AA$63</c:f>
              <c:numCache>
                <c:formatCode>0</c:formatCode>
                <c:ptCount val="26"/>
                <c:pt idx="0">
                  <c:v>170.65986000000004</c:v>
                </c:pt>
                <c:pt idx="1">
                  <c:v>81.36201600000004</c:v>
                </c:pt>
                <c:pt idx="2">
                  <c:v>140.36000899999999</c:v>
                </c:pt>
                <c:pt idx="3">
                  <c:v>100.51193900000001</c:v>
                </c:pt>
                <c:pt idx="4">
                  <c:v>160.00000000000011</c:v>
                </c:pt>
                <c:pt idx="5">
                  <c:v>90.000000000000071</c:v>
                </c:pt>
                <c:pt idx="6">
                  <c:v>69.999999999999986</c:v>
                </c:pt>
                <c:pt idx="7">
                  <c:v>29.999999999999972</c:v>
                </c:pt>
                <c:pt idx="8">
                  <c:v>29.999999999999996</c:v>
                </c:pt>
                <c:pt idx="9">
                  <c:v>20.000000000000007</c:v>
                </c:pt>
                <c:pt idx="10">
                  <c:v>0</c:v>
                </c:pt>
                <c:pt idx="11">
                  <c:v>29.999999999999996</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1-22AA-4147-A5DF-F29FFA9B7A83}"/>
            </c:ext>
          </c:extLst>
        </c:ser>
        <c:dLbls>
          <c:showLegendKey val="0"/>
          <c:showVal val="0"/>
          <c:showCatName val="0"/>
          <c:showSerName val="0"/>
          <c:showPercent val="0"/>
          <c:showBubbleSize val="0"/>
        </c:dLbls>
        <c:gapWidth val="150"/>
        <c:overlap val="100"/>
        <c:axId val="317912488"/>
        <c:axId val="317911312"/>
      </c:barChart>
      <c:catAx>
        <c:axId val="31791248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17911312"/>
        <c:crosses val="autoZero"/>
        <c:auto val="1"/>
        <c:lblAlgn val="ctr"/>
        <c:lblOffset val="100"/>
        <c:noMultiLvlLbl val="0"/>
      </c:catAx>
      <c:valAx>
        <c:axId val="317911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17912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'Slika 6.'!$S$16</c:f>
              <c:strCache>
                <c:ptCount val="1"/>
                <c:pt idx="0">
                  <c:v>Dospijeće glavnice RFI</c:v>
                </c:pt>
              </c:strCache>
            </c:strRef>
          </c:tx>
          <c:spPr>
            <a:solidFill>
              <a:schemeClr val="accent1"/>
            </a:solidFill>
            <a:ln>
              <a:solidFill>
                <a:schemeClr val="accent1"/>
              </a:solidFill>
            </a:ln>
            <a:effectLst/>
          </c:spPr>
          <c:invertIfNegative val="0"/>
          <c:cat>
            <c:numRef>
              <c:f>'Slika 6.'!$T$15:$X$15</c:f>
              <c:numCache>
                <c:formatCode>General</c:formatCode>
                <c:ptCount val="5"/>
                <c:pt idx="0">
                  <c:v>2024</c:v>
                </c:pt>
                <c:pt idx="1">
                  <c:v>2025</c:v>
                </c:pt>
                <c:pt idx="2">
                  <c:v>2026</c:v>
                </c:pt>
                <c:pt idx="3">
                  <c:v>2027</c:v>
                </c:pt>
                <c:pt idx="4">
                  <c:v>2028</c:v>
                </c:pt>
              </c:numCache>
            </c:numRef>
          </c:cat>
          <c:val>
            <c:numRef>
              <c:f>'Slika 6.'!$T$16:$X$16</c:f>
              <c:numCache>
                <c:formatCode>0</c:formatCode>
                <c:ptCount val="5"/>
                <c:pt idx="0">
                  <c:v>194.19116581800003</c:v>
                </c:pt>
                <c:pt idx="1">
                  <c:v>97.095582909000015</c:v>
                </c:pt>
                <c:pt idx="2">
                  <c:v>0</c:v>
                </c:pt>
                <c:pt idx="3">
                  <c:v>0</c:v>
                </c:pt>
                <c:pt idx="4">
                  <c:v>0</c:v>
                </c:pt>
              </c:numCache>
            </c:numRef>
          </c:val>
          <c:extLst>
            <c:ext xmlns:c16="http://schemas.microsoft.com/office/drawing/2014/chart" uri="{C3380CC4-5D6E-409C-BE32-E72D297353CC}">
              <c16:uniqueId val="{00000000-6704-4578-8DB5-92C634CC336B}"/>
            </c:ext>
          </c:extLst>
        </c:ser>
        <c:ser>
          <c:idx val="0"/>
          <c:order val="1"/>
          <c:tx>
            <c:strRef>
              <c:f>'Slika 6.'!$S$17</c:f>
              <c:strCache>
                <c:ptCount val="1"/>
                <c:pt idx="0">
                  <c:v>Dospijeće glavnice EFF</c:v>
                </c:pt>
              </c:strCache>
            </c:strRef>
          </c:tx>
          <c:spPr>
            <a:noFill/>
            <a:ln w="12700">
              <a:solidFill>
                <a:schemeClr val="accent1"/>
              </a:solidFill>
            </a:ln>
            <a:effectLst/>
          </c:spPr>
          <c:invertIfNegative val="0"/>
          <c:cat>
            <c:numRef>
              <c:f>'Slika 6.'!$T$15:$X$15</c:f>
              <c:numCache>
                <c:formatCode>General</c:formatCode>
                <c:ptCount val="5"/>
                <c:pt idx="0">
                  <c:v>2024</c:v>
                </c:pt>
                <c:pt idx="1">
                  <c:v>2025</c:v>
                </c:pt>
                <c:pt idx="2">
                  <c:v>2026</c:v>
                </c:pt>
                <c:pt idx="3">
                  <c:v>2027</c:v>
                </c:pt>
                <c:pt idx="4">
                  <c:v>2028</c:v>
                </c:pt>
              </c:numCache>
            </c:numRef>
          </c:cat>
          <c:val>
            <c:numRef>
              <c:f>'Slika 6.'!$T$17:$X$17</c:f>
              <c:numCache>
                <c:formatCode>0</c:formatCode>
                <c:ptCount val="5"/>
                <c:pt idx="0">
                  <c:v>33.556232199208544</c:v>
                </c:pt>
                <c:pt idx="1">
                  <c:v>33.556232199208544</c:v>
                </c:pt>
                <c:pt idx="2">
                  <c:v>33.556232199208559</c:v>
                </c:pt>
                <c:pt idx="3">
                  <c:v>16.77811610754188</c:v>
                </c:pt>
                <c:pt idx="4">
                  <c:v>8.3890579585196594</c:v>
                </c:pt>
              </c:numCache>
            </c:numRef>
          </c:val>
          <c:extLst>
            <c:ext xmlns:c16="http://schemas.microsoft.com/office/drawing/2014/chart" uri="{C3380CC4-5D6E-409C-BE32-E72D297353CC}">
              <c16:uniqueId val="{00000001-6704-4578-8DB5-92C634CC336B}"/>
            </c:ext>
          </c:extLst>
        </c:ser>
        <c:dLbls>
          <c:showLegendKey val="0"/>
          <c:showVal val="0"/>
          <c:showCatName val="0"/>
          <c:showSerName val="0"/>
          <c:showPercent val="0"/>
          <c:showBubbleSize val="0"/>
        </c:dLbls>
        <c:gapWidth val="299"/>
        <c:overlap val="100"/>
        <c:axId val="480605216"/>
        <c:axId val="480603256"/>
      </c:barChart>
      <c:catAx>
        <c:axId val="4806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80603256"/>
        <c:crosses val="autoZero"/>
        <c:auto val="1"/>
        <c:lblAlgn val="ctr"/>
        <c:lblOffset val="100"/>
        <c:noMultiLvlLbl val="0"/>
      </c:catAx>
      <c:valAx>
        <c:axId val="480603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crossAx val="480605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87-4EA3-9B40-1F0B1AA906F5}"/>
              </c:ext>
            </c:extLst>
          </c:dPt>
          <c:dPt>
            <c:idx val="1"/>
            <c:bubble3D val="0"/>
            <c:spPr>
              <a:solidFill>
                <a:srgbClr val="CC3300"/>
              </a:solidFill>
              <a:ln w="19050">
                <a:solidFill>
                  <a:schemeClr val="lt1"/>
                </a:solidFill>
              </a:ln>
              <a:effectLst/>
            </c:spPr>
            <c:extLst>
              <c:ext xmlns:c16="http://schemas.microsoft.com/office/drawing/2014/chart" uri="{C3380CC4-5D6E-409C-BE32-E72D297353CC}">
                <c16:uniqueId val="{00000003-5587-4EA3-9B40-1F0B1AA906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87-4EA3-9B40-1F0B1AA906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87-4EA3-9B40-1F0B1AA906F5}"/>
              </c:ext>
            </c:extLst>
          </c:dPt>
          <c:dPt>
            <c:idx val="4"/>
            <c:bubble3D val="0"/>
            <c:spPr>
              <a:solidFill>
                <a:srgbClr val="0099CC"/>
              </a:solidFill>
              <a:ln w="19050">
                <a:solidFill>
                  <a:schemeClr val="lt1"/>
                </a:solidFill>
              </a:ln>
              <a:effectLst/>
            </c:spPr>
            <c:extLst>
              <c:ext xmlns:c16="http://schemas.microsoft.com/office/drawing/2014/chart" uri="{C3380CC4-5D6E-409C-BE32-E72D297353CC}">
                <c16:uniqueId val="{00000009-5587-4EA3-9B40-1F0B1AA906F5}"/>
              </c:ext>
            </c:extLst>
          </c:dPt>
          <c:dPt>
            <c:idx val="5"/>
            <c:bubble3D val="0"/>
            <c:spPr>
              <a:solidFill>
                <a:schemeClr val="accent2"/>
              </a:solidFill>
              <a:ln w="19050">
                <a:solidFill>
                  <a:schemeClr val="lt1"/>
                </a:solidFill>
              </a:ln>
              <a:effectLst/>
            </c:spPr>
            <c:extLst>
              <c:ext xmlns:c16="http://schemas.microsoft.com/office/drawing/2014/chart" uri="{C3380CC4-5D6E-409C-BE32-E72D297353CC}">
                <c16:uniqueId val="{0000000B-5587-4EA3-9B40-1F0B1AA906F5}"/>
              </c:ext>
            </c:extLst>
          </c:dPt>
          <c:dLbls>
            <c:dLbl>
              <c:idx val="0"/>
              <c:layout>
                <c:manualLayout>
                  <c:x val="6.4725088975528547E-2"/>
                  <c:y val="4.26287744227353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0949298813373"/>
                      <c:h val="0.17740674955595026"/>
                    </c:manualLayout>
                  </c15:layout>
                </c:ext>
                <c:ext xmlns:c16="http://schemas.microsoft.com/office/drawing/2014/chart" uri="{C3380CC4-5D6E-409C-BE32-E72D297353CC}">
                  <c16:uniqueId val="{00000001-5587-4EA3-9B40-1F0B1AA906F5}"/>
                </c:ext>
              </c:extLst>
            </c:dLbl>
            <c:dLbl>
              <c:idx val="1"/>
              <c:layout>
                <c:manualLayout>
                  <c:x val="4.3149946062565839E-3"/>
                  <c:y val="-2.841918294849023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77954454722286"/>
                      <c:h val="0.17740674955595026"/>
                    </c:manualLayout>
                  </c15:layout>
                </c:ext>
                <c:ext xmlns:c16="http://schemas.microsoft.com/office/drawing/2014/chart" uri="{C3380CC4-5D6E-409C-BE32-E72D297353CC}">
                  <c16:uniqueId val="{00000003-5587-4EA3-9B40-1F0B1AA906F5}"/>
                </c:ext>
              </c:extLst>
            </c:dLbl>
            <c:dLbl>
              <c:idx val="2"/>
              <c:layout>
                <c:manualLayout>
                  <c:x val="-6.6347366028065471E-2"/>
                  <c:y val="0.198934280639431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3807982740022"/>
                      <c:h val="0.17740674955595026"/>
                    </c:manualLayout>
                  </c15:layout>
                </c:ext>
                <c:ext xmlns:c16="http://schemas.microsoft.com/office/drawing/2014/chart" uri="{C3380CC4-5D6E-409C-BE32-E72D297353CC}">
                  <c16:uniqueId val="{00000005-5587-4EA3-9B40-1F0B1AA906F5}"/>
                </c:ext>
              </c:extLst>
            </c:dLbl>
            <c:dLbl>
              <c:idx val="3"/>
              <c:layout>
                <c:manualLayout>
                  <c:x val="3.8834951456310524E-2"/>
                  <c:y val="-2.131438721136767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5587-4EA3-9B40-1F0B1AA906F5}"/>
                </c:ext>
              </c:extLst>
            </c:dLbl>
            <c:dLbl>
              <c:idx val="4"/>
              <c:layout>
                <c:manualLayout>
                  <c:x val="-3.4519956850053955E-2"/>
                  <c:y val="-4.9733570159857902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587-4EA3-9B40-1F0B1AA906F5}"/>
                </c:ext>
              </c:extLst>
            </c:dLbl>
            <c:dLbl>
              <c:idx val="5"/>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5587-4EA3-9B40-1F0B1AA906F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7.'!$F$24:$F$29</c:f>
              <c:strCache>
                <c:ptCount val="6"/>
                <c:pt idx="0">
                  <c:v>SDR</c:v>
                </c:pt>
                <c:pt idx="1">
                  <c:v>USD</c:v>
                </c:pt>
                <c:pt idx="2">
                  <c:v>GBP</c:v>
                </c:pt>
                <c:pt idx="3">
                  <c:v>JPY</c:v>
                </c:pt>
                <c:pt idx="4">
                  <c:v>EUR</c:v>
                </c:pt>
                <c:pt idx="5">
                  <c:v>BAM</c:v>
                </c:pt>
              </c:strCache>
            </c:strRef>
          </c:cat>
          <c:val>
            <c:numRef>
              <c:f>'Slika 7.'!$G$24:$G$29</c:f>
              <c:numCache>
                <c:formatCode>#,##0</c:formatCode>
                <c:ptCount val="6"/>
                <c:pt idx="0">
                  <c:v>600240418.35685432</c:v>
                </c:pt>
                <c:pt idx="1">
                  <c:v>336470580.74945402</c:v>
                </c:pt>
                <c:pt idx="2">
                  <c:v>0</c:v>
                </c:pt>
                <c:pt idx="3">
                  <c:v>11964496.150062542</c:v>
                </c:pt>
                <c:pt idx="4">
                  <c:v>1970374382.087014</c:v>
                </c:pt>
                <c:pt idx="5">
                  <c:v>521414242.63071603</c:v>
                </c:pt>
              </c:numCache>
            </c:numRef>
          </c:val>
          <c:extLst>
            <c:ext xmlns:c16="http://schemas.microsoft.com/office/drawing/2014/chart" uri="{C3380CC4-5D6E-409C-BE32-E72D297353CC}">
              <c16:uniqueId val="{0000000C-5587-4EA3-9B40-1F0B1AA906F5}"/>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5587-4EA3-9B40-1F0B1AA906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5587-4EA3-9B40-1F0B1AA906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7.'!$F$24:$F$29</c:f>
              <c:strCache>
                <c:ptCount val="6"/>
                <c:pt idx="0">
                  <c:v>SDR</c:v>
                </c:pt>
                <c:pt idx="1">
                  <c:v>USD</c:v>
                </c:pt>
                <c:pt idx="2">
                  <c:v>GBP</c:v>
                </c:pt>
                <c:pt idx="3">
                  <c:v>JPY</c:v>
                </c:pt>
                <c:pt idx="4">
                  <c:v>EUR</c:v>
                </c:pt>
                <c:pt idx="5">
                  <c:v>BAM</c:v>
                </c:pt>
              </c:strCache>
            </c:strRef>
          </c:cat>
          <c:val>
            <c:numRef>
              <c:f>'Slika 7.'!$G$16:$G$17</c:f>
              <c:numCache>
                <c:formatCode>#,##0</c:formatCode>
                <c:ptCount val="2"/>
                <c:pt idx="0">
                  <c:v>1970374382.087014</c:v>
                </c:pt>
                <c:pt idx="1">
                  <c:v>521414242.63071603</c:v>
                </c:pt>
              </c:numCache>
            </c:numRef>
          </c:val>
          <c:extLst>
            <c:ext xmlns:c16="http://schemas.microsoft.com/office/drawing/2014/chart" uri="{C3380CC4-5D6E-409C-BE32-E72D297353CC}">
              <c16:uniqueId val="{00000011-5587-4EA3-9B40-1F0B1AA906F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BD-44B7-84F8-11BBE8117A90}"/>
              </c:ext>
            </c:extLst>
          </c:dPt>
          <c:dPt>
            <c:idx val="1"/>
            <c:bubble3D val="0"/>
            <c:spPr>
              <a:solidFill>
                <a:srgbClr val="CC3300"/>
              </a:solidFill>
              <a:ln w="19050">
                <a:solidFill>
                  <a:schemeClr val="lt1"/>
                </a:solidFill>
              </a:ln>
              <a:effectLst/>
            </c:spPr>
            <c:extLst>
              <c:ext xmlns:c16="http://schemas.microsoft.com/office/drawing/2014/chart" uri="{C3380CC4-5D6E-409C-BE32-E72D297353CC}">
                <c16:uniqueId val="{00000003-7BBD-44B7-84F8-11BBE8117A90}"/>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BBD-44B7-84F8-11BBE8117A90}"/>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7BBD-44B7-84F8-11BBE8117A90}"/>
              </c:ext>
            </c:extLst>
          </c:dPt>
          <c:dPt>
            <c:idx val="4"/>
            <c:bubble3D val="0"/>
            <c:spPr>
              <a:solidFill>
                <a:srgbClr val="0099CC"/>
              </a:solidFill>
              <a:ln w="19050">
                <a:solidFill>
                  <a:schemeClr val="lt1"/>
                </a:solidFill>
              </a:ln>
              <a:effectLst/>
            </c:spPr>
            <c:extLst>
              <c:ext xmlns:c16="http://schemas.microsoft.com/office/drawing/2014/chart" uri="{C3380CC4-5D6E-409C-BE32-E72D297353CC}">
                <c16:uniqueId val="{00000009-7BBD-44B7-84F8-11BBE8117A90}"/>
              </c:ext>
            </c:extLst>
          </c:dPt>
          <c:dPt>
            <c:idx val="5"/>
            <c:bubble3D val="0"/>
            <c:spPr>
              <a:solidFill>
                <a:schemeClr val="accent2"/>
              </a:solidFill>
              <a:ln w="19050">
                <a:solidFill>
                  <a:schemeClr val="lt1"/>
                </a:solidFill>
              </a:ln>
              <a:effectLst/>
            </c:spPr>
            <c:extLst>
              <c:ext xmlns:c16="http://schemas.microsoft.com/office/drawing/2014/chart" uri="{C3380CC4-5D6E-409C-BE32-E72D297353CC}">
                <c16:uniqueId val="{0000000B-7BBD-44B7-84F8-11BBE8117A90}"/>
              </c:ext>
            </c:extLst>
          </c:dPt>
          <c:dLbls>
            <c:dLbl>
              <c:idx val="0"/>
              <c:layout>
                <c:manualLayout>
                  <c:x val="8.792846497764531E-2"/>
                  <c:y val="9.958741835778520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7BBD-44B7-84F8-11BBE8117A90}"/>
                </c:ext>
              </c:extLst>
            </c:dLbl>
            <c:dLbl>
              <c:idx val="1"/>
              <c:layout>
                <c:manualLayout>
                  <c:x val="-0.17564813147454814"/>
                  <c:y val="-4.4618117229129665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7BBD-44B7-84F8-11BBE8117A90}"/>
                </c:ext>
              </c:extLst>
            </c:dLbl>
            <c:dLbl>
              <c:idx val="2"/>
              <c:layout>
                <c:manualLayout>
                  <c:x val="-0.10050788297121342"/>
                  <c:y val="0.2161860673277296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7BBD-44B7-84F8-11BBE8117A90}"/>
                </c:ext>
              </c:extLst>
            </c:dLbl>
            <c:dLbl>
              <c:idx val="3"/>
              <c:layout>
                <c:manualLayout>
                  <c:x val="-0.10192372450259005"/>
                  <c:y val="4.638928126879347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7BBD-44B7-84F8-11BBE8117A90}"/>
                </c:ext>
              </c:extLst>
            </c:dLbl>
            <c:dLbl>
              <c:idx val="4"/>
              <c:layout>
                <c:manualLayout>
                  <c:x val="-6.0017338597006586E-2"/>
                  <c:y val="-0.1175435308597082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7BBD-44B7-84F8-11BBE8117A90}"/>
                </c:ext>
              </c:extLst>
            </c:dLbl>
            <c:dLbl>
              <c:idx val="5"/>
              <c:layout>
                <c:manualLayout>
                  <c:x val="3.3573746187218222E-2"/>
                  <c:y val="2.486678507992895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7BBD-44B7-84F8-11BBE8117A9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7.'!$K$24:$K$29</c:f>
              <c:strCache>
                <c:ptCount val="6"/>
                <c:pt idx="0">
                  <c:v>USD</c:v>
                </c:pt>
                <c:pt idx="1">
                  <c:v>EUR</c:v>
                </c:pt>
                <c:pt idx="2">
                  <c:v>GBP</c:v>
                </c:pt>
                <c:pt idx="3">
                  <c:v>JPY</c:v>
                </c:pt>
                <c:pt idx="4">
                  <c:v>CHY</c:v>
                </c:pt>
                <c:pt idx="5">
                  <c:v>BAM</c:v>
                </c:pt>
              </c:strCache>
            </c:strRef>
          </c:cat>
          <c:val>
            <c:numRef>
              <c:f>'Slika 7.'!$L$24:$L$29</c:f>
              <c:numCache>
                <c:formatCode>#,##0.00</c:formatCode>
                <c:ptCount val="6"/>
                <c:pt idx="0">
                  <c:v>596854874.23265743</c:v>
                </c:pt>
                <c:pt idx="1">
                  <c:v>2146304848.707408</c:v>
                </c:pt>
                <c:pt idx="2">
                  <c:v>44657887.125749968</c:v>
                </c:pt>
                <c:pt idx="3">
                  <c:v>57522743.903347775</c:v>
                </c:pt>
                <c:pt idx="4">
                  <c:v>73709523.374221712</c:v>
                </c:pt>
                <c:pt idx="5" formatCode="#,##0">
                  <c:v>521414242.63071603</c:v>
                </c:pt>
              </c:numCache>
            </c:numRef>
          </c:val>
          <c:extLst>
            <c:ext xmlns:c16="http://schemas.microsoft.com/office/drawing/2014/chart" uri="{C3380CC4-5D6E-409C-BE32-E72D297353CC}">
              <c16:uniqueId val="{0000000C-7BBD-44B7-84F8-11BBE8117A90}"/>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0.01014</cdr:x>
      <cdr:y>0.00851</cdr:y>
    </cdr:from>
    <cdr:to>
      <cdr:x>0.18472</cdr:x>
      <cdr:y>0.1073</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43100" y="24115"/>
          <a:ext cx="7420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percent)</a:t>
          </a:r>
          <a:endParaRPr lang="en-US" sz="1100" b="0">
            <a:solidFill>
              <a:srgbClr val="4B82AD"/>
            </a:solidFill>
            <a:latin typeface="Segoe UI" panose="020B0502040204020203"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0.01604</cdr:x>
      <cdr:y>0</cdr:y>
    </cdr:from>
    <cdr:to>
      <cdr:x>0.18781</cdr:x>
      <cdr:y>0.09747</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69295" y="0"/>
          <a:ext cx="7420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percent)</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21</Pages>
  <Words>6096</Words>
  <Characters>34750</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raguz</dc:creator>
  <cp:keywords/>
  <dc:description/>
  <cp:lastModifiedBy>ivana raguz</cp:lastModifiedBy>
  <cp:revision>2</cp:revision>
  <cp:lastPrinted>2024-07-19T09:50:00Z</cp:lastPrinted>
  <dcterms:created xsi:type="dcterms:W3CDTF">2024-09-02T11:35:00Z</dcterms:created>
  <dcterms:modified xsi:type="dcterms:W3CDTF">2024-09-02T11:35:00Z</dcterms:modified>
</cp:coreProperties>
</file>