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5DC" w:rsidRPr="00C5016E" w:rsidRDefault="00C025DC" w:rsidP="00C025DC">
      <w:pPr>
        <w:spacing w:before="0" w:after="11" w:line="248" w:lineRule="auto"/>
        <w:ind w:right="10"/>
        <w:jc w:val="center"/>
        <w:rPr>
          <w:b/>
          <w:lang w:eastAsia="bs-Latn-BA"/>
        </w:rPr>
      </w:pPr>
      <w:r w:rsidRPr="00C5016E">
        <w:rPr>
          <w:b/>
          <w:lang w:eastAsia="bs-Latn-BA"/>
        </w:rPr>
        <w:t>BOSNA I HERCEGOVINA</w:t>
      </w:r>
    </w:p>
    <w:p w:rsidR="00C025DC" w:rsidRPr="00C5016E" w:rsidRDefault="00C025DC" w:rsidP="00C025DC">
      <w:pPr>
        <w:spacing w:before="0" w:after="14" w:line="248" w:lineRule="auto"/>
        <w:ind w:left="10" w:right="48" w:hanging="10"/>
        <w:jc w:val="center"/>
        <w:rPr>
          <w:b/>
          <w:lang w:eastAsia="bs-Latn-BA"/>
        </w:rPr>
      </w:pPr>
      <w:r w:rsidRPr="00C5016E">
        <w:rPr>
          <w:b/>
          <w:lang w:eastAsia="bs-Latn-BA"/>
        </w:rPr>
        <w:t>FEDERACIJA BOSNE I HERCEGOVINE</w:t>
      </w:r>
    </w:p>
    <w:p w:rsidR="00C025DC" w:rsidRPr="00C5016E" w:rsidRDefault="00C025DC" w:rsidP="00C025DC">
      <w:pPr>
        <w:spacing w:before="0" w:after="14" w:line="248" w:lineRule="auto"/>
        <w:ind w:left="10" w:right="48" w:hanging="10"/>
        <w:jc w:val="center"/>
        <w:rPr>
          <w:b/>
          <w:lang w:eastAsia="bs-Latn-BA"/>
        </w:rPr>
      </w:pPr>
      <w:r w:rsidRPr="00C5016E">
        <w:rPr>
          <w:b/>
          <w:lang w:eastAsia="bs-Latn-BA"/>
        </w:rPr>
        <w:t>FEDERALNO MINISTARSTVO FINANSIJA</w:t>
      </w:r>
    </w:p>
    <w:p w:rsidR="00C025DC" w:rsidRPr="00C5016E" w:rsidRDefault="00C025DC" w:rsidP="00C025DC">
      <w:pPr>
        <w:spacing w:before="0" w:after="0" w:line="259" w:lineRule="auto"/>
        <w:ind w:left="10" w:right="48" w:hanging="10"/>
        <w:jc w:val="center"/>
        <w:rPr>
          <w:b/>
          <w:lang w:eastAsia="bs-Latn-BA"/>
        </w:rPr>
      </w:pPr>
      <w:r w:rsidRPr="00C5016E">
        <w:rPr>
          <w:b/>
          <w:lang w:eastAsia="bs-Latn-BA"/>
        </w:rPr>
        <w:t>FEDERALNO MINISTARSTVO FINANCIJA</w:t>
      </w:r>
    </w:p>
    <w:p w:rsidR="00C025DC" w:rsidRPr="00C5016E" w:rsidRDefault="00C025DC" w:rsidP="00C025DC">
      <w:pPr>
        <w:spacing w:before="0" w:after="0"/>
        <w:jc w:val="center"/>
        <w:rPr>
          <w:rFonts w:cs="Arial"/>
          <w:bCs/>
          <w:szCs w:val="24"/>
        </w:rPr>
      </w:pPr>
    </w:p>
    <w:p w:rsidR="00C025DC" w:rsidRPr="00C5016E" w:rsidRDefault="00C025DC" w:rsidP="00C025DC">
      <w:pPr>
        <w:spacing w:before="0" w:after="0"/>
        <w:rPr>
          <w:rFonts w:cs="Arial"/>
          <w:bCs/>
          <w:szCs w:val="24"/>
        </w:rPr>
      </w:pPr>
    </w:p>
    <w:p w:rsidR="00C025DC" w:rsidRPr="00C5016E" w:rsidRDefault="00C025DC" w:rsidP="00C025DC">
      <w:pPr>
        <w:spacing w:before="0" w:after="0"/>
        <w:rPr>
          <w:rFonts w:cs="Arial"/>
          <w:bCs/>
          <w:szCs w:val="24"/>
        </w:rPr>
      </w:pPr>
    </w:p>
    <w:p w:rsidR="00C025DC" w:rsidRPr="00C5016E" w:rsidRDefault="00C025DC" w:rsidP="00C025DC">
      <w:pPr>
        <w:spacing w:before="0" w:after="0"/>
        <w:rPr>
          <w:rFonts w:cs="Arial"/>
          <w:bCs/>
          <w:szCs w:val="24"/>
        </w:rPr>
      </w:pPr>
    </w:p>
    <w:p w:rsidR="00C025DC" w:rsidRPr="00C5016E" w:rsidRDefault="00C025DC" w:rsidP="00C025DC">
      <w:pPr>
        <w:spacing w:before="0" w:after="0"/>
        <w:rPr>
          <w:rFonts w:cs="Arial"/>
          <w:bCs/>
          <w:szCs w:val="24"/>
        </w:rPr>
      </w:pPr>
    </w:p>
    <w:p w:rsidR="00C025DC" w:rsidRPr="00C5016E" w:rsidRDefault="00C025DC" w:rsidP="00C025DC">
      <w:pPr>
        <w:spacing w:before="0" w:after="0"/>
        <w:rPr>
          <w:rFonts w:cs="Arial"/>
          <w:bCs/>
          <w:szCs w:val="24"/>
        </w:rPr>
      </w:pPr>
    </w:p>
    <w:p w:rsidR="00C025DC" w:rsidRPr="00C5016E" w:rsidRDefault="00C025DC" w:rsidP="00C025DC">
      <w:pPr>
        <w:spacing w:before="0" w:after="0"/>
        <w:rPr>
          <w:rFonts w:cs="Arial"/>
          <w:bCs/>
          <w:szCs w:val="24"/>
        </w:rPr>
      </w:pPr>
    </w:p>
    <w:p w:rsidR="00C025DC" w:rsidRPr="00C5016E" w:rsidRDefault="00C025DC" w:rsidP="00C025DC">
      <w:pPr>
        <w:spacing w:before="0" w:after="0"/>
        <w:rPr>
          <w:rFonts w:cs="Arial"/>
          <w:bCs/>
          <w:szCs w:val="24"/>
        </w:rPr>
      </w:pPr>
    </w:p>
    <w:p w:rsidR="00C025DC" w:rsidRPr="00C5016E" w:rsidRDefault="00C025DC" w:rsidP="00C025DC">
      <w:pPr>
        <w:spacing w:before="0" w:after="0"/>
        <w:rPr>
          <w:rFonts w:cs="Arial"/>
          <w:bCs/>
          <w:szCs w:val="24"/>
        </w:rPr>
      </w:pPr>
    </w:p>
    <w:p w:rsidR="00C025DC" w:rsidRPr="00C5016E" w:rsidRDefault="00C025DC" w:rsidP="00C025DC">
      <w:pPr>
        <w:spacing w:before="0" w:after="0"/>
        <w:rPr>
          <w:rFonts w:cs="Arial"/>
          <w:bCs/>
          <w:szCs w:val="24"/>
        </w:rPr>
      </w:pPr>
    </w:p>
    <w:p w:rsidR="00C025DC" w:rsidRPr="00C5016E" w:rsidRDefault="00C025DC" w:rsidP="00C025DC">
      <w:pPr>
        <w:spacing w:before="0" w:after="0"/>
        <w:rPr>
          <w:rFonts w:cs="Arial"/>
          <w:bCs/>
          <w:szCs w:val="24"/>
        </w:rPr>
      </w:pPr>
    </w:p>
    <w:p w:rsidR="00C025DC" w:rsidRPr="00C5016E" w:rsidRDefault="00C025DC" w:rsidP="00C025DC">
      <w:pPr>
        <w:spacing w:before="0" w:after="0"/>
        <w:jc w:val="center"/>
        <w:rPr>
          <w:rFonts w:cs="Arial"/>
          <w:bCs/>
          <w:szCs w:val="24"/>
        </w:rPr>
      </w:pPr>
    </w:p>
    <w:p w:rsidR="00C025DC" w:rsidRPr="00C5016E" w:rsidRDefault="00C025DC" w:rsidP="00C025DC">
      <w:pPr>
        <w:spacing w:before="0" w:after="0"/>
        <w:jc w:val="center"/>
        <w:rPr>
          <w:rFonts w:cs="Arial"/>
          <w:bCs/>
          <w:szCs w:val="24"/>
        </w:rPr>
      </w:pPr>
    </w:p>
    <w:p w:rsidR="00C025DC" w:rsidRPr="00C5016E" w:rsidRDefault="00C025DC" w:rsidP="00C025DC">
      <w:pPr>
        <w:spacing w:before="0" w:after="0"/>
        <w:jc w:val="center"/>
        <w:rPr>
          <w:rFonts w:cs="Arial"/>
          <w:bCs/>
          <w:szCs w:val="24"/>
        </w:rPr>
      </w:pPr>
    </w:p>
    <w:p w:rsidR="00C025DC" w:rsidRPr="00C5016E" w:rsidRDefault="00C025DC" w:rsidP="00C025DC">
      <w:pPr>
        <w:spacing w:before="0" w:after="0"/>
        <w:jc w:val="center"/>
        <w:rPr>
          <w:rFonts w:cs="Arial"/>
          <w:bCs/>
          <w:sz w:val="28"/>
          <w:szCs w:val="28"/>
        </w:rPr>
      </w:pPr>
    </w:p>
    <w:p w:rsidR="00C025DC" w:rsidRPr="00C5016E" w:rsidRDefault="00C025DC" w:rsidP="00C025DC">
      <w:pPr>
        <w:keepNext/>
        <w:spacing w:before="0" w:after="0"/>
        <w:jc w:val="center"/>
        <w:outlineLvl w:val="4"/>
        <w:rPr>
          <w:rFonts w:eastAsia="Arial Unicode MS" w:cs="Arial"/>
          <w:b/>
          <w:bCs/>
          <w:sz w:val="28"/>
          <w:szCs w:val="28"/>
        </w:rPr>
      </w:pPr>
      <w:bookmarkStart w:id="0" w:name="_Toc99940028"/>
      <w:bookmarkStart w:id="1" w:name="_Toc130901896"/>
      <w:bookmarkStart w:id="2" w:name="_Toc131505192"/>
      <w:r w:rsidRPr="00C5016E">
        <w:rPr>
          <w:rFonts w:eastAsia="Arial Unicode MS" w:cs="Arial"/>
          <w:b/>
          <w:bCs/>
          <w:sz w:val="28"/>
          <w:szCs w:val="28"/>
        </w:rPr>
        <w:t xml:space="preserve">I Z V J E </w:t>
      </w:r>
      <w:r w:rsidR="000E788B">
        <w:rPr>
          <w:rFonts w:eastAsia="Arial Unicode MS" w:cs="Arial"/>
          <w:b/>
          <w:bCs/>
          <w:sz w:val="28"/>
          <w:szCs w:val="28"/>
        </w:rPr>
        <w:t xml:space="preserve">Š Ć </w:t>
      </w:r>
      <w:bookmarkStart w:id="3" w:name="_GoBack"/>
      <w:bookmarkEnd w:id="3"/>
      <w:r w:rsidR="000E788B">
        <w:rPr>
          <w:rFonts w:eastAsia="Arial Unicode MS" w:cs="Arial"/>
          <w:b/>
          <w:bCs/>
          <w:sz w:val="28"/>
          <w:szCs w:val="28"/>
        </w:rPr>
        <w:t>E</w:t>
      </w:r>
      <w:bookmarkEnd w:id="0"/>
      <w:bookmarkEnd w:id="1"/>
      <w:bookmarkEnd w:id="2"/>
      <w:r w:rsidR="000E788B">
        <w:rPr>
          <w:rFonts w:eastAsia="Arial Unicode MS" w:cs="Arial"/>
          <w:b/>
          <w:bCs/>
          <w:sz w:val="28"/>
          <w:szCs w:val="28"/>
        </w:rPr>
        <w:t xml:space="preserve"> </w:t>
      </w:r>
    </w:p>
    <w:p w:rsidR="00C025DC" w:rsidRPr="00C5016E" w:rsidRDefault="00C025DC" w:rsidP="00C025DC">
      <w:pPr>
        <w:spacing w:before="0" w:after="0"/>
        <w:jc w:val="left"/>
        <w:rPr>
          <w:rFonts w:cs="Arial"/>
          <w:b/>
          <w:sz w:val="28"/>
          <w:szCs w:val="28"/>
        </w:rPr>
      </w:pPr>
    </w:p>
    <w:p w:rsidR="00C025DC" w:rsidRPr="00C5016E" w:rsidRDefault="00C025DC" w:rsidP="00C025DC">
      <w:pPr>
        <w:spacing w:before="0" w:after="0"/>
        <w:jc w:val="center"/>
        <w:rPr>
          <w:rFonts w:cs="Arial"/>
          <w:b/>
          <w:sz w:val="28"/>
          <w:szCs w:val="28"/>
        </w:rPr>
      </w:pPr>
      <w:r w:rsidRPr="00C5016E">
        <w:rPr>
          <w:rFonts w:cs="Arial"/>
          <w:b/>
          <w:sz w:val="28"/>
          <w:szCs w:val="28"/>
        </w:rPr>
        <w:t>O IZVRŠENJU PRORAČUNA FEDERACIJE BOSNE I HERCEGOVINE</w:t>
      </w:r>
    </w:p>
    <w:p w:rsidR="00C025DC" w:rsidRPr="00C5016E" w:rsidRDefault="00C025DC" w:rsidP="00C025DC">
      <w:pPr>
        <w:spacing w:before="0" w:after="0"/>
        <w:jc w:val="center"/>
        <w:rPr>
          <w:rFonts w:cs="Arial"/>
          <w:b/>
          <w:sz w:val="28"/>
          <w:szCs w:val="28"/>
        </w:rPr>
      </w:pPr>
      <w:r w:rsidRPr="00C5016E">
        <w:rPr>
          <w:rFonts w:cs="Arial"/>
          <w:b/>
          <w:sz w:val="28"/>
          <w:szCs w:val="28"/>
        </w:rPr>
        <w:t xml:space="preserve">U RAZDOBLJU OD 1. SIJEČNJA DO 31. PROSINCA 2022. </w:t>
      </w:r>
    </w:p>
    <w:p w:rsidR="00C025DC" w:rsidRPr="00C5016E" w:rsidRDefault="00C025DC" w:rsidP="00C025DC">
      <w:pPr>
        <w:spacing w:before="0" w:after="0"/>
        <w:jc w:val="center"/>
        <w:rPr>
          <w:rFonts w:cs="Arial"/>
          <w:b/>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left"/>
        <w:rPr>
          <w:rFonts w:cs="Arial"/>
          <w:szCs w:val="24"/>
        </w:rPr>
      </w:pPr>
    </w:p>
    <w:p w:rsidR="00C025DC" w:rsidRPr="00C5016E" w:rsidRDefault="00C025DC" w:rsidP="00C025DC">
      <w:pPr>
        <w:spacing w:before="0" w:after="0"/>
        <w:jc w:val="left"/>
        <w:rPr>
          <w:rFonts w:cs="Arial"/>
          <w:szCs w:val="24"/>
        </w:rPr>
      </w:pPr>
    </w:p>
    <w:p w:rsidR="00C025DC" w:rsidRPr="00C5016E" w:rsidRDefault="00C025DC" w:rsidP="00C025DC">
      <w:pPr>
        <w:spacing w:before="0" w:after="0"/>
        <w:jc w:val="center"/>
        <w:rPr>
          <w:rFonts w:cs="Arial"/>
          <w:szCs w:val="24"/>
        </w:rPr>
      </w:pPr>
    </w:p>
    <w:p w:rsidR="00C025DC" w:rsidRPr="00C5016E" w:rsidRDefault="00C025DC" w:rsidP="00C025DC">
      <w:pPr>
        <w:spacing w:before="0" w:after="0"/>
        <w:jc w:val="center"/>
        <w:rPr>
          <w:rFonts w:cs="Arial"/>
          <w:szCs w:val="24"/>
        </w:rPr>
      </w:pPr>
    </w:p>
    <w:p w:rsidR="00C025DC" w:rsidRPr="00C5016E" w:rsidRDefault="00694D67" w:rsidP="00C025DC">
      <w:pPr>
        <w:spacing w:before="0" w:after="0"/>
        <w:jc w:val="center"/>
        <w:rPr>
          <w:rFonts w:cs="Arial"/>
          <w:b/>
          <w:szCs w:val="24"/>
        </w:rPr>
      </w:pPr>
      <w:r>
        <w:rPr>
          <w:rFonts w:cs="Arial"/>
          <w:b/>
          <w:szCs w:val="24"/>
        </w:rPr>
        <w:t>Travanj</w:t>
      </w:r>
      <w:r w:rsidR="00C025DC" w:rsidRPr="00C5016E">
        <w:rPr>
          <w:rFonts w:cs="Arial"/>
          <w:b/>
          <w:szCs w:val="24"/>
        </w:rPr>
        <w:t xml:space="preserve"> 2023. godine</w:t>
      </w:r>
    </w:p>
    <w:p w:rsidR="00C025DC" w:rsidRPr="00C5016E" w:rsidRDefault="00C025DC" w:rsidP="00C025DC">
      <w:pPr>
        <w:spacing w:before="0" w:after="160" w:line="259" w:lineRule="auto"/>
        <w:jc w:val="center"/>
        <w:rPr>
          <w:rFonts w:cs="Arial"/>
          <w:b/>
          <w:szCs w:val="24"/>
        </w:rPr>
      </w:pPr>
      <w:r w:rsidRPr="00C5016E">
        <w:rPr>
          <w:rFonts w:cs="Arial"/>
          <w:b/>
          <w:szCs w:val="24"/>
        </w:rPr>
        <w:br w:type="page"/>
      </w:r>
      <w:r w:rsidRPr="00C5016E">
        <w:rPr>
          <w:rFonts w:cs="Arial"/>
          <w:b/>
        </w:rPr>
        <w:lastRenderedPageBreak/>
        <w:t>SADRŽAJ</w:t>
      </w:r>
    </w:p>
    <w:p w:rsidR="00C025DC" w:rsidRPr="00C5016E" w:rsidRDefault="00C025DC" w:rsidP="00C025DC">
      <w:pPr>
        <w:pStyle w:val="TOCHeading"/>
        <w:spacing w:before="120" w:after="0"/>
        <w:ind w:left="2880" w:firstLine="720"/>
        <w:rPr>
          <w:rFonts w:ascii="Arial" w:hAnsi="Arial" w:cs="Arial"/>
          <w:color w:val="auto"/>
          <w:lang w:val="hr-HR"/>
        </w:rPr>
      </w:pPr>
      <w:r w:rsidRPr="00C5016E">
        <w:rPr>
          <w:rFonts w:ascii="Arial" w:hAnsi="Arial" w:cs="Arial"/>
          <w:color w:val="auto"/>
          <w:lang w:val="hr-HR"/>
        </w:rPr>
        <w:fldChar w:fldCharType="begin"/>
      </w:r>
      <w:r w:rsidRPr="00C5016E">
        <w:rPr>
          <w:rFonts w:ascii="Arial" w:hAnsi="Arial" w:cs="Arial"/>
          <w:color w:val="auto"/>
          <w:lang w:val="hr-HR"/>
        </w:rPr>
        <w:instrText xml:space="preserve"> TOC \o "1-5" \h \z \u </w:instrText>
      </w:r>
      <w:r w:rsidRPr="00C5016E">
        <w:rPr>
          <w:rFonts w:ascii="Arial" w:hAnsi="Arial" w:cs="Arial"/>
          <w:color w:val="auto"/>
          <w:lang w:val="hr-HR"/>
        </w:rPr>
        <w:fldChar w:fldCharType="separate"/>
      </w:r>
    </w:p>
    <w:p w:rsidR="00C025DC" w:rsidRPr="00C5016E" w:rsidRDefault="00441739" w:rsidP="00C025DC">
      <w:pPr>
        <w:pStyle w:val="TOC1"/>
        <w:spacing w:before="120"/>
        <w:rPr>
          <w:rFonts w:eastAsiaTheme="minorEastAsia" w:cs="Arial"/>
          <w:b w:val="0"/>
          <w:noProof w:val="0"/>
          <w:sz w:val="22"/>
          <w:szCs w:val="22"/>
          <w:lang w:val="hr-HR" w:eastAsia="bs-Latn-BA"/>
        </w:rPr>
      </w:pPr>
      <w:hyperlink w:anchor="_Toc131505193" w:history="1">
        <w:r w:rsidR="00C025DC" w:rsidRPr="00C5016E">
          <w:rPr>
            <w:rStyle w:val="Hyperlink"/>
            <w:rFonts w:cs="Arial"/>
            <w:noProof w:val="0"/>
            <w:color w:val="auto"/>
            <w:lang w:val="hr-HR"/>
          </w:rPr>
          <w:t>1</w:t>
        </w:r>
        <w:r w:rsidR="00C025DC" w:rsidRPr="00C5016E">
          <w:rPr>
            <w:rFonts w:eastAsiaTheme="minorEastAsia" w:cs="Arial"/>
            <w:b w:val="0"/>
            <w:noProof w:val="0"/>
            <w:sz w:val="22"/>
            <w:szCs w:val="22"/>
            <w:lang w:val="hr-HR" w:eastAsia="bs-Latn-BA"/>
          </w:rPr>
          <w:tab/>
        </w:r>
        <w:r w:rsidR="00C025DC" w:rsidRPr="00C5016E">
          <w:rPr>
            <w:rStyle w:val="Hyperlink"/>
            <w:rFonts w:cs="Arial"/>
            <w:noProof w:val="0"/>
            <w:color w:val="auto"/>
            <w:lang w:val="hr-HR"/>
          </w:rPr>
          <w:t>UVOD</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_Toc131505193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4</w:t>
        </w:r>
        <w:r w:rsidR="00C025DC" w:rsidRPr="00C5016E">
          <w:rPr>
            <w:rFonts w:cs="Arial"/>
            <w:noProof w:val="0"/>
            <w:webHidden/>
            <w:lang w:val="hr-HR"/>
          </w:rPr>
          <w:fldChar w:fldCharType="end"/>
        </w:r>
      </w:hyperlink>
    </w:p>
    <w:p w:rsidR="00C025DC" w:rsidRPr="00C5016E" w:rsidRDefault="00441739" w:rsidP="00C025DC">
      <w:pPr>
        <w:pStyle w:val="TOC1"/>
        <w:spacing w:before="120"/>
        <w:rPr>
          <w:rFonts w:eastAsiaTheme="minorEastAsia" w:cs="Arial"/>
          <w:b w:val="0"/>
          <w:noProof w:val="0"/>
          <w:sz w:val="22"/>
          <w:szCs w:val="22"/>
          <w:lang w:val="hr-HR" w:eastAsia="bs-Latn-BA"/>
        </w:rPr>
      </w:pPr>
      <w:hyperlink w:anchor="_Toc131505194" w:history="1">
        <w:r w:rsidR="00C025DC" w:rsidRPr="00C5016E">
          <w:rPr>
            <w:rStyle w:val="Hyperlink"/>
            <w:rFonts w:cs="Arial"/>
            <w:noProof w:val="0"/>
            <w:color w:val="auto"/>
            <w:lang w:val="hr-HR"/>
          </w:rPr>
          <w:t>2</w:t>
        </w:r>
        <w:r w:rsidR="00C025DC" w:rsidRPr="00C5016E">
          <w:rPr>
            <w:rFonts w:eastAsiaTheme="minorEastAsia" w:cs="Arial"/>
            <w:b w:val="0"/>
            <w:noProof w:val="0"/>
            <w:sz w:val="22"/>
            <w:szCs w:val="22"/>
            <w:lang w:val="hr-HR" w:eastAsia="bs-Latn-BA"/>
          </w:rPr>
          <w:tab/>
        </w:r>
        <w:r w:rsidR="00C025DC" w:rsidRPr="00C5016E">
          <w:rPr>
            <w:rStyle w:val="Hyperlink"/>
            <w:rFonts w:cs="Arial"/>
            <w:noProof w:val="0"/>
            <w:color w:val="auto"/>
            <w:lang w:val="hr-HR"/>
          </w:rPr>
          <w:t>PRIHODI, PRIMICI I FINANCIRANJE</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_Toc131505194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7</w:t>
        </w:r>
        <w:r w:rsidR="00C025DC" w:rsidRPr="00C5016E">
          <w:rPr>
            <w:rFonts w:cs="Arial"/>
            <w:noProof w:val="0"/>
            <w:webHidden/>
            <w:lang w:val="hr-HR"/>
          </w:rPr>
          <w:fldChar w:fldCharType="end"/>
        </w:r>
      </w:hyperlink>
    </w:p>
    <w:p w:rsidR="00C025DC" w:rsidRPr="00C5016E" w:rsidRDefault="00441739" w:rsidP="00C025DC">
      <w:pPr>
        <w:pStyle w:val="TOC2"/>
        <w:spacing w:after="0" w:afterAutospacing="0"/>
        <w:rPr>
          <w:rFonts w:eastAsiaTheme="minorEastAsia" w:cs="Arial"/>
          <w:noProof w:val="0"/>
          <w:sz w:val="22"/>
          <w:lang w:val="hr-HR" w:eastAsia="bs-Latn-BA"/>
        </w:rPr>
      </w:pPr>
      <w:hyperlink w:anchor="_Toc131505195" w:history="1">
        <w:r w:rsidR="00C025DC" w:rsidRPr="00C5016E">
          <w:rPr>
            <w:rStyle w:val="Hyperlink"/>
            <w:rFonts w:cs="Arial"/>
            <w:noProof w:val="0"/>
            <w:color w:val="auto"/>
            <w:lang w:val="hr-HR"/>
          </w:rPr>
          <w:t>2.1</w:t>
        </w:r>
        <w:r w:rsidR="00C025DC" w:rsidRPr="00C5016E">
          <w:rPr>
            <w:rFonts w:eastAsiaTheme="minorEastAsia" w:cs="Arial"/>
            <w:noProof w:val="0"/>
            <w:sz w:val="22"/>
            <w:lang w:val="hr-HR" w:eastAsia="bs-Latn-BA"/>
          </w:rPr>
          <w:tab/>
        </w:r>
        <w:r w:rsidR="00C025DC" w:rsidRPr="00C5016E">
          <w:rPr>
            <w:rStyle w:val="Hyperlink"/>
            <w:rFonts w:cs="Arial"/>
            <w:noProof w:val="0"/>
            <w:color w:val="auto"/>
            <w:lang w:val="hr-HR"/>
          </w:rPr>
          <w:t>Prihodi od poreza</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_Toc131505195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10</w:t>
        </w:r>
        <w:r w:rsidR="00C025DC" w:rsidRPr="00C5016E">
          <w:rPr>
            <w:rFonts w:cs="Arial"/>
            <w:noProof w:val="0"/>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196" w:history="1">
        <w:r w:rsidR="00C025DC" w:rsidRPr="00C5016E">
          <w:rPr>
            <w:rStyle w:val="Hyperlink"/>
            <w:rFonts w:ascii="Arial" w:eastAsia="Batang" w:hAnsi="Arial" w:cs="Arial"/>
            <w:color w:val="auto"/>
            <w:lang w:val="hr-HR" w:eastAsia="ko-KR"/>
          </w:rPr>
          <w:t>2.1.1</w:t>
        </w:r>
        <w:r w:rsidR="00C025DC" w:rsidRPr="00C5016E">
          <w:rPr>
            <w:rFonts w:ascii="Arial" w:eastAsiaTheme="minorEastAsia" w:hAnsi="Arial" w:cs="Arial"/>
            <w:sz w:val="22"/>
            <w:lang w:val="hr-HR" w:eastAsia="bs-Latn-BA"/>
          </w:rPr>
          <w:tab/>
        </w:r>
        <w:r w:rsidR="00C025DC" w:rsidRPr="00C5016E">
          <w:rPr>
            <w:rStyle w:val="Hyperlink"/>
            <w:rFonts w:ascii="Arial" w:eastAsia="Batang" w:hAnsi="Arial" w:cs="Arial"/>
            <w:color w:val="auto"/>
            <w:lang w:val="hr-HR" w:eastAsia="ko-KR"/>
          </w:rPr>
          <w:t>Prihodi od poreza na dobit</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_Toc131505196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11</w:t>
        </w:r>
        <w:r w:rsidR="00C025DC" w:rsidRPr="00C5016E">
          <w:rPr>
            <w:rFonts w:ascii="Arial" w:hAnsi="Arial" w:cs="Arial"/>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197" w:history="1">
        <w:r w:rsidR="00C025DC" w:rsidRPr="00C5016E">
          <w:rPr>
            <w:rStyle w:val="Hyperlink"/>
            <w:rFonts w:ascii="Arial" w:eastAsia="Batang" w:hAnsi="Arial" w:cs="Arial"/>
            <w:color w:val="auto"/>
            <w:lang w:val="hr-HR" w:eastAsia="ko-KR"/>
          </w:rPr>
          <w:t>2.1.2</w:t>
        </w:r>
        <w:r w:rsidR="00C025DC" w:rsidRPr="00C5016E">
          <w:rPr>
            <w:rFonts w:ascii="Arial" w:eastAsiaTheme="minorEastAsia" w:hAnsi="Arial" w:cs="Arial"/>
            <w:sz w:val="22"/>
            <w:lang w:val="hr-HR" w:eastAsia="bs-Latn-BA"/>
          </w:rPr>
          <w:tab/>
        </w:r>
        <w:r w:rsidR="00C025DC" w:rsidRPr="00C5016E">
          <w:rPr>
            <w:rStyle w:val="Hyperlink"/>
            <w:rFonts w:ascii="Arial" w:eastAsia="Batang" w:hAnsi="Arial" w:cs="Arial"/>
            <w:color w:val="auto"/>
            <w:lang w:val="hr-HR" w:eastAsia="ko-KR"/>
          </w:rPr>
          <w:t>Doprinosi za mirovinsko i invalidsko osiguranje</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_Toc131505197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11</w:t>
        </w:r>
        <w:r w:rsidR="00C025DC" w:rsidRPr="00C5016E">
          <w:rPr>
            <w:rFonts w:ascii="Arial" w:hAnsi="Arial" w:cs="Arial"/>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198" w:history="1">
        <w:r w:rsidR="00C025DC" w:rsidRPr="00C5016E">
          <w:rPr>
            <w:rStyle w:val="Hyperlink"/>
            <w:rFonts w:ascii="Arial" w:eastAsia="Batang" w:hAnsi="Arial" w:cs="Arial"/>
            <w:color w:val="auto"/>
            <w:lang w:val="hr-HR" w:eastAsia="ko-KR"/>
          </w:rPr>
          <w:t>2.1.3</w:t>
        </w:r>
        <w:r w:rsidR="00C025DC" w:rsidRPr="00C5016E">
          <w:rPr>
            <w:rFonts w:ascii="Arial" w:eastAsiaTheme="minorEastAsia" w:hAnsi="Arial" w:cs="Arial"/>
            <w:sz w:val="22"/>
            <w:lang w:val="hr-HR" w:eastAsia="bs-Latn-BA"/>
          </w:rPr>
          <w:tab/>
        </w:r>
        <w:r w:rsidR="00C025DC" w:rsidRPr="00C5016E">
          <w:rPr>
            <w:rStyle w:val="Hyperlink"/>
            <w:rFonts w:ascii="Arial" w:eastAsia="Batang" w:hAnsi="Arial" w:cs="Arial"/>
            <w:color w:val="auto"/>
            <w:lang w:val="hr-HR" w:eastAsia="ko-KR"/>
          </w:rPr>
          <w:t>Prihodi od neizravnih poreza</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_Toc131505198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12</w:t>
        </w:r>
        <w:r w:rsidR="00C025DC" w:rsidRPr="00C5016E">
          <w:rPr>
            <w:rFonts w:ascii="Arial" w:hAnsi="Arial" w:cs="Arial"/>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199" w:history="1">
        <w:r w:rsidR="00C025DC" w:rsidRPr="00C5016E">
          <w:rPr>
            <w:rStyle w:val="Hyperlink"/>
            <w:rFonts w:ascii="Arial" w:eastAsia="Batang" w:hAnsi="Arial" w:cs="Arial"/>
            <w:color w:val="auto"/>
            <w:lang w:val="hr-HR" w:eastAsia="ko-KR"/>
          </w:rPr>
          <w:t>2.1.4</w:t>
        </w:r>
        <w:r w:rsidR="00C025DC" w:rsidRPr="00C5016E">
          <w:rPr>
            <w:rFonts w:ascii="Arial" w:eastAsiaTheme="minorEastAsia" w:hAnsi="Arial" w:cs="Arial"/>
            <w:sz w:val="22"/>
            <w:lang w:val="hr-HR" w:eastAsia="bs-Latn-BA"/>
          </w:rPr>
          <w:tab/>
        </w:r>
        <w:r w:rsidR="00C025DC" w:rsidRPr="00C5016E">
          <w:rPr>
            <w:rStyle w:val="Hyperlink"/>
            <w:rFonts w:ascii="Arial" w:eastAsia="Batang" w:hAnsi="Arial" w:cs="Arial"/>
            <w:color w:val="auto"/>
            <w:lang w:val="hr-HR" w:eastAsia="ko-KR"/>
          </w:rPr>
          <w:t>Ostali porezi</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_Toc131505199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13</w:t>
        </w:r>
        <w:r w:rsidR="00C025DC" w:rsidRPr="00C5016E">
          <w:rPr>
            <w:rFonts w:ascii="Arial" w:hAnsi="Arial" w:cs="Arial"/>
            <w:webHidden/>
            <w:lang w:val="hr-HR"/>
          </w:rPr>
          <w:fldChar w:fldCharType="end"/>
        </w:r>
      </w:hyperlink>
    </w:p>
    <w:p w:rsidR="00C025DC" w:rsidRPr="00C5016E" w:rsidRDefault="00441739" w:rsidP="00C025DC">
      <w:pPr>
        <w:pStyle w:val="TOC2"/>
        <w:spacing w:after="0" w:afterAutospacing="0"/>
        <w:rPr>
          <w:rFonts w:eastAsiaTheme="minorEastAsia" w:cs="Arial"/>
          <w:noProof w:val="0"/>
          <w:sz w:val="22"/>
          <w:lang w:val="hr-HR" w:eastAsia="bs-Latn-BA"/>
        </w:rPr>
      </w:pPr>
      <w:hyperlink w:anchor="_Toc131505200" w:history="1">
        <w:r w:rsidR="00C025DC" w:rsidRPr="00C5016E">
          <w:rPr>
            <w:rStyle w:val="Hyperlink"/>
            <w:rFonts w:cs="Arial"/>
            <w:noProof w:val="0"/>
            <w:color w:val="auto"/>
            <w:lang w:val="hr-HR"/>
          </w:rPr>
          <w:t>2.2</w:t>
        </w:r>
        <w:r w:rsidR="00C025DC" w:rsidRPr="00C5016E">
          <w:rPr>
            <w:rFonts w:eastAsiaTheme="minorEastAsia" w:cs="Arial"/>
            <w:noProof w:val="0"/>
            <w:sz w:val="22"/>
            <w:lang w:val="hr-HR" w:eastAsia="bs-Latn-BA"/>
          </w:rPr>
          <w:tab/>
        </w:r>
        <w:r w:rsidR="00C025DC" w:rsidRPr="00C5016E">
          <w:rPr>
            <w:rStyle w:val="Hyperlink"/>
            <w:rFonts w:cs="Arial"/>
            <w:noProof w:val="0"/>
            <w:color w:val="auto"/>
            <w:lang w:val="hr-HR"/>
          </w:rPr>
          <w:t>Neporezni prihodi</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_Toc131505200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13</w:t>
        </w:r>
        <w:r w:rsidR="00C025DC" w:rsidRPr="00C5016E">
          <w:rPr>
            <w:rFonts w:cs="Arial"/>
            <w:noProof w:val="0"/>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201" w:history="1">
        <w:r w:rsidR="00C025DC" w:rsidRPr="00C5016E">
          <w:rPr>
            <w:rStyle w:val="Hyperlink"/>
            <w:rFonts w:ascii="Arial" w:hAnsi="Arial" w:cs="Arial"/>
            <w:color w:val="auto"/>
            <w:lang w:val="hr-HR"/>
          </w:rPr>
          <w:t>2.2.1</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Prihodi od poduzetničkih aktivnosti i imovine</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_Toc131505201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14</w:t>
        </w:r>
        <w:r w:rsidR="00C025DC" w:rsidRPr="00C5016E">
          <w:rPr>
            <w:rFonts w:ascii="Arial" w:hAnsi="Arial" w:cs="Arial"/>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202" w:history="1">
        <w:r w:rsidR="00C025DC" w:rsidRPr="00C5016E">
          <w:rPr>
            <w:rStyle w:val="Hyperlink"/>
            <w:rFonts w:ascii="Arial" w:hAnsi="Arial" w:cs="Arial"/>
            <w:color w:val="auto"/>
            <w:lang w:val="hr-HR"/>
          </w:rPr>
          <w:t>2.2.2</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Naknade, pristojbe i prihodi od pružanja javnih usluga</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_Toc131505202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15</w:t>
        </w:r>
        <w:r w:rsidR="00C025DC" w:rsidRPr="00C5016E">
          <w:rPr>
            <w:rFonts w:ascii="Arial" w:hAnsi="Arial" w:cs="Arial"/>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203" w:history="1">
        <w:r w:rsidR="00C025DC" w:rsidRPr="00C5016E">
          <w:rPr>
            <w:rStyle w:val="Hyperlink"/>
            <w:rFonts w:ascii="Arial" w:hAnsi="Arial" w:cs="Arial"/>
            <w:color w:val="auto"/>
            <w:lang w:val="hr-HR"/>
          </w:rPr>
          <w:t>2.2.3</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Novčane kazne</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_Toc131505203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16</w:t>
        </w:r>
        <w:r w:rsidR="00C025DC" w:rsidRPr="00C5016E">
          <w:rPr>
            <w:rFonts w:ascii="Arial" w:hAnsi="Arial" w:cs="Arial"/>
            <w:webHidden/>
            <w:lang w:val="hr-HR"/>
          </w:rPr>
          <w:fldChar w:fldCharType="end"/>
        </w:r>
      </w:hyperlink>
    </w:p>
    <w:p w:rsidR="00C025DC" w:rsidRPr="00C5016E" w:rsidRDefault="00441739" w:rsidP="00C025DC">
      <w:pPr>
        <w:pStyle w:val="TOC2"/>
        <w:spacing w:after="0" w:afterAutospacing="0"/>
        <w:rPr>
          <w:rFonts w:eastAsiaTheme="minorEastAsia" w:cs="Arial"/>
          <w:noProof w:val="0"/>
          <w:sz w:val="22"/>
          <w:lang w:val="hr-HR" w:eastAsia="bs-Latn-BA"/>
        </w:rPr>
      </w:pPr>
      <w:hyperlink w:anchor="_Toc131505204" w:history="1">
        <w:r w:rsidR="00C025DC" w:rsidRPr="00C5016E">
          <w:rPr>
            <w:rStyle w:val="Hyperlink"/>
            <w:rFonts w:cs="Arial"/>
            <w:noProof w:val="0"/>
            <w:color w:val="auto"/>
            <w:lang w:val="hr-HR"/>
          </w:rPr>
          <w:t>2.3</w:t>
        </w:r>
        <w:r w:rsidR="00C025DC" w:rsidRPr="00C5016E">
          <w:rPr>
            <w:rFonts w:eastAsiaTheme="minorEastAsia" w:cs="Arial"/>
            <w:noProof w:val="0"/>
            <w:sz w:val="22"/>
            <w:lang w:val="hr-HR" w:eastAsia="bs-Latn-BA"/>
          </w:rPr>
          <w:tab/>
        </w:r>
        <w:r w:rsidR="00C025DC" w:rsidRPr="00C5016E">
          <w:rPr>
            <w:rStyle w:val="Hyperlink"/>
            <w:rFonts w:cs="Arial"/>
            <w:noProof w:val="0"/>
            <w:color w:val="auto"/>
            <w:lang w:val="hr-HR"/>
          </w:rPr>
          <w:t>Primljeni tekući transferi i donacije</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_Toc131505204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16</w:t>
        </w:r>
        <w:r w:rsidR="00C025DC" w:rsidRPr="00C5016E">
          <w:rPr>
            <w:rFonts w:cs="Arial"/>
            <w:noProof w:val="0"/>
            <w:webHidden/>
            <w:lang w:val="hr-HR"/>
          </w:rPr>
          <w:fldChar w:fldCharType="end"/>
        </w:r>
      </w:hyperlink>
    </w:p>
    <w:p w:rsidR="00C025DC" w:rsidRPr="00C5016E" w:rsidRDefault="00441739" w:rsidP="00C025DC">
      <w:pPr>
        <w:pStyle w:val="TOC2"/>
        <w:spacing w:after="0" w:afterAutospacing="0"/>
        <w:rPr>
          <w:rFonts w:eastAsiaTheme="minorEastAsia" w:cs="Arial"/>
          <w:noProof w:val="0"/>
          <w:sz w:val="22"/>
          <w:lang w:val="hr-HR" w:eastAsia="bs-Latn-BA"/>
        </w:rPr>
      </w:pPr>
      <w:hyperlink w:anchor="_Toc131505205" w:history="1">
        <w:r w:rsidR="00C025DC" w:rsidRPr="00C5016E">
          <w:rPr>
            <w:rStyle w:val="Hyperlink"/>
            <w:rFonts w:cs="Arial"/>
            <w:noProof w:val="0"/>
            <w:color w:val="auto"/>
            <w:lang w:val="hr-HR"/>
          </w:rPr>
          <w:t>2.4</w:t>
        </w:r>
        <w:r w:rsidR="00C025DC" w:rsidRPr="00C5016E">
          <w:rPr>
            <w:rFonts w:eastAsiaTheme="minorEastAsia" w:cs="Arial"/>
            <w:noProof w:val="0"/>
            <w:sz w:val="22"/>
            <w:lang w:val="hr-HR" w:eastAsia="bs-Latn-BA"/>
          </w:rPr>
          <w:tab/>
        </w:r>
        <w:r w:rsidR="00C025DC" w:rsidRPr="00C5016E">
          <w:rPr>
            <w:rStyle w:val="Hyperlink"/>
            <w:rFonts w:cs="Arial"/>
            <w:noProof w:val="0"/>
            <w:color w:val="auto"/>
            <w:lang w:val="hr-HR"/>
          </w:rPr>
          <w:t>Račun financiranja</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_Toc131505205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16</w:t>
        </w:r>
        <w:r w:rsidR="00C025DC" w:rsidRPr="00C5016E">
          <w:rPr>
            <w:rFonts w:cs="Arial"/>
            <w:noProof w:val="0"/>
            <w:webHidden/>
            <w:lang w:val="hr-HR"/>
          </w:rPr>
          <w:fldChar w:fldCharType="end"/>
        </w:r>
      </w:hyperlink>
    </w:p>
    <w:p w:rsidR="00C025DC" w:rsidRPr="00C5016E" w:rsidRDefault="00441739" w:rsidP="00C025DC">
      <w:pPr>
        <w:pStyle w:val="TOC2"/>
        <w:spacing w:after="0" w:afterAutospacing="0"/>
        <w:rPr>
          <w:rFonts w:eastAsiaTheme="minorEastAsia" w:cs="Arial"/>
          <w:noProof w:val="0"/>
          <w:sz w:val="22"/>
          <w:lang w:val="hr-HR" w:eastAsia="bs-Latn-BA"/>
        </w:rPr>
      </w:pPr>
      <w:hyperlink w:anchor="_Toc131505206" w:history="1">
        <w:r w:rsidR="00C025DC" w:rsidRPr="00C5016E">
          <w:rPr>
            <w:rStyle w:val="Hyperlink"/>
            <w:rFonts w:cs="Arial"/>
            <w:bCs/>
            <w:noProof w:val="0"/>
            <w:color w:val="auto"/>
            <w:lang w:val="hr-HR"/>
          </w:rPr>
          <w:t>2.5</w:t>
        </w:r>
        <w:r w:rsidR="00C025DC" w:rsidRPr="00C5016E">
          <w:rPr>
            <w:rFonts w:eastAsiaTheme="minorEastAsia" w:cs="Arial"/>
            <w:noProof w:val="0"/>
            <w:sz w:val="22"/>
            <w:lang w:val="hr-HR" w:eastAsia="bs-Latn-BA"/>
          </w:rPr>
          <w:tab/>
        </w:r>
        <w:r w:rsidR="00C025DC" w:rsidRPr="00C5016E">
          <w:rPr>
            <w:rStyle w:val="Hyperlink"/>
            <w:rFonts w:cs="Arial"/>
            <w:noProof w:val="0"/>
            <w:color w:val="auto"/>
            <w:lang w:val="hr-HR"/>
          </w:rPr>
          <w:t>Odstupanja između prihoda planiranih Proračunom Federacije BiH za 2022. godinu i ostvarenih u 2022. godini</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_Toc131505206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17</w:t>
        </w:r>
        <w:r w:rsidR="00C025DC" w:rsidRPr="00C5016E">
          <w:rPr>
            <w:rFonts w:cs="Arial"/>
            <w:noProof w:val="0"/>
            <w:webHidden/>
            <w:lang w:val="hr-HR"/>
          </w:rPr>
          <w:fldChar w:fldCharType="end"/>
        </w:r>
      </w:hyperlink>
    </w:p>
    <w:p w:rsidR="00C025DC" w:rsidRPr="00C5016E" w:rsidRDefault="00441739" w:rsidP="00C025DC">
      <w:pPr>
        <w:pStyle w:val="TOC1"/>
        <w:spacing w:before="120"/>
        <w:rPr>
          <w:rFonts w:eastAsiaTheme="minorEastAsia" w:cs="Arial"/>
          <w:b w:val="0"/>
          <w:noProof w:val="0"/>
          <w:sz w:val="22"/>
          <w:szCs w:val="22"/>
          <w:lang w:val="hr-HR" w:eastAsia="bs-Latn-BA"/>
        </w:rPr>
      </w:pPr>
      <w:hyperlink w:anchor="_Toc131505207" w:history="1">
        <w:r w:rsidR="00C025DC" w:rsidRPr="00C5016E">
          <w:rPr>
            <w:rStyle w:val="Hyperlink"/>
            <w:rFonts w:cs="Arial"/>
            <w:noProof w:val="0"/>
            <w:color w:val="auto"/>
            <w:lang w:val="hr-HR"/>
          </w:rPr>
          <w:t>3</w:t>
        </w:r>
        <w:r w:rsidR="00C025DC" w:rsidRPr="00C5016E">
          <w:rPr>
            <w:rFonts w:eastAsiaTheme="minorEastAsia" w:cs="Arial"/>
            <w:b w:val="0"/>
            <w:noProof w:val="0"/>
            <w:sz w:val="22"/>
            <w:szCs w:val="22"/>
            <w:lang w:val="hr-HR" w:eastAsia="bs-Latn-BA"/>
          </w:rPr>
          <w:tab/>
        </w:r>
        <w:r w:rsidR="00C025DC" w:rsidRPr="00C5016E">
          <w:rPr>
            <w:rStyle w:val="Hyperlink"/>
            <w:rFonts w:cs="Arial"/>
            <w:noProof w:val="0"/>
            <w:color w:val="auto"/>
            <w:lang w:val="hr-HR"/>
          </w:rPr>
          <w:t>RASHODI I IZDACI</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_Toc131505207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20</w:t>
        </w:r>
        <w:r w:rsidR="00C025DC" w:rsidRPr="00C5016E">
          <w:rPr>
            <w:rFonts w:cs="Arial"/>
            <w:noProof w:val="0"/>
            <w:webHidden/>
            <w:lang w:val="hr-HR"/>
          </w:rPr>
          <w:fldChar w:fldCharType="end"/>
        </w:r>
      </w:hyperlink>
    </w:p>
    <w:p w:rsidR="00C025DC" w:rsidRPr="00C5016E" w:rsidRDefault="00441739" w:rsidP="00C025DC">
      <w:pPr>
        <w:pStyle w:val="TOC2"/>
        <w:spacing w:after="0" w:afterAutospacing="0"/>
        <w:rPr>
          <w:rFonts w:eastAsiaTheme="minorEastAsia" w:cs="Arial"/>
          <w:noProof w:val="0"/>
          <w:sz w:val="22"/>
          <w:lang w:val="hr-HR" w:eastAsia="bs-Latn-BA"/>
        </w:rPr>
      </w:pPr>
      <w:hyperlink w:anchor="_Toc131505208" w:history="1">
        <w:r w:rsidR="00C025DC" w:rsidRPr="00C5016E">
          <w:rPr>
            <w:rStyle w:val="Hyperlink"/>
            <w:rFonts w:cs="Arial"/>
            <w:noProof w:val="0"/>
            <w:color w:val="auto"/>
            <w:lang w:val="hr-HR"/>
          </w:rPr>
          <w:t>3.1</w:t>
        </w:r>
        <w:r w:rsidR="00C025DC" w:rsidRPr="00C5016E">
          <w:rPr>
            <w:rFonts w:eastAsiaTheme="minorEastAsia" w:cs="Arial"/>
            <w:noProof w:val="0"/>
            <w:sz w:val="22"/>
            <w:lang w:val="hr-HR" w:eastAsia="bs-Latn-BA"/>
          </w:rPr>
          <w:tab/>
        </w:r>
        <w:r w:rsidR="00C025DC" w:rsidRPr="00C5016E">
          <w:rPr>
            <w:rStyle w:val="Hyperlink"/>
            <w:rFonts w:cs="Arial"/>
            <w:noProof w:val="0"/>
            <w:color w:val="auto"/>
            <w:lang w:val="hr-HR"/>
          </w:rPr>
          <w:t>Tekući rashodi</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_Toc131505208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23</w:t>
        </w:r>
        <w:r w:rsidR="00C025DC" w:rsidRPr="00C5016E">
          <w:rPr>
            <w:rFonts w:cs="Arial"/>
            <w:noProof w:val="0"/>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209" w:history="1">
        <w:r w:rsidR="00C025DC" w:rsidRPr="00C5016E">
          <w:rPr>
            <w:rStyle w:val="Hyperlink"/>
            <w:rFonts w:ascii="Arial" w:hAnsi="Arial" w:cs="Arial"/>
            <w:color w:val="auto"/>
            <w:lang w:val="hr-HR"/>
          </w:rPr>
          <w:t>3.1.1</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Plaće i naknade troškova zaposlenih</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_Toc131505209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24</w:t>
        </w:r>
        <w:r w:rsidR="00C025DC" w:rsidRPr="00C5016E">
          <w:rPr>
            <w:rFonts w:ascii="Arial" w:hAnsi="Arial" w:cs="Arial"/>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210" w:history="1">
        <w:r w:rsidR="00C025DC" w:rsidRPr="00C5016E">
          <w:rPr>
            <w:rStyle w:val="Hyperlink"/>
            <w:rFonts w:ascii="Arial" w:hAnsi="Arial" w:cs="Arial"/>
            <w:color w:val="auto"/>
            <w:lang w:val="hr-HR"/>
          </w:rPr>
          <w:t>3.1.2</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Doprinosi poslodavca i ostali doprinosi</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_Toc131505210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25</w:t>
        </w:r>
        <w:r w:rsidR="00C025DC" w:rsidRPr="00C5016E">
          <w:rPr>
            <w:rFonts w:ascii="Arial" w:hAnsi="Arial" w:cs="Arial"/>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211" w:history="1">
        <w:r w:rsidR="00C025DC" w:rsidRPr="00C5016E">
          <w:rPr>
            <w:rStyle w:val="Hyperlink"/>
            <w:rFonts w:ascii="Arial" w:hAnsi="Arial" w:cs="Arial"/>
            <w:color w:val="auto"/>
            <w:lang w:val="hr-HR"/>
          </w:rPr>
          <w:t>3.1.3</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Izdaci za materijal, sitni inventar i usluge</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_Toc131505211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25</w:t>
        </w:r>
        <w:r w:rsidR="00C025DC" w:rsidRPr="00C5016E">
          <w:rPr>
            <w:rFonts w:ascii="Arial" w:hAnsi="Arial" w:cs="Arial"/>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212" w:history="1">
        <w:r w:rsidR="00C025DC" w:rsidRPr="00C5016E">
          <w:rPr>
            <w:rStyle w:val="Hyperlink"/>
            <w:rFonts w:ascii="Arial" w:hAnsi="Arial" w:cs="Arial"/>
            <w:color w:val="auto"/>
            <w:lang w:val="hr-HR"/>
          </w:rPr>
          <w:t>3.1.4</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Tekući transferi i drugi tekući rashodi</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_Toc131505212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25</w:t>
        </w:r>
        <w:r w:rsidR="00C025DC" w:rsidRPr="00C5016E">
          <w:rPr>
            <w:rFonts w:ascii="Arial" w:hAnsi="Arial" w:cs="Arial"/>
            <w:webHidden/>
            <w:lang w:val="hr-HR"/>
          </w:rPr>
          <w:fldChar w:fldCharType="end"/>
        </w:r>
      </w:hyperlink>
    </w:p>
    <w:p w:rsidR="00C025DC" w:rsidRPr="00C5016E" w:rsidRDefault="00441739" w:rsidP="00C025DC">
      <w:pPr>
        <w:pStyle w:val="TOC4"/>
        <w:tabs>
          <w:tab w:val="left" w:pos="1760"/>
          <w:tab w:val="right" w:leader="dot" w:pos="8827"/>
        </w:tabs>
        <w:spacing w:before="120" w:after="0"/>
        <w:rPr>
          <w:rFonts w:ascii="Arial" w:eastAsiaTheme="minorEastAsia" w:hAnsi="Arial" w:cs="Arial"/>
          <w:sz w:val="22"/>
          <w:lang w:val="hr-HR" w:eastAsia="bs-Latn-BA"/>
        </w:rPr>
      </w:pPr>
      <w:hyperlink w:anchor="_Toc131505213" w:history="1">
        <w:r w:rsidR="00C025DC" w:rsidRPr="00C5016E">
          <w:rPr>
            <w:rStyle w:val="Hyperlink"/>
            <w:rFonts w:ascii="Arial" w:hAnsi="Arial" w:cs="Arial"/>
            <w:color w:val="auto"/>
            <w:lang w:val="hr-HR"/>
          </w:rPr>
          <w:t>3.1.4.1</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 xml:space="preserve">Transfer drugim </w:t>
        </w:r>
        <w:r w:rsidR="00EF4C3C" w:rsidRPr="00C5016E">
          <w:rPr>
            <w:rStyle w:val="Hyperlink"/>
            <w:rFonts w:ascii="Arial" w:hAnsi="Arial" w:cs="Arial"/>
            <w:color w:val="auto"/>
            <w:lang w:val="hr-HR"/>
          </w:rPr>
          <w:t>razinama</w:t>
        </w:r>
        <w:r w:rsidR="00C025DC" w:rsidRPr="00C5016E">
          <w:rPr>
            <w:rStyle w:val="Hyperlink"/>
            <w:rFonts w:ascii="Arial" w:hAnsi="Arial" w:cs="Arial"/>
            <w:color w:val="auto"/>
            <w:lang w:val="hr-HR"/>
          </w:rPr>
          <w:t xml:space="preserve"> vlasti</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_Toc131505213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26</w:t>
        </w:r>
        <w:r w:rsidR="00C025DC" w:rsidRPr="00C5016E">
          <w:rPr>
            <w:rFonts w:ascii="Arial" w:hAnsi="Arial" w:cs="Arial"/>
            <w:webHidden/>
            <w:lang w:val="hr-HR"/>
          </w:rPr>
          <w:fldChar w:fldCharType="end"/>
        </w:r>
      </w:hyperlink>
    </w:p>
    <w:p w:rsidR="00C025DC" w:rsidRPr="00C5016E" w:rsidRDefault="00441739" w:rsidP="00C025DC">
      <w:pPr>
        <w:pStyle w:val="TOC4"/>
        <w:tabs>
          <w:tab w:val="left" w:pos="1760"/>
          <w:tab w:val="right" w:leader="dot" w:pos="8827"/>
        </w:tabs>
        <w:spacing w:before="120" w:after="0"/>
        <w:rPr>
          <w:rFonts w:ascii="Arial" w:eastAsiaTheme="minorEastAsia" w:hAnsi="Arial" w:cs="Arial"/>
          <w:sz w:val="22"/>
          <w:lang w:val="hr-HR" w:eastAsia="bs-Latn-BA"/>
        </w:rPr>
      </w:pPr>
      <w:hyperlink w:anchor="_Toc131505214" w:history="1">
        <w:r w:rsidR="00C025DC" w:rsidRPr="00C5016E">
          <w:rPr>
            <w:rStyle w:val="Hyperlink"/>
            <w:rFonts w:ascii="Arial" w:hAnsi="Arial" w:cs="Arial"/>
            <w:color w:val="auto"/>
            <w:lang w:val="hr-HR"/>
          </w:rPr>
          <w:t>3.1.4.2</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Transfer za zdravstvo</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_Toc131505214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27</w:t>
        </w:r>
        <w:r w:rsidR="00C025DC" w:rsidRPr="00C5016E">
          <w:rPr>
            <w:rFonts w:ascii="Arial" w:hAnsi="Arial" w:cs="Arial"/>
            <w:webHidden/>
            <w:lang w:val="hr-HR"/>
          </w:rPr>
          <w:fldChar w:fldCharType="end"/>
        </w:r>
      </w:hyperlink>
    </w:p>
    <w:p w:rsidR="00C025DC" w:rsidRPr="00C5016E" w:rsidRDefault="00441739" w:rsidP="00C025DC">
      <w:pPr>
        <w:pStyle w:val="TOC4"/>
        <w:tabs>
          <w:tab w:val="left" w:pos="1760"/>
          <w:tab w:val="right" w:leader="dot" w:pos="8827"/>
        </w:tabs>
        <w:spacing w:before="120" w:after="0"/>
        <w:rPr>
          <w:rFonts w:ascii="Arial" w:eastAsiaTheme="minorEastAsia" w:hAnsi="Arial" w:cs="Arial"/>
          <w:sz w:val="22"/>
          <w:lang w:val="hr-HR" w:eastAsia="bs-Latn-BA"/>
        </w:rPr>
      </w:pPr>
      <w:hyperlink w:anchor="_Toc131505215" w:history="1">
        <w:r w:rsidR="00C025DC" w:rsidRPr="00C5016E">
          <w:rPr>
            <w:rStyle w:val="Hyperlink"/>
            <w:rFonts w:ascii="Arial" w:hAnsi="Arial" w:cs="Arial"/>
            <w:color w:val="auto"/>
            <w:lang w:val="hr-HR"/>
          </w:rPr>
          <w:t>3.1.4.3</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Transfer neprofitnim organizacijama</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_Toc131505215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27</w:t>
        </w:r>
        <w:r w:rsidR="00C025DC" w:rsidRPr="00C5016E">
          <w:rPr>
            <w:rFonts w:ascii="Arial" w:hAnsi="Arial" w:cs="Arial"/>
            <w:webHidden/>
            <w:lang w:val="hr-HR"/>
          </w:rPr>
          <w:fldChar w:fldCharType="end"/>
        </w:r>
      </w:hyperlink>
    </w:p>
    <w:p w:rsidR="00C025DC" w:rsidRPr="00C5016E" w:rsidRDefault="00441739" w:rsidP="00C025DC">
      <w:pPr>
        <w:pStyle w:val="TOC4"/>
        <w:tabs>
          <w:tab w:val="left" w:pos="1760"/>
          <w:tab w:val="right" w:leader="dot" w:pos="8827"/>
        </w:tabs>
        <w:spacing w:before="120" w:after="0"/>
        <w:rPr>
          <w:rFonts w:ascii="Arial" w:eastAsiaTheme="minorEastAsia" w:hAnsi="Arial" w:cs="Arial"/>
          <w:sz w:val="22"/>
          <w:lang w:val="hr-HR" w:eastAsia="bs-Latn-BA"/>
        </w:rPr>
      </w:pPr>
      <w:hyperlink w:anchor="_Toc131505216" w:history="1">
        <w:r w:rsidR="00C025DC" w:rsidRPr="00C5016E">
          <w:rPr>
            <w:rStyle w:val="Hyperlink"/>
            <w:rFonts w:ascii="Arial" w:hAnsi="Arial" w:cs="Arial"/>
            <w:color w:val="auto"/>
            <w:lang w:val="hr-HR"/>
          </w:rPr>
          <w:t>3.1.4.4</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Subvencije javnim p</w:t>
        </w:r>
        <w:r w:rsidR="00EF4C3C" w:rsidRPr="00C5016E">
          <w:rPr>
            <w:rStyle w:val="Hyperlink"/>
            <w:rFonts w:ascii="Arial" w:hAnsi="Arial" w:cs="Arial"/>
            <w:color w:val="auto"/>
            <w:lang w:val="hr-HR"/>
          </w:rPr>
          <w:t>o</w:t>
        </w:r>
        <w:r w:rsidR="00C025DC" w:rsidRPr="00C5016E">
          <w:rPr>
            <w:rStyle w:val="Hyperlink"/>
            <w:rFonts w:ascii="Arial" w:hAnsi="Arial" w:cs="Arial"/>
            <w:color w:val="auto"/>
            <w:lang w:val="hr-HR"/>
          </w:rPr>
          <w:t>duzećima</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_Toc131505216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27</w:t>
        </w:r>
        <w:r w:rsidR="00C025DC" w:rsidRPr="00C5016E">
          <w:rPr>
            <w:rFonts w:ascii="Arial" w:hAnsi="Arial" w:cs="Arial"/>
            <w:webHidden/>
            <w:lang w:val="hr-HR"/>
          </w:rPr>
          <w:fldChar w:fldCharType="end"/>
        </w:r>
      </w:hyperlink>
    </w:p>
    <w:p w:rsidR="00C025DC" w:rsidRPr="00C5016E" w:rsidRDefault="00441739" w:rsidP="00C025DC">
      <w:pPr>
        <w:pStyle w:val="TOC4"/>
        <w:tabs>
          <w:tab w:val="left" w:pos="1760"/>
          <w:tab w:val="right" w:leader="dot" w:pos="8827"/>
        </w:tabs>
        <w:spacing w:before="120" w:after="0"/>
        <w:rPr>
          <w:rFonts w:ascii="Arial" w:eastAsiaTheme="minorEastAsia" w:hAnsi="Arial" w:cs="Arial"/>
          <w:sz w:val="22"/>
          <w:lang w:val="hr-HR" w:eastAsia="bs-Latn-BA"/>
        </w:rPr>
      </w:pPr>
      <w:hyperlink w:anchor="_Toc131505217" w:history="1">
        <w:r w:rsidR="00C025DC" w:rsidRPr="00C5016E">
          <w:rPr>
            <w:rStyle w:val="Hyperlink"/>
            <w:rFonts w:ascii="Arial" w:hAnsi="Arial" w:cs="Arial"/>
            <w:color w:val="auto"/>
            <w:lang w:val="hr-HR"/>
          </w:rPr>
          <w:t>3.1.4.5</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Subvencije privatnim p</w:t>
        </w:r>
        <w:r w:rsidR="00EF4C3C" w:rsidRPr="00C5016E">
          <w:rPr>
            <w:rStyle w:val="Hyperlink"/>
            <w:rFonts w:ascii="Arial" w:hAnsi="Arial" w:cs="Arial"/>
            <w:color w:val="auto"/>
            <w:lang w:val="hr-HR"/>
          </w:rPr>
          <w:t>o</w:t>
        </w:r>
        <w:r w:rsidR="00C025DC" w:rsidRPr="00C5016E">
          <w:rPr>
            <w:rStyle w:val="Hyperlink"/>
            <w:rFonts w:ascii="Arial" w:hAnsi="Arial" w:cs="Arial"/>
            <w:color w:val="auto"/>
            <w:lang w:val="hr-HR"/>
          </w:rPr>
          <w:t>duzećima i poduzetnicima</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_Toc131505217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28</w:t>
        </w:r>
        <w:r w:rsidR="00C025DC" w:rsidRPr="00C5016E">
          <w:rPr>
            <w:rFonts w:ascii="Arial" w:hAnsi="Arial" w:cs="Arial"/>
            <w:webHidden/>
            <w:lang w:val="hr-HR"/>
          </w:rPr>
          <w:fldChar w:fldCharType="end"/>
        </w:r>
      </w:hyperlink>
    </w:p>
    <w:p w:rsidR="00C025DC" w:rsidRPr="00C5016E" w:rsidRDefault="00441739" w:rsidP="00C025DC">
      <w:pPr>
        <w:pStyle w:val="TOC4"/>
        <w:tabs>
          <w:tab w:val="left" w:pos="1760"/>
          <w:tab w:val="right" w:leader="dot" w:pos="8827"/>
        </w:tabs>
        <w:spacing w:before="120" w:after="0"/>
        <w:rPr>
          <w:rFonts w:ascii="Arial" w:eastAsiaTheme="minorEastAsia" w:hAnsi="Arial" w:cs="Arial"/>
          <w:sz w:val="22"/>
          <w:lang w:val="hr-HR" w:eastAsia="bs-Latn-BA"/>
        </w:rPr>
      </w:pPr>
      <w:hyperlink w:anchor="_Toc131505218" w:history="1">
        <w:r w:rsidR="00C025DC" w:rsidRPr="00C5016E">
          <w:rPr>
            <w:rStyle w:val="Hyperlink"/>
            <w:rFonts w:ascii="Arial" w:hAnsi="Arial" w:cs="Arial"/>
            <w:color w:val="auto"/>
            <w:lang w:val="hr-HR"/>
          </w:rPr>
          <w:t>3.1.4.6</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Drugi tekući rashodi</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_Toc131505218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28</w:t>
        </w:r>
        <w:r w:rsidR="00C025DC" w:rsidRPr="00C5016E">
          <w:rPr>
            <w:rFonts w:ascii="Arial" w:hAnsi="Arial" w:cs="Arial"/>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219" w:history="1">
        <w:r w:rsidR="00C025DC" w:rsidRPr="00C5016E">
          <w:rPr>
            <w:rStyle w:val="Hyperlink"/>
            <w:rFonts w:ascii="Arial" w:hAnsi="Arial" w:cs="Arial"/>
            <w:color w:val="auto"/>
            <w:lang w:val="hr-HR"/>
          </w:rPr>
          <w:t>3.1.5</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Izdaci za kamate i ostale naknade</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_Toc131505219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29</w:t>
        </w:r>
        <w:r w:rsidR="00C025DC" w:rsidRPr="00C5016E">
          <w:rPr>
            <w:rFonts w:ascii="Arial" w:hAnsi="Arial" w:cs="Arial"/>
            <w:webHidden/>
            <w:lang w:val="hr-HR"/>
          </w:rPr>
          <w:fldChar w:fldCharType="end"/>
        </w:r>
      </w:hyperlink>
    </w:p>
    <w:p w:rsidR="00C025DC" w:rsidRPr="00C5016E" w:rsidRDefault="00441739" w:rsidP="00C025DC">
      <w:pPr>
        <w:pStyle w:val="TOC2"/>
        <w:spacing w:after="0" w:afterAutospacing="0"/>
        <w:rPr>
          <w:rFonts w:eastAsiaTheme="minorEastAsia" w:cs="Arial"/>
          <w:noProof w:val="0"/>
          <w:sz w:val="22"/>
          <w:lang w:val="hr-HR" w:eastAsia="bs-Latn-BA"/>
        </w:rPr>
      </w:pPr>
      <w:hyperlink w:anchor="_Toc131505220" w:history="1">
        <w:r w:rsidR="00C025DC" w:rsidRPr="00C5016E">
          <w:rPr>
            <w:rStyle w:val="Hyperlink"/>
            <w:rFonts w:cs="Arial"/>
            <w:noProof w:val="0"/>
            <w:color w:val="auto"/>
            <w:lang w:val="hr-HR"/>
          </w:rPr>
          <w:t>3.2</w:t>
        </w:r>
        <w:r w:rsidR="00C025DC" w:rsidRPr="00C5016E">
          <w:rPr>
            <w:rFonts w:eastAsiaTheme="minorEastAsia" w:cs="Arial"/>
            <w:noProof w:val="0"/>
            <w:sz w:val="22"/>
            <w:lang w:val="hr-HR" w:eastAsia="bs-Latn-BA"/>
          </w:rPr>
          <w:tab/>
        </w:r>
        <w:r w:rsidR="00C025DC" w:rsidRPr="00C5016E">
          <w:rPr>
            <w:rStyle w:val="Hyperlink"/>
            <w:rFonts w:cs="Arial"/>
            <w:noProof w:val="0"/>
            <w:color w:val="auto"/>
            <w:lang w:val="hr-HR"/>
          </w:rPr>
          <w:t>Kapitalni izdaci</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_Toc131505220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29</w:t>
        </w:r>
        <w:r w:rsidR="00C025DC" w:rsidRPr="00C5016E">
          <w:rPr>
            <w:rFonts w:cs="Arial"/>
            <w:noProof w:val="0"/>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221" w:history="1">
        <w:r w:rsidR="00C025DC" w:rsidRPr="00C5016E">
          <w:rPr>
            <w:rStyle w:val="Hyperlink"/>
            <w:rFonts w:ascii="Arial" w:hAnsi="Arial" w:cs="Arial"/>
            <w:color w:val="auto"/>
            <w:lang w:val="hr-HR"/>
          </w:rPr>
          <w:t>3.2.1</w:t>
        </w:r>
        <w:r w:rsidR="00C025DC" w:rsidRPr="00C5016E">
          <w:rPr>
            <w:rFonts w:ascii="Arial" w:eastAsiaTheme="minorEastAsia" w:hAnsi="Arial" w:cs="Arial"/>
            <w:sz w:val="22"/>
            <w:lang w:val="hr-HR" w:eastAsia="bs-Latn-BA"/>
          </w:rPr>
          <w:tab/>
        </w:r>
        <w:r w:rsidR="00EF4C3C" w:rsidRPr="00C5016E">
          <w:rPr>
            <w:rStyle w:val="Hyperlink"/>
            <w:rFonts w:ascii="Arial" w:hAnsi="Arial" w:cs="Arial"/>
            <w:color w:val="auto"/>
            <w:lang w:val="hr-HR"/>
          </w:rPr>
          <w:t>Izdaci za nabav</w:t>
        </w:r>
        <w:r w:rsidR="00C025DC" w:rsidRPr="00C5016E">
          <w:rPr>
            <w:rStyle w:val="Hyperlink"/>
            <w:rFonts w:ascii="Arial" w:hAnsi="Arial" w:cs="Arial"/>
            <w:color w:val="auto"/>
            <w:lang w:val="hr-HR"/>
          </w:rPr>
          <w:t>u stalnih sredstava</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_Toc131505221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30</w:t>
        </w:r>
        <w:r w:rsidR="00C025DC" w:rsidRPr="00C5016E">
          <w:rPr>
            <w:rFonts w:ascii="Arial" w:hAnsi="Arial" w:cs="Arial"/>
            <w:webHidden/>
            <w:lang w:val="hr-HR"/>
          </w:rPr>
          <w:fldChar w:fldCharType="end"/>
        </w:r>
      </w:hyperlink>
    </w:p>
    <w:p w:rsidR="00C025DC" w:rsidRPr="00C5016E" w:rsidRDefault="00441739" w:rsidP="00C025DC">
      <w:pPr>
        <w:pStyle w:val="TOC3"/>
        <w:spacing w:before="120"/>
        <w:rPr>
          <w:rFonts w:ascii="Arial" w:eastAsiaTheme="minorEastAsia" w:hAnsi="Arial" w:cs="Arial"/>
          <w:sz w:val="22"/>
          <w:lang w:val="hr-HR" w:eastAsia="bs-Latn-BA"/>
        </w:rPr>
      </w:pPr>
      <w:hyperlink w:anchor="_Toc131505222" w:history="1">
        <w:r w:rsidR="00C025DC" w:rsidRPr="00C5016E">
          <w:rPr>
            <w:rStyle w:val="Hyperlink"/>
            <w:rFonts w:ascii="Arial" w:hAnsi="Arial" w:cs="Arial"/>
            <w:color w:val="auto"/>
            <w:lang w:val="hr-HR"/>
          </w:rPr>
          <w:t>3.2.2</w:t>
        </w:r>
        <w:r w:rsidR="00C025DC" w:rsidRPr="00C5016E">
          <w:rPr>
            <w:rFonts w:ascii="Arial" w:eastAsiaTheme="minorEastAsia" w:hAnsi="Arial" w:cs="Arial"/>
            <w:sz w:val="22"/>
            <w:lang w:val="hr-HR" w:eastAsia="bs-Latn-BA"/>
          </w:rPr>
          <w:tab/>
        </w:r>
        <w:r w:rsidR="00C025DC" w:rsidRPr="00C5016E">
          <w:rPr>
            <w:rStyle w:val="Hyperlink"/>
            <w:rFonts w:ascii="Arial" w:hAnsi="Arial" w:cs="Arial"/>
            <w:color w:val="auto"/>
            <w:lang w:val="hr-HR"/>
          </w:rPr>
          <w:t>Kapitalni transferi</w:t>
        </w:r>
        <w:r w:rsidR="00C025DC" w:rsidRPr="00C5016E">
          <w:rPr>
            <w:rFonts w:ascii="Arial" w:hAnsi="Arial" w:cs="Arial"/>
            <w:webHidden/>
            <w:lang w:val="hr-HR"/>
          </w:rPr>
          <w:tab/>
        </w:r>
        <w:r w:rsidR="00C025DC" w:rsidRPr="00C5016E">
          <w:rPr>
            <w:rFonts w:ascii="Arial" w:hAnsi="Arial" w:cs="Arial"/>
            <w:webHidden/>
            <w:lang w:val="hr-HR"/>
          </w:rPr>
          <w:fldChar w:fldCharType="begin"/>
        </w:r>
        <w:r w:rsidR="00C025DC" w:rsidRPr="00C5016E">
          <w:rPr>
            <w:rFonts w:ascii="Arial" w:hAnsi="Arial" w:cs="Arial"/>
            <w:webHidden/>
            <w:lang w:val="hr-HR"/>
          </w:rPr>
          <w:instrText xml:space="preserve"> PAGEREF _Toc131505222 \h </w:instrText>
        </w:r>
        <w:r w:rsidR="00C025DC" w:rsidRPr="00C5016E">
          <w:rPr>
            <w:rFonts w:ascii="Arial" w:hAnsi="Arial" w:cs="Arial"/>
            <w:webHidden/>
            <w:lang w:val="hr-HR"/>
          </w:rPr>
        </w:r>
        <w:r w:rsidR="00C025DC" w:rsidRPr="00C5016E">
          <w:rPr>
            <w:rFonts w:ascii="Arial" w:hAnsi="Arial" w:cs="Arial"/>
            <w:webHidden/>
            <w:lang w:val="hr-HR"/>
          </w:rPr>
          <w:fldChar w:fldCharType="separate"/>
        </w:r>
        <w:r w:rsidR="0070505C" w:rsidRPr="00C5016E">
          <w:rPr>
            <w:rFonts w:ascii="Arial" w:hAnsi="Arial" w:cs="Arial"/>
            <w:noProof/>
            <w:webHidden/>
            <w:lang w:val="hr-HR"/>
          </w:rPr>
          <w:t>30</w:t>
        </w:r>
        <w:r w:rsidR="00C025DC" w:rsidRPr="00C5016E">
          <w:rPr>
            <w:rFonts w:ascii="Arial" w:hAnsi="Arial" w:cs="Arial"/>
            <w:webHidden/>
            <w:lang w:val="hr-HR"/>
          </w:rPr>
          <w:fldChar w:fldCharType="end"/>
        </w:r>
      </w:hyperlink>
    </w:p>
    <w:p w:rsidR="00C025DC" w:rsidRPr="00C5016E" w:rsidRDefault="00441739" w:rsidP="00C025DC">
      <w:pPr>
        <w:pStyle w:val="TOC2"/>
        <w:spacing w:after="0" w:afterAutospacing="0"/>
        <w:rPr>
          <w:rFonts w:eastAsiaTheme="minorEastAsia" w:cs="Arial"/>
          <w:noProof w:val="0"/>
          <w:sz w:val="22"/>
          <w:lang w:val="hr-HR" w:eastAsia="bs-Latn-BA"/>
        </w:rPr>
      </w:pPr>
      <w:hyperlink w:anchor="_Toc131505223" w:history="1">
        <w:r w:rsidR="00C025DC" w:rsidRPr="00C5016E">
          <w:rPr>
            <w:rStyle w:val="Hyperlink"/>
            <w:rFonts w:cs="Arial"/>
            <w:noProof w:val="0"/>
            <w:color w:val="auto"/>
            <w:lang w:val="hr-HR"/>
          </w:rPr>
          <w:t>3.3</w:t>
        </w:r>
        <w:r w:rsidR="00C025DC" w:rsidRPr="00C5016E">
          <w:rPr>
            <w:rFonts w:eastAsiaTheme="minorEastAsia" w:cs="Arial"/>
            <w:noProof w:val="0"/>
            <w:sz w:val="22"/>
            <w:lang w:val="hr-HR" w:eastAsia="bs-Latn-BA"/>
          </w:rPr>
          <w:tab/>
        </w:r>
        <w:r w:rsidR="00C025DC" w:rsidRPr="00C5016E">
          <w:rPr>
            <w:rStyle w:val="Hyperlink"/>
            <w:rFonts w:cs="Arial"/>
            <w:noProof w:val="0"/>
            <w:color w:val="auto"/>
            <w:lang w:val="hr-HR"/>
          </w:rPr>
          <w:t>Izdaci za financijsku imovinu</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_Toc131505223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31</w:t>
        </w:r>
        <w:r w:rsidR="00C025DC" w:rsidRPr="00C5016E">
          <w:rPr>
            <w:rFonts w:cs="Arial"/>
            <w:noProof w:val="0"/>
            <w:webHidden/>
            <w:lang w:val="hr-HR"/>
          </w:rPr>
          <w:fldChar w:fldCharType="end"/>
        </w:r>
      </w:hyperlink>
    </w:p>
    <w:p w:rsidR="00C025DC" w:rsidRPr="00C5016E" w:rsidRDefault="00441739" w:rsidP="00C025DC">
      <w:pPr>
        <w:pStyle w:val="TOC2"/>
        <w:spacing w:after="0" w:afterAutospacing="0"/>
        <w:rPr>
          <w:rFonts w:eastAsiaTheme="minorEastAsia" w:cs="Arial"/>
          <w:noProof w:val="0"/>
          <w:sz w:val="22"/>
          <w:lang w:val="hr-HR" w:eastAsia="bs-Latn-BA"/>
        </w:rPr>
      </w:pPr>
      <w:hyperlink w:anchor="_Toc131505224" w:history="1">
        <w:r w:rsidR="00C025DC" w:rsidRPr="00C5016E">
          <w:rPr>
            <w:rStyle w:val="Hyperlink"/>
            <w:rFonts w:cs="Arial"/>
            <w:noProof w:val="0"/>
            <w:color w:val="auto"/>
            <w:lang w:val="hr-HR"/>
          </w:rPr>
          <w:t>3.4</w:t>
        </w:r>
        <w:r w:rsidR="00C025DC" w:rsidRPr="00C5016E">
          <w:rPr>
            <w:rFonts w:eastAsiaTheme="minorEastAsia" w:cs="Arial"/>
            <w:noProof w:val="0"/>
            <w:sz w:val="22"/>
            <w:lang w:val="hr-HR" w:eastAsia="bs-Latn-BA"/>
          </w:rPr>
          <w:tab/>
        </w:r>
        <w:r w:rsidR="00C025DC" w:rsidRPr="00C5016E">
          <w:rPr>
            <w:rStyle w:val="Hyperlink"/>
            <w:rFonts w:cs="Arial"/>
            <w:noProof w:val="0"/>
            <w:color w:val="auto"/>
            <w:lang w:val="hr-HR"/>
          </w:rPr>
          <w:t>Izdaci za otplate dugova</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_Toc131505224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31</w:t>
        </w:r>
        <w:r w:rsidR="00C025DC" w:rsidRPr="00C5016E">
          <w:rPr>
            <w:rFonts w:cs="Arial"/>
            <w:noProof w:val="0"/>
            <w:webHidden/>
            <w:lang w:val="hr-HR"/>
          </w:rPr>
          <w:fldChar w:fldCharType="end"/>
        </w:r>
      </w:hyperlink>
    </w:p>
    <w:p w:rsidR="00C025DC" w:rsidRPr="00C5016E" w:rsidRDefault="00441739" w:rsidP="00C025DC">
      <w:pPr>
        <w:pStyle w:val="TOC2"/>
        <w:spacing w:after="0" w:afterAutospacing="0"/>
        <w:rPr>
          <w:rFonts w:eastAsiaTheme="minorEastAsia" w:cs="Arial"/>
          <w:noProof w:val="0"/>
          <w:sz w:val="22"/>
          <w:lang w:val="hr-HR" w:eastAsia="bs-Latn-BA"/>
        </w:rPr>
      </w:pPr>
      <w:hyperlink w:anchor="_Toc131505225" w:history="1">
        <w:r w:rsidR="00C025DC" w:rsidRPr="00C5016E">
          <w:rPr>
            <w:rStyle w:val="Hyperlink"/>
            <w:rFonts w:cs="Arial"/>
            <w:noProof w:val="0"/>
            <w:color w:val="auto"/>
            <w:lang w:val="hr-HR"/>
          </w:rPr>
          <w:t>3.5</w:t>
        </w:r>
        <w:r w:rsidR="00C025DC" w:rsidRPr="00C5016E">
          <w:rPr>
            <w:rFonts w:eastAsiaTheme="minorEastAsia" w:cs="Arial"/>
            <w:noProof w:val="0"/>
            <w:sz w:val="22"/>
            <w:lang w:val="hr-HR" w:eastAsia="bs-Latn-BA"/>
          </w:rPr>
          <w:tab/>
        </w:r>
        <w:r w:rsidR="00C025DC" w:rsidRPr="00C5016E">
          <w:rPr>
            <w:rStyle w:val="Hyperlink"/>
            <w:rFonts w:cs="Arial"/>
            <w:noProof w:val="0"/>
            <w:color w:val="auto"/>
            <w:lang w:val="hr-HR"/>
          </w:rPr>
          <w:t>Tekuća rezerva</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_Toc131505225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34</w:t>
        </w:r>
        <w:r w:rsidR="00C025DC" w:rsidRPr="00C5016E">
          <w:rPr>
            <w:rFonts w:cs="Arial"/>
            <w:noProof w:val="0"/>
            <w:webHidden/>
            <w:lang w:val="hr-HR"/>
          </w:rPr>
          <w:fldChar w:fldCharType="end"/>
        </w:r>
      </w:hyperlink>
    </w:p>
    <w:p w:rsidR="00C025DC" w:rsidRPr="00C5016E" w:rsidRDefault="00441739" w:rsidP="00C025DC">
      <w:pPr>
        <w:pStyle w:val="TOC2"/>
        <w:spacing w:after="0" w:afterAutospacing="0"/>
        <w:rPr>
          <w:rFonts w:asciiTheme="minorHAnsi" w:eastAsiaTheme="minorEastAsia" w:hAnsiTheme="minorHAnsi" w:cstheme="minorBidi"/>
          <w:noProof w:val="0"/>
          <w:sz w:val="22"/>
          <w:lang w:val="hr-HR" w:eastAsia="bs-Latn-BA"/>
        </w:rPr>
      </w:pPr>
      <w:hyperlink w:anchor="_Toc131505226" w:history="1">
        <w:r w:rsidR="00C025DC" w:rsidRPr="00C5016E">
          <w:rPr>
            <w:rStyle w:val="Hyperlink"/>
            <w:rFonts w:cs="Arial"/>
            <w:noProof w:val="0"/>
            <w:color w:val="auto"/>
            <w:lang w:val="hr-HR"/>
          </w:rPr>
          <w:t>3.6</w:t>
        </w:r>
        <w:r w:rsidR="00C025DC" w:rsidRPr="00C5016E">
          <w:rPr>
            <w:rFonts w:eastAsiaTheme="minorEastAsia" w:cs="Arial"/>
            <w:noProof w:val="0"/>
            <w:sz w:val="22"/>
            <w:lang w:val="hr-HR" w:eastAsia="bs-Latn-BA"/>
          </w:rPr>
          <w:tab/>
        </w:r>
        <w:r w:rsidR="00C025DC" w:rsidRPr="00C5016E">
          <w:rPr>
            <w:rStyle w:val="Hyperlink"/>
            <w:rFonts w:cs="Arial"/>
            <w:noProof w:val="0"/>
            <w:color w:val="auto"/>
            <w:lang w:val="hr-HR"/>
          </w:rPr>
          <w:t>Odstupanja između rashoda i izdataka odobrenih Proračunom Federacije BiH za 2022. godinu i ostvarenih u 2022. godini</w:t>
        </w:r>
        <w:r w:rsidR="00C025DC" w:rsidRPr="00C5016E">
          <w:rPr>
            <w:rFonts w:cs="Arial"/>
            <w:noProof w:val="0"/>
            <w:webHidden/>
            <w:lang w:val="hr-HR"/>
          </w:rPr>
          <w:tab/>
        </w:r>
        <w:r w:rsidR="00C025DC" w:rsidRPr="00C5016E">
          <w:rPr>
            <w:rFonts w:cs="Arial"/>
            <w:noProof w:val="0"/>
            <w:webHidden/>
            <w:lang w:val="hr-HR"/>
          </w:rPr>
          <w:fldChar w:fldCharType="begin"/>
        </w:r>
        <w:r w:rsidR="00C025DC" w:rsidRPr="00C5016E">
          <w:rPr>
            <w:rFonts w:cs="Arial"/>
            <w:noProof w:val="0"/>
            <w:webHidden/>
            <w:lang w:val="hr-HR"/>
          </w:rPr>
          <w:instrText xml:space="preserve"> PAGEREF _Toc131505226 \h </w:instrText>
        </w:r>
        <w:r w:rsidR="00C025DC" w:rsidRPr="00C5016E">
          <w:rPr>
            <w:rFonts w:cs="Arial"/>
            <w:noProof w:val="0"/>
            <w:webHidden/>
            <w:lang w:val="hr-HR"/>
          </w:rPr>
        </w:r>
        <w:r w:rsidR="00C025DC" w:rsidRPr="00C5016E">
          <w:rPr>
            <w:rFonts w:cs="Arial"/>
            <w:noProof w:val="0"/>
            <w:webHidden/>
            <w:lang w:val="hr-HR"/>
          </w:rPr>
          <w:fldChar w:fldCharType="separate"/>
        </w:r>
        <w:r w:rsidR="0070505C" w:rsidRPr="00C5016E">
          <w:rPr>
            <w:rFonts w:cs="Arial"/>
            <w:webHidden/>
            <w:lang w:val="hr-HR"/>
          </w:rPr>
          <w:t>34</w:t>
        </w:r>
        <w:r w:rsidR="00C025DC" w:rsidRPr="00C5016E">
          <w:rPr>
            <w:rFonts w:cs="Arial"/>
            <w:noProof w:val="0"/>
            <w:webHidden/>
            <w:lang w:val="hr-HR"/>
          </w:rPr>
          <w:fldChar w:fldCharType="end"/>
        </w:r>
      </w:hyperlink>
    </w:p>
    <w:p w:rsidR="00C025DC" w:rsidRPr="00C5016E" w:rsidRDefault="00441739" w:rsidP="00C025DC">
      <w:pPr>
        <w:pStyle w:val="TOC2"/>
        <w:spacing w:after="0" w:afterAutospacing="0"/>
        <w:rPr>
          <w:rFonts w:asciiTheme="minorHAnsi" w:eastAsiaTheme="minorEastAsia" w:hAnsiTheme="minorHAnsi" w:cstheme="minorBidi"/>
          <w:noProof w:val="0"/>
          <w:sz w:val="22"/>
          <w:lang w:val="hr-HR" w:eastAsia="bs-Latn-BA"/>
        </w:rPr>
      </w:pPr>
      <w:hyperlink w:anchor="_Toc131505227" w:history="1">
        <w:r w:rsidR="00C025DC" w:rsidRPr="00C5016E">
          <w:rPr>
            <w:rStyle w:val="Hyperlink"/>
            <w:rFonts w:cs="Arial"/>
            <w:bCs/>
            <w:noProof w:val="0"/>
            <w:color w:val="auto"/>
            <w:lang w:val="hr-HR"/>
          </w:rPr>
          <w:t>3.7</w:t>
        </w:r>
        <w:r w:rsidR="00C025DC" w:rsidRPr="00C5016E">
          <w:rPr>
            <w:rFonts w:asciiTheme="minorHAnsi" w:eastAsiaTheme="minorEastAsia" w:hAnsiTheme="minorHAnsi" w:cstheme="minorBidi"/>
            <w:noProof w:val="0"/>
            <w:sz w:val="22"/>
            <w:lang w:val="hr-HR" w:eastAsia="bs-Latn-BA"/>
          </w:rPr>
          <w:tab/>
        </w:r>
        <w:r w:rsidR="00C025DC" w:rsidRPr="00C5016E">
          <w:rPr>
            <w:rStyle w:val="Hyperlink"/>
            <w:rFonts w:cs="Arial"/>
            <w:noProof w:val="0"/>
            <w:color w:val="auto"/>
            <w:lang w:val="hr-HR"/>
          </w:rPr>
          <w:t>Neizmirene obveze na dan 31.</w:t>
        </w:r>
        <w:r w:rsidR="00EF4C3C" w:rsidRPr="00C5016E">
          <w:rPr>
            <w:rStyle w:val="Hyperlink"/>
            <w:rFonts w:cs="Arial"/>
            <w:noProof w:val="0"/>
            <w:color w:val="auto"/>
            <w:lang w:val="hr-HR"/>
          </w:rPr>
          <w:t xml:space="preserve"> </w:t>
        </w:r>
        <w:r w:rsidR="00C025DC" w:rsidRPr="00C5016E">
          <w:rPr>
            <w:rStyle w:val="Hyperlink"/>
            <w:rFonts w:cs="Arial"/>
            <w:noProof w:val="0"/>
            <w:color w:val="auto"/>
            <w:lang w:val="hr-HR"/>
          </w:rPr>
          <w:t>12.</w:t>
        </w:r>
        <w:r w:rsidR="00EF4C3C" w:rsidRPr="00C5016E">
          <w:rPr>
            <w:rStyle w:val="Hyperlink"/>
            <w:rFonts w:cs="Arial"/>
            <w:noProof w:val="0"/>
            <w:color w:val="auto"/>
            <w:lang w:val="hr-HR"/>
          </w:rPr>
          <w:t xml:space="preserve"> </w:t>
        </w:r>
        <w:r w:rsidR="00C025DC" w:rsidRPr="00C5016E">
          <w:rPr>
            <w:rStyle w:val="Hyperlink"/>
            <w:rFonts w:cs="Arial"/>
            <w:noProof w:val="0"/>
            <w:color w:val="auto"/>
            <w:lang w:val="hr-HR"/>
          </w:rPr>
          <w:t>2022.</w:t>
        </w:r>
        <w:r w:rsidR="00C025DC" w:rsidRPr="00C5016E">
          <w:rPr>
            <w:noProof w:val="0"/>
            <w:webHidden/>
            <w:lang w:val="hr-HR"/>
          </w:rPr>
          <w:tab/>
        </w:r>
        <w:r w:rsidR="00C025DC" w:rsidRPr="00C5016E">
          <w:rPr>
            <w:noProof w:val="0"/>
            <w:webHidden/>
            <w:lang w:val="hr-HR"/>
          </w:rPr>
          <w:fldChar w:fldCharType="begin"/>
        </w:r>
        <w:r w:rsidR="00C025DC" w:rsidRPr="00C5016E">
          <w:rPr>
            <w:noProof w:val="0"/>
            <w:webHidden/>
            <w:lang w:val="hr-HR"/>
          </w:rPr>
          <w:instrText xml:space="preserve"> PAGEREF _Toc131505227 \h </w:instrText>
        </w:r>
        <w:r w:rsidR="00C025DC" w:rsidRPr="00C5016E">
          <w:rPr>
            <w:noProof w:val="0"/>
            <w:webHidden/>
            <w:lang w:val="hr-HR"/>
          </w:rPr>
        </w:r>
        <w:r w:rsidR="00C025DC" w:rsidRPr="00C5016E">
          <w:rPr>
            <w:noProof w:val="0"/>
            <w:webHidden/>
            <w:lang w:val="hr-HR"/>
          </w:rPr>
          <w:fldChar w:fldCharType="separate"/>
        </w:r>
        <w:r w:rsidR="0070505C" w:rsidRPr="00C5016E">
          <w:rPr>
            <w:webHidden/>
            <w:lang w:val="hr-HR"/>
          </w:rPr>
          <w:t>41</w:t>
        </w:r>
        <w:r w:rsidR="00C025DC" w:rsidRPr="00C5016E">
          <w:rPr>
            <w:noProof w:val="0"/>
            <w:webHidden/>
            <w:lang w:val="hr-HR"/>
          </w:rPr>
          <w:fldChar w:fldCharType="end"/>
        </w:r>
      </w:hyperlink>
    </w:p>
    <w:p w:rsidR="00C025DC" w:rsidRPr="00C5016E" w:rsidRDefault="00441739" w:rsidP="00C025DC">
      <w:pPr>
        <w:pStyle w:val="TOC1"/>
        <w:spacing w:before="120"/>
        <w:rPr>
          <w:rFonts w:asciiTheme="minorHAnsi" w:eastAsiaTheme="minorEastAsia" w:hAnsiTheme="minorHAnsi" w:cstheme="minorBidi"/>
          <w:b w:val="0"/>
          <w:noProof w:val="0"/>
          <w:sz w:val="22"/>
          <w:szCs w:val="22"/>
          <w:lang w:val="hr-HR" w:eastAsia="bs-Latn-BA"/>
        </w:rPr>
      </w:pPr>
      <w:hyperlink w:anchor="_Toc131505228" w:history="1">
        <w:r w:rsidR="00C025DC" w:rsidRPr="00C5016E">
          <w:rPr>
            <w:rStyle w:val="Hyperlink"/>
            <w:rFonts w:cs="Arial"/>
            <w:noProof w:val="0"/>
            <w:color w:val="auto"/>
            <w:lang w:val="hr-HR" w:eastAsia="hr-HR"/>
          </w:rPr>
          <w:t>4</w:t>
        </w:r>
        <w:r w:rsidR="00C025DC" w:rsidRPr="00C5016E">
          <w:rPr>
            <w:rFonts w:asciiTheme="minorHAnsi" w:eastAsiaTheme="minorEastAsia" w:hAnsiTheme="minorHAnsi" w:cstheme="minorBidi"/>
            <w:b w:val="0"/>
            <w:noProof w:val="0"/>
            <w:sz w:val="22"/>
            <w:szCs w:val="22"/>
            <w:lang w:val="hr-HR" w:eastAsia="bs-Latn-BA"/>
          </w:rPr>
          <w:tab/>
        </w:r>
        <w:r w:rsidR="00C025DC" w:rsidRPr="00C5016E">
          <w:rPr>
            <w:rStyle w:val="Hyperlink"/>
            <w:rFonts w:cs="Arial"/>
            <w:noProof w:val="0"/>
            <w:color w:val="auto"/>
            <w:lang w:val="hr-HR" w:eastAsia="hr-HR"/>
          </w:rPr>
          <w:t>NOVČANA SREDSTVA</w:t>
        </w:r>
        <w:r w:rsidR="00C025DC" w:rsidRPr="00C5016E">
          <w:rPr>
            <w:noProof w:val="0"/>
            <w:webHidden/>
            <w:lang w:val="hr-HR"/>
          </w:rPr>
          <w:tab/>
        </w:r>
        <w:r w:rsidR="00C025DC" w:rsidRPr="00C5016E">
          <w:rPr>
            <w:noProof w:val="0"/>
            <w:webHidden/>
            <w:lang w:val="hr-HR"/>
          </w:rPr>
          <w:fldChar w:fldCharType="begin"/>
        </w:r>
        <w:r w:rsidR="00C025DC" w:rsidRPr="00C5016E">
          <w:rPr>
            <w:noProof w:val="0"/>
            <w:webHidden/>
            <w:lang w:val="hr-HR"/>
          </w:rPr>
          <w:instrText xml:space="preserve"> PAGEREF _Toc131505228 \h </w:instrText>
        </w:r>
        <w:r w:rsidR="00C025DC" w:rsidRPr="00C5016E">
          <w:rPr>
            <w:noProof w:val="0"/>
            <w:webHidden/>
            <w:lang w:val="hr-HR"/>
          </w:rPr>
        </w:r>
        <w:r w:rsidR="00C025DC" w:rsidRPr="00C5016E">
          <w:rPr>
            <w:noProof w:val="0"/>
            <w:webHidden/>
            <w:lang w:val="hr-HR"/>
          </w:rPr>
          <w:fldChar w:fldCharType="separate"/>
        </w:r>
        <w:r w:rsidR="0070505C" w:rsidRPr="00C5016E">
          <w:rPr>
            <w:webHidden/>
            <w:lang w:val="hr-HR"/>
          </w:rPr>
          <w:t>43</w:t>
        </w:r>
        <w:r w:rsidR="00C025DC" w:rsidRPr="00C5016E">
          <w:rPr>
            <w:noProof w:val="0"/>
            <w:webHidden/>
            <w:lang w:val="hr-HR"/>
          </w:rPr>
          <w:fldChar w:fldCharType="end"/>
        </w:r>
      </w:hyperlink>
    </w:p>
    <w:p w:rsidR="00C025DC" w:rsidRPr="00C5016E" w:rsidRDefault="00441739" w:rsidP="00C025DC">
      <w:pPr>
        <w:pStyle w:val="TOC1"/>
        <w:spacing w:before="120"/>
        <w:rPr>
          <w:rFonts w:asciiTheme="minorHAnsi" w:eastAsiaTheme="minorEastAsia" w:hAnsiTheme="minorHAnsi" w:cstheme="minorBidi"/>
          <w:b w:val="0"/>
          <w:noProof w:val="0"/>
          <w:sz w:val="22"/>
          <w:szCs w:val="22"/>
          <w:lang w:val="hr-HR" w:eastAsia="bs-Latn-BA"/>
        </w:rPr>
      </w:pPr>
      <w:hyperlink w:anchor="_Toc131505229" w:history="1">
        <w:r w:rsidR="00C025DC" w:rsidRPr="00C5016E">
          <w:rPr>
            <w:rStyle w:val="Hyperlink"/>
            <w:rFonts w:cs="Arial"/>
            <w:noProof w:val="0"/>
            <w:color w:val="auto"/>
            <w:lang w:val="hr-HR" w:eastAsia="hr-HR"/>
          </w:rPr>
          <w:t>5</w:t>
        </w:r>
        <w:r w:rsidR="00C025DC" w:rsidRPr="00C5016E">
          <w:rPr>
            <w:rFonts w:asciiTheme="minorHAnsi" w:eastAsiaTheme="minorEastAsia" w:hAnsiTheme="minorHAnsi" w:cstheme="minorBidi"/>
            <w:b w:val="0"/>
            <w:noProof w:val="0"/>
            <w:sz w:val="22"/>
            <w:szCs w:val="22"/>
            <w:lang w:val="hr-HR" w:eastAsia="bs-Latn-BA"/>
          </w:rPr>
          <w:tab/>
        </w:r>
        <w:r w:rsidR="00C025DC" w:rsidRPr="00C5016E">
          <w:rPr>
            <w:rStyle w:val="Hyperlink"/>
            <w:rFonts w:cs="Arial"/>
            <w:noProof w:val="0"/>
            <w:color w:val="auto"/>
            <w:lang w:val="hr-HR" w:eastAsia="hr-HR"/>
          </w:rPr>
          <w:t>STALNA SREDSTVA</w:t>
        </w:r>
        <w:r w:rsidR="00C025DC" w:rsidRPr="00C5016E">
          <w:rPr>
            <w:noProof w:val="0"/>
            <w:webHidden/>
            <w:lang w:val="hr-HR"/>
          </w:rPr>
          <w:tab/>
        </w:r>
        <w:r w:rsidR="00C025DC" w:rsidRPr="00C5016E">
          <w:rPr>
            <w:noProof w:val="0"/>
            <w:webHidden/>
            <w:lang w:val="hr-HR"/>
          </w:rPr>
          <w:fldChar w:fldCharType="begin"/>
        </w:r>
        <w:r w:rsidR="00C025DC" w:rsidRPr="00C5016E">
          <w:rPr>
            <w:noProof w:val="0"/>
            <w:webHidden/>
            <w:lang w:val="hr-HR"/>
          </w:rPr>
          <w:instrText xml:space="preserve"> PAGEREF _Toc131505229 \h </w:instrText>
        </w:r>
        <w:r w:rsidR="00C025DC" w:rsidRPr="00C5016E">
          <w:rPr>
            <w:noProof w:val="0"/>
            <w:webHidden/>
            <w:lang w:val="hr-HR"/>
          </w:rPr>
        </w:r>
        <w:r w:rsidR="00C025DC" w:rsidRPr="00C5016E">
          <w:rPr>
            <w:noProof w:val="0"/>
            <w:webHidden/>
            <w:lang w:val="hr-HR"/>
          </w:rPr>
          <w:fldChar w:fldCharType="separate"/>
        </w:r>
        <w:r w:rsidR="0070505C" w:rsidRPr="00C5016E">
          <w:rPr>
            <w:webHidden/>
            <w:lang w:val="hr-HR"/>
          </w:rPr>
          <w:t>49</w:t>
        </w:r>
        <w:r w:rsidR="00C025DC" w:rsidRPr="00C5016E">
          <w:rPr>
            <w:noProof w:val="0"/>
            <w:webHidden/>
            <w:lang w:val="hr-HR"/>
          </w:rPr>
          <w:fldChar w:fldCharType="end"/>
        </w:r>
      </w:hyperlink>
    </w:p>
    <w:p w:rsidR="00C025DC" w:rsidRPr="00C5016E" w:rsidRDefault="00441739" w:rsidP="00C025DC">
      <w:pPr>
        <w:pStyle w:val="TOC1"/>
        <w:spacing w:before="120"/>
        <w:rPr>
          <w:rFonts w:asciiTheme="minorHAnsi" w:eastAsiaTheme="minorEastAsia" w:hAnsiTheme="minorHAnsi" w:cstheme="minorBidi"/>
          <w:b w:val="0"/>
          <w:noProof w:val="0"/>
          <w:sz w:val="22"/>
          <w:szCs w:val="22"/>
          <w:lang w:val="hr-HR" w:eastAsia="bs-Latn-BA"/>
        </w:rPr>
      </w:pPr>
      <w:hyperlink w:anchor="_Toc131505230" w:history="1">
        <w:r w:rsidR="00C025DC" w:rsidRPr="00C5016E">
          <w:rPr>
            <w:rStyle w:val="Hyperlink"/>
            <w:rFonts w:cs="Arial"/>
            <w:noProof w:val="0"/>
            <w:color w:val="auto"/>
            <w:lang w:val="hr-HR" w:eastAsia="hr-HR"/>
          </w:rPr>
          <w:t>6</w:t>
        </w:r>
        <w:r w:rsidR="00C025DC" w:rsidRPr="00C5016E">
          <w:rPr>
            <w:rFonts w:asciiTheme="minorHAnsi" w:eastAsiaTheme="minorEastAsia" w:hAnsiTheme="minorHAnsi" w:cstheme="minorBidi"/>
            <w:b w:val="0"/>
            <w:noProof w:val="0"/>
            <w:sz w:val="22"/>
            <w:szCs w:val="22"/>
            <w:lang w:val="hr-HR" w:eastAsia="bs-Latn-BA"/>
          </w:rPr>
          <w:tab/>
        </w:r>
        <w:r w:rsidR="00C025DC" w:rsidRPr="00C5016E">
          <w:rPr>
            <w:rStyle w:val="Hyperlink"/>
            <w:rFonts w:cs="Arial"/>
            <w:noProof w:val="0"/>
            <w:color w:val="auto"/>
            <w:lang w:val="hr-HR" w:eastAsia="hr-HR"/>
          </w:rPr>
          <w:t>FINANCIJSKI REZULTAT</w:t>
        </w:r>
        <w:r w:rsidR="00C025DC" w:rsidRPr="00C5016E">
          <w:rPr>
            <w:noProof w:val="0"/>
            <w:webHidden/>
            <w:lang w:val="hr-HR"/>
          </w:rPr>
          <w:tab/>
        </w:r>
        <w:r w:rsidR="00C025DC" w:rsidRPr="00C5016E">
          <w:rPr>
            <w:noProof w:val="0"/>
            <w:webHidden/>
            <w:lang w:val="hr-HR"/>
          </w:rPr>
          <w:fldChar w:fldCharType="begin"/>
        </w:r>
        <w:r w:rsidR="00C025DC" w:rsidRPr="00C5016E">
          <w:rPr>
            <w:noProof w:val="0"/>
            <w:webHidden/>
            <w:lang w:val="hr-HR"/>
          </w:rPr>
          <w:instrText xml:space="preserve"> PAGEREF _Toc131505230 \h </w:instrText>
        </w:r>
        <w:r w:rsidR="00C025DC" w:rsidRPr="00C5016E">
          <w:rPr>
            <w:noProof w:val="0"/>
            <w:webHidden/>
            <w:lang w:val="hr-HR"/>
          </w:rPr>
        </w:r>
        <w:r w:rsidR="00C025DC" w:rsidRPr="00C5016E">
          <w:rPr>
            <w:noProof w:val="0"/>
            <w:webHidden/>
            <w:lang w:val="hr-HR"/>
          </w:rPr>
          <w:fldChar w:fldCharType="separate"/>
        </w:r>
        <w:r w:rsidR="0070505C" w:rsidRPr="00C5016E">
          <w:rPr>
            <w:webHidden/>
            <w:lang w:val="hr-HR"/>
          </w:rPr>
          <w:t>51</w:t>
        </w:r>
        <w:r w:rsidR="00C025DC" w:rsidRPr="00C5016E">
          <w:rPr>
            <w:noProof w:val="0"/>
            <w:webHidden/>
            <w:lang w:val="hr-HR"/>
          </w:rPr>
          <w:fldChar w:fldCharType="end"/>
        </w:r>
      </w:hyperlink>
    </w:p>
    <w:p w:rsidR="00C025DC" w:rsidRPr="00C5016E" w:rsidRDefault="00441739" w:rsidP="00C025DC">
      <w:pPr>
        <w:pStyle w:val="TOC1"/>
        <w:spacing w:before="120"/>
        <w:rPr>
          <w:rFonts w:asciiTheme="minorHAnsi" w:eastAsiaTheme="minorEastAsia" w:hAnsiTheme="minorHAnsi" w:cstheme="minorBidi"/>
          <w:b w:val="0"/>
          <w:noProof w:val="0"/>
          <w:sz w:val="22"/>
          <w:szCs w:val="22"/>
          <w:lang w:val="hr-HR" w:eastAsia="bs-Latn-BA"/>
        </w:rPr>
      </w:pPr>
      <w:hyperlink w:anchor="_Toc131505231" w:history="1">
        <w:r w:rsidR="00C025DC" w:rsidRPr="00C5016E">
          <w:rPr>
            <w:rStyle w:val="Hyperlink"/>
            <w:rFonts w:cs="Arial"/>
            <w:noProof w:val="0"/>
            <w:color w:val="auto"/>
            <w:lang w:val="hr-HR"/>
          </w:rPr>
          <w:t>7</w:t>
        </w:r>
        <w:r w:rsidR="00C025DC" w:rsidRPr="00C5016E">
          <w:rPr>
            <w:rFonts w:asciiTheme="minorHAnsi" w:eastAsiaTheme="minorEastAsia" w:hAnsiTheme="minorHAnsi" w:cstheme="minorBidi"/>
            <w:b w:val="0"/>
            <w:noProof w:val="0"/>
            <w:sz w:val="22"/>
            <w:szCs w:val="22"/>
            <w:lang w:val="hr-HR" w:eastAsia="bs-Latn-BA"/>
          </w:rPr>
          <w:tab/>
        </w:r>
        <w:r w:rsidR="00C025DC" w:rsidRPr="00C5016E">
          <w:rPr>
            <w:rStyle w:val="Hyperlink"/>
            <w:rFonts w:cs="Arial"/>
            <w:noProof w:val="0"/>
            <w:color w:val="auto"/>
            <w:lang w:val="hr-HR"/>
          </w:rPr>
          <w:t>ZAKLJUČAK</w:t>
        </w:r>
        <w:r w:rsidR="00C025DC" w:rsidRPr="00C5016E">
          <w:rPr>
            <w:noProof w:val="0"/>
            <w:webHidden/>
            <w:lang w:val="hr-HR"/>
          </w:rPr>
          <w:tab/>
        </w:r>
        <w:r w:rsidR="00C025DC" w:rsidRPr="00C5016E">
          <w:rPr>
            <w:noProof w:val="0"/>
            <w:webHidden/>
            <w:lang w:val="hr-HR"/>
          </w:rPr>
          <w:fldChar w:fldCharType="begin"/>
        </w:r>
        <w:r w:rsidR="00C025DC" w:rsidRPr="00C5016E">
          <w:rPr>
            <w:noProof w:val="0"/>
            <w:webHidden/>
            <w:lang w:val="hr-HR"/>
          </w:rPr>
          <w:instrText xml:space="preserve"> PAGEREF _Toc131505231 \h </w:instrText>
        </w:r>
        <w:r w:rsidR="00C025DC" w:rsidRPr="00C5016E">
          <w:rPr>
            <w:noProof w:val="0"/>
            <w:webHidden/>
            <w:lang w:val="hr-HR"/>
          </w:rPr>
        </w:r>
        <w:r w:rsidR="00C025DC" w:rsidRPr="00C5016E">
          <w:rPr>
            <w:noProof w:val="0"/>
            <w:webHidden/>
            <w:lang w:val="hr-HR"/>
          </w:rPr>
          <w:fldChar w:fldCharType="separate"/>
        </w:r>
        <w:r w:rsidR="0070505C" w:rsidRPr="00C5016E">
          <w:rPr>
            <w:webHidden/>
            <w:lang w:val="hr-HR"/>
          </w:rPr>
          <w:t>53</w:t>
        </w:r>
        <w:r w:rsidR="00C025DC" w:rsidRPr="00C5016E">
          <w:rPr>
            <w:noProof w:val="0"/>
            <w:webHidden/>
            <w:lang w:val="hr-HR"/>
          </w:rPr>
          <w:fldChar w:fldCharType="end"/>
        </w:r>
      </w:hyperlink>
    </w:p>
    <w:p w:rsidR="00C025DC" w:rsidRPr="00C5016E" w:rsidRDefault="00441739" w:rsidP="00C025DC">
      <w:pPr>
        <w:pStyle w:val="TOC1"/>
        <w:spacing w:before="120"/>
        <w:rPr>
          <w:rFonts w:asciiTheme="minorHAnsi" w:eastAsiaTheme="minorEastAsia" w:hAnsiTheme="minorHAnsi" w:cstheme="minorBidi"/>
          <w:b w:val="0"/>
          <w:noProof w:val="0"/>
          <w:sz w:val="22"/>
          <w:szCs w:val="22"/>
          <w:lang w:val="hr-HR" w:eastAsia="bs-Latn-BA"/>
        </w:rPr>
      </w:pPr>
      <w:hyperlink w:anchor="_Toc131505232" w:history="1">
        <w:r w:rsidR="00C025DC" w:rsidRPr="00C5016E">
          <w:rPr>
            <w:rStyle w:val="Hyperlink"/>
            <w:rFonts w:cs="Arial"/>
            <w:noProof w:val="0"/>
            <w:color w:val="auto"/>
            <w:lang w:val="hr-HR"/>
          </w:rPr>
          <w:t>POPIS TAB</w:t>
        </w:r>
        <w:r w:rsidR="00EF4C3C" w:rsidRPr="00C5016E">
          <w:rPr>
            <w:rStyle w:val="Hyperlink"/>
            <w:rFonts w:cs="Arial"/>
            <w:noProof w:val="0"/>
            <w:color w:val="auto"/>
            <w:lang w:val="hr-HR"/>
          </w:rPr>
          <w:t>LICA</w:t>
        </w:r>
        <w:r w:rsidR="00C025DC" w:rsidRPr="00C5016E">
          <w:rPr>
            <w:noProof w:val="0"/>
            <w:webHidden/>
            <w:lang w:val="hr-HR"/>
          </w:rPr>
          <w:tab/>
        </w:r>
        <w:r w:rsidR="00C025DC" w:rsidRPr="00C5016E">
          <w:rPr>
            <w:noProof w:val="0"/>
            <w:webHidden/>
            <w:lang w:val="hr-HR"/>
          </w:rPr>
          <w:fldChar w:fldCharType="begin"/>
        </w:r>
        <w:r w:rsidR="00C025DC" w:rsidRPr="00C5016E">
          <w:rPr>
            <w:noProof w:val="0"/>
            <w:webHidden/>
            <w:lang w:val="hr-HR"/>
          </w:rPr>
          <w:instrText xml:space="preserve"> PAGEREF _Toc131505232 \h </w:instrText>
        </w:r>
        <w:r w:rsidR="00C025DC" w:rsidRPr="00C5016E">
          <w:rPr>
            <w:noProof w:val="0"/>
            <w:webHidden/>
            <w:lang w:val="hr-HR"/>
          </w:rPr>
        </w:r>
        <w:r w:rsidR="00C025DC" w:rsidRPr="00C5016E">
          <w:rPr>
            <w:noProof w:val="0"/>
            <w:webHidden/>
            <w:lang w:val="hr-HR"/>
          </w:rPr>
          <w:fldChar w:fldCharType="separate"/>
        </w:r>
        <w:r w:rsidR="0070505C" w:rsidRPr="00C5016E">
          <w:rPr>
            <w:webHidden/>
            <w:lang w:val="hr-HR"/>
          </w:rPr>
          <w:t>55</w:t>
        </w:r>
        <w:r w:rsidR="00C025DC" w:rsidRPr="00C5016E">
          <w:rPr>
            <w:noProof w:val="0"/>
            <w:webHidden/>
            <w:lang w:val="hr-HR"/>
          </w:rPr>
          <w:fldChar w:fldCharType="end"/>
        </w:r>
      </w:hyperlink>
    </w:p>
    <w:p w:rsidR="00C025DC" w:rsidRPr="00C5016E" w:rsidRDefault="00441739" w:rsidP="00C025DC">
      <w:pPr>
        <w:pStyle w:val="TOC1"/>
        <w:spacing w:before="120"/>
        <w:rPr>
          <w:rFonts w:asciiTheme="minorHAnsi" w:eastAsiaTheme="minorEastAsia" w:hAnsiTheme="minorHAnsi" w:cstheme="minorBidi"/>
          <w:b w:val="0"/>
          <w:noProof w:val="0"/>
          <w:sz w:val="22"/>
          <w:szCs w:val="22"/>
          <w:lang w:val="hr-HR" w:eastAsia="bs-Latn-BA"/>
        </w:rPr>
      </w:pPr>
      <w:hyperlink w:anchor="_Toc131505233" w:history="1">
        <w:r w:rsidR="00C025DC" w:rsidRPr="00C5016E">
          <w:rPr>
            <w:rStyle w:val="Hyperlink"/>
            <w:rFonts w:cs="Arial"/>
            <w:noProof w:val="0"/>
            <w:color w:val="auto"/>
            <w:lang w:val="hr-HR"/>
          </w:rPr>
          <w:t>POPIS GRAFIKONA</w:t>
        </w:r>
        <w:r w:rsidR="00C025DC" w:rsidRPr="00C5016E">
          <w:rPr>
            <w:noProof w:val="0"/>
            <w:webHidden/>
            <w:lang w:val="hr-HR"/>
          </w:rPr>
          <w:tab/>
        </w:r>
        <w:r w:rsidR="00C025DC" w:rsidRPr="00C5016E">
          <w:rPr>
            <w:noProof w:val="0"/>
            <w:webHidden/>
            <w:lang w:val="hr-HR"/>
          </w:rPr>
          <w:fldChar w:fldCharType="begin"/>
        </w:r>
        <w:r w:rsidR="00C025DC" w:rsidRPr="00C5016E">
          <w:rPr>
            <w:noProof w:val="0"/>
            <w:webHidden/>
            <w:lang w:val="hr-HR"/>
          </w:rPr>
          <w:instrText xml:space="preserve"> PAGEREF _Toc131505233 \h </w:instrText>
        </w:r>
        <w:r w:rsidR="00C025DC" w:rsidRPr="00C5016E">
          <w:rPr>
            <w:noProof w:val="0"/>
            <w:webHidden/>
            <w:lang w:val="hr-HR"/>
          </w:rPr>
        </w:r>
        <w:r w:rsidR="00C025DC" w:rsidRPr="00C5016E">
          <w:rPr>
            <w:noProof w:val="0"/>
            <w:webHidden/>
            <w:lang w:val="hr-HR"/>
          </w:rPr>
          <w:fldChar w:fldCharType="separate"/>
        </w:r>
        <w:r w:rsidR="0070505C" w:rsidRPr="00C5016E">
          <w:rPr>
            <w:webHidden/>
            <w:lang w:val="hr-HR"/>
          </w:rPr>
          <w:t>56</w:t>
        </w:r>
        <w:r w:rsidR="00C025DC" w:rsidRPr="00C5016E">
          <w:rPr>
            <w:noProof w:val="0"/>
            <w:webHidden/>
            <w:lang w:val="hr-HR"/>
          </w:rPr>
          <w:fldChar w:fldCharType="end"/>
        </w:r>
      </w:hyperlink>
    </w:p>
    <w:p w:rsidR="00C025DC" w:rsidRPr="00C5016E" w:rsidRDefault="00441739" w:rsidP="00C025DC">
      <w:pPr>
        <w:pStyle w:val="TOC1"/>
        <w:spacing w:before="120"/>
        <w:rPr>
          <w:rFonts w:asciiTheme="minorHAnsi" w:eastAsiaTheme="minorEastAsia" w:hAnsiTheme="minorHAnsi" w:cstheme="minorBidi"/>
          <w:b w:val="0"/>
          <w:noProof w:val="0"/>
          <w:sz w:val="22"/>
          <w:szCs w:val="22"/>
          <w:lang w:val="hr-HR" w:eastAsia="bs-Latn-BA"/>
        </w:rPr>
      </w:pPr>
      <w:hyperlink w:anchor="_Toc131505234" w:history="1">
        <w:r w:rsidR="00C025DC" w:rsidRPr="00C5016E">
          <w:rPr>
            <w:rStyle w:val="Hyperlink"/>
            <w:rFonts w:cs="Arial"/>
            <w:noProof w:val="0"/>
            <w:color w:val="auto"/>
            <w:lang w:val="hr-HR"/>
          </w:rPr>
          <w:t>PRILOZI</w:t>
        </w:r>
        <w:r w:rsidR="00C025DC" w:rsidRPr="00C5016E">
          <w:rPr>
            <w:noProof w:val="0"/>
            <w:webHidden/>
            <w:lang w:val="hr-HR"/>
          </w:rPr>
          <w:tab/>
        </w:r>
        <w:r w:rsidR="00C025DC" w:rsidRPr="00C5016E">
          <w:rPr>
            <w:noProof w:val="0"/>
            <w:webHidden/>
            <w:lang w:val="hr-HR"/>
          </w:rPr>
          <w:fldChar w:fldCharType="begin"/>
        </w:r>
        <w:r w:rsidR="00C025DC" w:rsidRPr="00C5016E">
          <w:rPr>
            <w:noProof w:val="0"/>
            <w:webHidden/>
            <w:lang w:val="hr-HR"/>
          </w:rPr>
          <w:instrText xml:space="preserve"> PAGEREF _Toc131505234 \h </w:instrText>
        </w:r>
        <w:r w:rsidR="00C025DC" w:rsidRPr="00C5016E">
          <w:rPr>
            <w:noProof w:val="0"/>
            <w:webHidden/>
            <w:lang w:val="hr-HR"/>
          </w:rPr>
        </w:r>
        <w:r w:rsidR="00C025DC" w:rsidRPr="00C5016E">
          <w:rPr>
            <w:noProof w:val="0"/>
            <w:webHidden/>
            <w:lang w:val="hr-HR"/>
          </w:rPr>
          <w:fldChar w:fldCharType="separate"/>
        </w:r>
        <w:r w:rsidR="0070505C" w:rsidRPr="00C5016E">
          <w:rPr>
            <w:webHidden/>
            <w:lang w:val="hr-HR"/>
          </w:rPr>
          <w:t>57</w:t>
        </w:r>
        <w:r w:rsidR="00C025DC" w:rsidRPr="00C5016E">
          <w:rPr>
            <w:noProof w:val="0"/>
            <w:webHidden/>
            <w:lang w:val="hr-HR"/>
          </w:rPr>
          <w:fldChar w:fldCharType="end"/>
        </w:r>
      </w:hyperlink>
    </w:p>
    <w:p w:rsidR="00C025DC" w:rsidRPr="00C5016E" w:rsidRDefault="00C025DC" w:rsidP="00C025DC">
      <w:pPr>
        <w:pStyle w:val="TOC1"/>
        <w:spacing w:before="120"/>
        <w:rPr>
          <w:rFonts w:cs="Arial"/>
          <w:noProof w:val="0"/>
          <w:lang w:val="hr-HR"/>
        </w:rPr>
      </w:pPr>
      <w:r w:rsidRPr="00C5016E">
        <w:rPr>
          <w:rFonts w:cs="Arial"/>
          <w:noProof w:val="0"/>
          <w:lang w:val="hr-HR"/>
        </w:rPr>
        <w:fldChar w:fldCharType="end"/>
      </w:r>
    </w:p>
    <w:p w:rsidR="00C025DC" w:rsidRPr="00C5016E" w:rsidRDefault="00C025DC" w:rsidP="00C025DC">
      <w:pPr>
        <w:pStyle w:val="Heading1"/>
        <w:numPr>
          <w:ilvl w:val="0"/>
          <w:numId w:val="0"/>
        </w:numPr>
        <w:rPr>
          <w:rFonts w:ascii="Arial" w:hAnsi="Arial" w:cs="Arial"/>
          <w:lang w:val="hr-HR"/>
        </w:rPr>
      </w:pPr>
      <w:bookmarkStart w:id="4" w:name="_Toc330241028"/>
      <w:bookmarkStart w:id="5" w:name="_Toc339758700"/>
      <w:bookmarkStart w:id="6" w:name="_Toc339759710"/>
      <w:bookmarkStart w:id="7" w:name="_Toc343039660"/>
      <w:bookmarkStart w:id="8" w:name="_Toc353749411"/>
      <w:bookmarkStart w:id="9" w:name="_Toc353750065"/>
      <w:bookmarkStart w:id="10" w:name="_Toc353750963"/>
      <w:bookmarkStart w:id="11" w:name="_Toc353753419"/>
      <w:bookmarkStart w:id="12" w:name="_Toc353779137"/>
      <w:bookmarkStart w:id="13" w:name="_Toc356929222"/>
      <w:bookmarkStart w:id="14" w:name="_Toc356929815"/>
      <w:bookmarkStart w:id="15" w:name="_Toc356930669"/>
      <w:r w:rsidRPr="00C5016E">
        <w:rPr>
          <w:rFonts w:ascii="Arial" w:hAnsi="Arial" w:cs="Arial"/>
          <w:lang w:val="hr-HR"/>
        </w:rPr>
        <w:br w:type="page"/>
      </w:r>
      <w:bookmarkStart w:id="16" w:name="_Toc353749413"/>
      <w:bookmarkStart w:id="17" w:name="_Toc353750067"/>
      <w:bookmarkStart w:id="18" w:name="_Toc353750965"/>
      <w:bookmarkStart w:id="19" w:name="_Toc353753421"/>
      <w:bookmarkStart w:id="20" w:name="_Toc353779139"/>
      <w:bookmarkStart w:id="21" w:name="_Toc356929224"/>
      <w:bookmarkStart w:id="22" w:name="_Toc356929817"/>
      <w:bookmarkStart w:id="23" w:name="_Toc356930671"/>
      <w:bookmarkEnd w:id="4"/>
      <w:bookmarkEnd w:id="5"/>
      <w:bookmarkEnd w:id="6"/>
      <w:bookmarkEnd w:id="7"/>
      <w:bookmarkEnd w:id="8"/>
      <w:bookmarkEnd w:id="9"/>
      <w:bookmarkEnd w:id="10"/>
      <w:bookmarkEnd w:id="11"/>
      <w:bookmarkEnd w:id="12"/>
      <w:bookmarkEnd w:id="13"/>
      <w:bookmarkEnd w:id="14"/>
      <w:bookmarkEnd w:id="15"/>
    </w:p>
    <w:p w:rsidR="00C025DC" w:rsidRPr="00C5016E" w:rsidRDefault="00C025DC" w:rsidP="00C025DC">
      <w:pPr>
        <w:pStyle w:val="Heading1"/>
        <w:spacing w:before="120"/>
        <w:contextualSpacing/>
        <w:rPr>
          <w:rFonts w:ascii="Arial" w:hAnsi="Arial" w:cs="Arial"/>
          <w:szCs w:val="28"/>
          <w:lang w:val="hr-HR"/>
        </w:rPr>
      </w:pPr>
      <w:bookmarkStart w:id="24" w:name="_Toc131505193"/>
      <w:r w:rsidRPr="00C5016E">
        <w:rPr>
          <w:rFonts w:ascii="Arial" w:hAnsi="Arial" w:cs="Arial"/>
          <w:szCs w:val="28"/>
          <w:lang w:val="hr-HR"/>
        </w:rPr>
        <w:lastRenderedPageBreak/>
        <w:t>UVOD</w:t>
      </w:r>
      <w:bookmarkEnd w:id="16"/>
      <w:bookmarkEnd w:id="17"/>
      <w:bookmarkEnd w:id="18"/>
      <w:bookmarkEnd w:id="19"/>
      <w:bookmarkEnd w:id="20"/>
      <w:bookmarkEnd w:id="21"/>
      <w:bookmarkEnd w:id="22"/>
      <w:bookmarkEnd w:id="23"/>
      <w:bookmarkEnd w:id="24"/>
    </w:p>
    <w:p w:rsidR="00C025DC" w:rsidRPr="00C5016E" w:rsidRDefault="00C025DC" w:rsidP="00C025DC">
      <w:r w:rsidRPr="00C5016E">
        <w:t xml:space="preserve">Na </w:t>
      </w:r>
      <w:r w:rsidR="00EF4C3C" w:rsidRPr="00C5016E">
        <w:t>temelju</w:t>
      </w:r>
      <w:r w:rsidRPr="00C5016E">
        <w:t xml:space="preserve"> član</w:t>
      </w:r>
      <w:r w:rsidR="00EF4C3C" w:rsidRPr="00C5016E">
        <w:t>k</w:t>
      </w:r>
      <w:r w:rsidRPr="00C5016E">
        <w:t xml:space="preserve">a 90. Zakona o proračunima u Federaciji Bosne i Hercegovine   („Službene novine FBiH“, br. </w:t>
      </w:r>
      <w:r w:rsidRPr="00C5016E">
        <w:rPr>
          <w:bCs/>
        </w:rPr>
        <w:t xml:space="preserve">102/13, 9/14, 13/14, 8/15, 91/15, 102/15,104/16, 5/18, 11/19, 99/19 i 25a/22), </w:t>
      </w:r>
      <w:r w:rsidRPr="00C5016E">
        <w:t>federalna ministrica financija-finan</w:t>
      </w:r>
      <w:r w:rsidR="00EF4C3C" w:rsidRPr="00C5016E">
        <w:t>s</w:t>
      </w:r>
      <w:r w:rsidRPr="00C5016E">
        <w:t>ija podnosi:</w:t>
      </w:r>
      <w:r w:rsidRPr="00C5016E">
        <w:tab/>
      </w:r>
    </w:p>
    <w:p w:rsidR="00C025DC" w:rsidRPr="00C5016E" w:rsidRDefault="00C025DC" w:rsidP="00C025DC">
      <w:pPr>
        <w:spacing w:before="120"/>
        <w:jc w:val="center"/>
        <w:rPr>
          <w:rFonts w:eastAsia="Arial Unicode MS"/>
          <w:b/>
          <w:bCs/>
        </w:rPr>
      </w:pPr>
      <w:r w:rsidRPr="00C5016E">
        <w:rPr>
          <w:rFonts w:eastAsia="Arial Unicode MS"/>
          <w:b/>
          <w:bCs/>
        </w:rPr>
        <w:t xml:space="preserve">I z v j e š </w:t>
      </w:r>
      <w:r w:rsidR="00EF4C3C" w:rsidRPr="00C5016E">
        <w:rPr>
          <w:rFonts w:eastAsia="Arial Unicode MS"/>
          <w:b/>
          <w:bCs/>
        </w:rPr>
        <w:t>ć e</w:t>
      </w:r>
    </w:p>
    <w:p w:rsidR="00C025DC" w:rsidRPr="00C5016E" w:rsidRDefault="00C025DC" w:rsidP="00C025DC">
      <w:pPr>
        <w:spacing w:before="120"/>
        <w:jc w:val="center"/>
        <w:rPr>
          <w:b/>
        </w:rPr>
      </w:pPr>
      <w:r w:rsidRPr="00C5016E">
        <w:rPr>
          <w:b/>
        </w:rPr>
        <w:t>o izvršenju Proračuna Federacije Bosne i Hercegovine</w:t>
      </w:r>
    </w:p>
    <w:p w:rsidR="00C025DC" w:rsidRPr="00C5016E" w:rsidRDefault="00C025DC" w:rsidP="00C025DC">
      <w:pPr>
        <w:spacing w:before="120"/>
        <w:jc w:val="center"/>
        <w:rPr>
          <w:b/>
        </w:rPr>
      </w:pPr>
      <w:r w:rsidRPr="00C5016E">
        <w:rPr>
          <w:b/>
        </w:rPr>
        <w:t>u razdoblju od 1. siječnja do 31. prosinca 2022. godine</w:t>
      </w:r>
    </w:p>
    <w:p w:rsidR="00C025DC" w:rsidRPr="00C5016E" w:rsidRDefault="00C025DC" w:rsidP="00C025DC">
      <w:pPr>
        <w:rPr>
          <w:rFonts w:cs="Arial"/>
          <w:bCs/>
        </w:rPr>
      </w:pPr>
      <w:r w:rsidRPr="00C5016E">
        <w:rPr>
          <w:rFonts w:cs="Arial"/>
          <w:bCs/>
        </w:rPr>
        <w:t xml:space="preserve">Proračun Federacije Bosne i Hercegovine za 2022. godinu izvršavan je, do usvajanja Proračuna za 2022. godinu, </w:t>
      </w:r>
      <w:r w:rsidR="00EF4C3C" w:rsidRPr="00C5016E">
        <w:rPr>
          <w:rFonts w:cs="Arial"/>
          <w:bCs/>
        </w:rPr>
        <w:t>sukladno</w:t>
      </w:r>
      <w:r w:rsidRPr="00C5016E">
        <w:rPr>
          <w:rFonts w:cs="Arial"/>
          <w:bCs/>
        </w:rPr>
        <w:t xml:space="preserve"> Odlu</w:t>
      </w:r>
      <w:r w:rsidR="00EF4C3C" w:rsidRPr="00C5016E">
        <w:rPr>
          <w:rFonts w:cs="Arial"/>
          <w:bCs/>
        </w:rPr>
        <w:t>ci</w:t>
      </w:r>
      <w:r w:rsidRPr="00C5016E">
        <w:rPr>
          <w:rFonts w:cs="Arial"/>
          <w:bCs/>
        </w:rPr>
        <w:t xml:space="preserve"> o privremenom financiranju Federacije Bosne i Hercegovine za </w:t>
      </w:r>
      <w:r w:rsidR="00EF4C3C" w:rsidRPr="00C5016E">
        <w:rPr>
          <w:rFonts w:cs="Arial"/>
          <w:bCs/>
        </w:rPr>
        <w:t>razdoblje</w:t>
      </w:r>
      <w:r w:rsidRPr="00C5016E">
        <w:rPr>
          <w:rFonts w:cs="Arial"/>
          <w:bCs/>
        </w:rPr>
        <w:t xml:space="preserve"> </w:t>
      </w:r>
      <w:r w:rsidR="00EF4C3C" w:rsidRPr="00C5016E">
        <w:rPr>
          <w:rFonts w:cs="Arial"/>
          <w:bCs/>
        </w:rPr>
        <w:t>siječanj - ožujak</w:t>
      </w:r>
      <w:r w:rsidRPr="00C5016E">
        <w:rPr>
          <w:rFonts w:cs="Arial"/>
          <w:bCs/>
        </w:rPr>
        <w:t xml:space="preserve"> 2022. godine PF BiH broj 01-02-236/22 od 27. siječnja 2022. godine („Službene novine FBiH“, broj: 6/22), koja je sastavni dio Proračuna Federacije Bosne i Hercegovine za 2022. godinu.</w:t>
      </w:r>
    </w:p>
    <w:p w:rsidR="00C025DC" w:rsidRPr="00C5016E" w:rsidRDefault="00C025DC" w:rsidP="00C025DC">
      <w:pPr>
        <w:rPr>
          <w:rFonts w:cs="Arial"/>
          <w:bCs/>
        </w:rPr>
      </w:pPr>
      <w:r w:rsidRPr="00C5016E">
        <w:rPr>
          <w:rFonts w:cs="Arial"/>
          <w:bCs/>
        </w:rPr>
        <w:t>31.</w:t>
      </w:r>
      <w:r w:rsidR="00EF4C3C" w:rsidRPr="00C5016E">
        <w:rPr>
          <w:rFonts w:cs="Arial"/>
          <w:bCs/>
        </w:rPr>
        <w:t xml:space="preserve"> ožujka </w:t>
      </w:r>
      <w:r w:rsidRPr="00C5016E">
        <w:rPr>
          <w:rFonts w:cs="Arial"/>
          <w:bCs/>
        </w:rPr>
        <w:t>2022. objavljen je usvojeni Proračun Federacije Bosne i Hercegovine za 2022. godinu i Zakon o izvršavanju Proračuna Federacije Bosne i Hercegovine za 2022. godinu („Službene novine FBiH“, broj: 25/22).</w:t>
      </w:r>
    </w:p>
    <w:p w:rsidR="00C025DC" w:rsidRPr="00C5016E" w:rsidRDefault="00C025DC" w:rsidP="00C025DC">
      <w:pPr>
        <w:rPr>
          <w:rFonts w:cs="Arial"/>
        </w:rPr>
      </w:pPr>
      <w:r w:rsidRPr="00C5016E">
        <w:t xml:space="preserve">Proračunski  korisnici su financijsko poslovanje obavljali preko Jedinstvenog računa </w:t>
      </w:r>
      <w:r w:rsidR="00EF4C3C" w:rsidRPr="00C5016E">
        <w:t>Riznice</w:t>
      </w:r>
      <w:r w:rsidRPr="00C5016E">
        <w:t xml:space="preserve"> u okviru odobrenih operativnih</w:t>
      </w:r>
      <w:r w:rsidR="00EF4C3C" w:rsidRPr="00C5016E">
        <w:t xml:space="preserve"> mjesečnih planova i u skladu s</w:t>
      </w:r>
      <w:r w:rsidRPr="00C5016E">
        <w:t xml:space="preserve"> navedenim zakonima kao i odredbama sljedeće zakonske i druge regulative bitne za donošenje i izvršenje proračuna i prov</w:t>
      </w:r>
      <w:r w:rsidR="00EF4C3C" w:rsidRPr="00C5016E">
        <w:t>ođenje rizničnog načina rada s</w:t>
      </w:r>
      <w:r w:rsidRPr="00C5016E">
        <w:t xml:space="preserve"> javnim </w:t>
      </w:r>
      <w:r w:rsidRPr="00C5016E">
        <w:rPr>
          <w:rFonts w:cs="Arial"/>
        </w:rPr>
        <w:t>prihodima i rashodima:</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Zakon o računovodstvu i reviziji u Federaciji Bosne i Hercegovine („Službene novine Federacije BiH“, broj: 15/21);</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 xml:space="preserve">Zakon o </w:t>
      </w:r>
      <w:r w:rsidR="00EF4C3C" w:rsidRPr="00C5016E">
        <w:rPr>
          <w:rFonts w:ascii="Arial" w:hAnsi="Arial" w:cs="Arial"/>
          <w:lang w:val="hr-HR"/>
        </w:rPr>
        <w:t>riznici</w:t>
      </w:r>
      <w:r w:rsidRPr="00C5016E">
        <w:rPr>
          <w:rFonts w:ascii="Arial" w:hAnsi="Arial" w:cs="Arial"/>
          <w:lang w:val="hr-HR"/>
        </w:rPr>
        <w:t xml:space="preserve"> u Federaciji Bosne i Hercegovine („Službene novine Federacije BiH“, br. 26/16 i 3/20);</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Zakon o pripadnosti javnih prihoda u Federaciji BiH („Službene novine Federacije BiH“, br. 22/06, 43/08,  22/09,  35/14, 94/15 i 17/22);</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Zakon o plaćama i naknadama u organima vlasti Federacije Bosne i Hercegovine („Službene novine Federacije BiH“, br. 45/10, 111/12 i 20/17);</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Zakon o plaćama i naknadama policijskih službenika Federacije Bosne i Hercegovine („Službene novine Federacije BiH“, broj: 45/10);</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Zakon o plaćama i drugim naknadama sud</w:t>
      </w:r>
      <w:r w:rsidR="00EF4C3C" w:rsidRPr="00C5016E">
        <w:rPr>
          <w:rFonts w:ascii="Arial" w:hAnsi="Arial" w:cs="Arial"/>
          <w:lang w:val="hr-HR"/>
        </w:rPr>
        <w:t>aca</w:t>
      </w:r>
      <w:r w:rsidRPr="00C5016E">
        <w:rPr>
          <w:rFonts w:ascii="Arial" w:hAnsi="Arial" w:cs="Arial"/>
          <w:lang w:val="hr-HR"/>
        </w:rPr>
        <w:t xml:space="preserve"> i tuži</w:t>
      </w:r>
      <w:r w:rsidR="00EF4C3C" w:rsidRPr="00C5016E">
        <w:rPr>
          <w:rFonts w:ascii="Arial" w:hAnsi="Arial" w:cs="Arial"/>
          <w:lang w:val="hr-HR"/>
        </w:rPr>
        <w:t>telja</w:t>
      </w:r>
      <w:r w:rsidRPr="00C5016E">
        <w:rPr>
          <w:rFonts w:ascii="Arial" w:hAnsi="Arial" w:cs="Arial"/>
          <w:lang w:val="hr-HR"/>
        </w:rPr>
        <w:t xml:space="preserve"> u Federaciji BiH („Službene novine Federacije BiH", br. 72/05, 22/09, 55/13 i 61/22);</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Zakon o državnoj službi u Federaciji Bosne i Hercegovine („Službene novine Federacije Bosne i Hercegovine“, br. 29/03, 23/04, 39/04, 54/04, 67/05 i 8/06, 4/12 i  99/15 i 9/17</w:t>
      </w:r>
      <w:r w:rsidR="00EF4C3C" w:rsidRPr="00C5016E">
        <w:rPr>
          <w:rFonts w:ascii="Arial" w:hAnsi="Arial" w:cs="Arial"/>
          <w:lang w:val="hr-HR"/>
        </w:rPr>
        <w:t xml:space="preserve"> </w:t>
      </w:r>
      <w:r w:rsidRPr="00C5016E">
        <w:rPr>
          <w:rFonts w:ascii="Arial" w:hAnsi="Arial" w:cs="Arial"/>
          <w:lang w:val="hr-HR"/>
        </w:rPr>
        <w:t>- Presuda Ustavnog suda Federacije Bosne i Hercegovine broj: U-13/16);</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Zakon o namještenicima u organima državne službe u Federaciji Bosne i Hercegovine („Službene novine Federacije BiH“, broj: 49/05);</w:t>
      </w:r>
    </w:p>
    <w:p w:rsidR="00C025DC" w:rsidRPr="00C5016E" w:rsidRDefault="00C025DC" w:rsidP="00C025DC">
      <w:pPr>
        <w:pStyle w:val="ListParagraph"/>
        <w:numPr>
          <w:ilvl w:val="0"/>
          <w:numId w:val="31"/>
        </w:numPr>
        <w:rPr>
          <w:rFonts w:ascii="Arial" w:hAnsi="Arial" w:cs="Arial"/>
          <w:lang w:val="hr-HR"/>
        </w:rPr>
      </w:pPr>
      <w:r w:rsidRPr="00C5016E">
        <w:rPr>
          <w:rFonts w:ascii="Arial" w:hAnsi="Arial" w:cs="Arial"/>
          <w:lang w:val="hr-HR"/>
        </w:rPr>
        <w:lastRenderedPageBreak/>
        <w:t>Zakon o dugu, zaduživanju i garancijama u Federaciji Bosne i Hercegovine („Službene novine Federacije BiH“, br. 86/07, 24/09, 44/10 i 30/16);</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 xml:space="preserve">Zakon </w:t>
      </w:r>
      <w:r w:rsidR="00EF4C3C" w:rsidRPr="00C5016E">
        <w:rPr>
          <w:rFonts w:ascii="Arial" w:hAnsi="Arial" w:cs="Arial"/>
          <w:lang w:val="hr-HR"/>
        </w:rPr>
        <w:t>o javnim nabav</w:t>
      </w:r>
      <w:r w:rsidRPr="00C5016E">
        <w:rPr>
          <w:rFonts w:ascii="Arial" w:hAnsi="Arial" w:cs="Arial"/>
          <w:lang w:val="hr-HR"/>
        </w:rPr>
        <w:t>ama Bosne i Hercegovine („Službeni glasnik BiH“, broj: 39/14 i 59/22);</w:t>
      </w:r>
    </w:p>
    <w:p w:rsidR="00C025DC" w:rsidRPr="00C5016E" w:rsidRDefault="00C025DC" w:rsidP="00C025DC">
      <w:pPr>
        <w:pStyle w:val="ListParagraph"/>
        <w:numPr>
          <w:ilvl w:val="0"/>
          <w:numId w:val="31"/>
        </w:numPr>
        <w:rPr>
          <w:rFonts w:ascii="Arial" w:hAnsi="Arial" w:cs="Arial"/>
          <w:lang w:val="hr-HR"/>
        </w:rPr>
      </w:pPr>
      <w:r w:rsidRPr="00C5016E">
        <w:rPr>
          <w:rFonts w:ascii="Arial" w:hAnsi="Arial" w:cs="Arial"/>
          <w:lang w:val="hr-HR"/>
        </w:rPr>
        <w:t>Zakon o investiranju javnih sredstava („Službene novine Federacije BiH“, br. 77/04 i 48/08);</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Zakon o osiguranju („Službene novine Federacije BiH“, broj: 23/17);</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Zakon o zdravstvenom osiguranju („Službene novine Federacije BiH“, br. 30/97, 7/02, 70/08, 48/11, 36/18 i 61/22);</w:t>
      </w:r>
    </w:p>
    <w:p w:rsidR="00C025DC" w:rsidRPr="00C5016E" w:rsidRDefault="00C025DC" w:rsidP="00C025DC">
      <w:pPr>
        <w:pStyle w:val="ListParagraph"/>
        <w:numPr>
          <w:ilvl w:val="0"/>
          <w:numId w:val="31"/>
        </w:numPr>
        <w:rPr>
          <w:rFonts w:ascii="Arial" w:hAnsi="Arial" w:cs="Arial"/>
          <w:lang w:val="hr-HR"/>
        </w:rPr>
      </w:pPr>
      <w:r w:rsidRPr="00C5016E">
        <w:rPr>
          <w:rFonts w:ascii="Arial" w:hAnsi="Arial" w:cs="Arial"/>
          <w:lang w:val="hr-HR"/>
        </w:rPr>
        <w:t>Uredba o računovodstvu Proračuna u Federaciji Bosne i Hercegovine  („Službene novine Federacije BiH", broj: 34/14);</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Uredba o naknadama troškova za službena putovanja („Službene novine Federacije BiH“, br. 44/16 i 50/16);</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Uredba o naknadama koje pripadaju članovima Vlade Federacije Bosne i Hercegovine i njihovim savjetnicima koje nemaju karakter plaće („Službene novine Federacije BiH", br. 87/10, 22/11,45/13 i 9/16);</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Uredba o naknadama koje nemaju karakter plaće („Službene novine Federacije BiH“, br. 63/10, 22/11, 66/11, 51/12 i 99/22);</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Uredba o u</w:t>
      </w:r>
      <w:r w:rsidR="00EF4C3C" w:rsidRPr="00C5016E">
        <w:rPr>
          <w:rFonts w:ascii="Arial" w:hAnsi="Arial" w:cs="Arial"/>
          <w:lang w:val="hr-HR"/>
        </w:rPr>
        <w:t>vjetima</w:t>
      </w:r>
      <w:r w:rsidRPr="00C5016E">
        <w:rPr>
          <w:rFonts w:ascii="Arial" w:hAnsi="Arial" w:cs="Arial"/>
          <w:lang w:val="hr-HR"/>
        </w:rPr>
        <w:t xml:space="preserve"> i načinu plaćanja gotovim novcem („Službene novine Federacije BiH“, br.72/15 i 82/15);</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Uredba o utvrđivanju vlastitih prihoda, načina i rokova raspodjele („Službene novine Federacije BiH“, broj: 60/16);</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Uput</w:t>
      </w:r>
      <w:r w:rsidR="00EF4C3C" w:rsidRPr="00C5016E">
        <w:rPr>
          <w:rFonts w:ascii="Arial" w:hAnsi="Arial" w:cs="Arial"/>
          <w:lang w:val="hr-HR"/>
        </w:rPr>
        <w:t>a</w:t>
      </w:r>
      <w:r w:rsidRPr="00C5016E">
        <w:rPr>
          <w:rFonts w:ascii="Arial" w:hAnsi="Arial" w:cs="Arial"/>
          <w:lang w:val="hr-HR"/>
        </w:rPr>
        <w:t xml:space="preserve"> o izvršavanju proračun</w:t>
      </w:r>
      <w:r w:rsidR="00EF4C3C" w:rsidRPr="00C5016E">
        <w:rPr>
          <w:rFonts w:ascii="Arial" w:hAnsi="Arial" w:cs="Arial"/>
          <w:lang w:val="hr-HR"/>
        </w:rPr>
        <w:t>a s</w:t>
      </w:r>
      <w:r w:rsidRPr="00C5016E">
        <w:rPr>
          <w:rFonts w:ascii="Arial" w:hAnsi="Arial" w:cs="Arial"/>
          <w:lang w:val="hr-HR"/>
        </w:rPr>
        <w:t xml:space="preserve"> Jedinstvenog računa </w:t>
      </w:r>
      <w:r w:rsidR="00EF4C3C" w:rsidRPr="00C5016E">
        <w:rPr>
          <w:rFonts w:ascii="Arial" w:hAnsi="Arial" w:cs="Arial"/>
          <w:lang w:val="hr-HR"/>
        </w:rPr>
        <w:t>Riznice</w:t>
      </w:r>
      <w:r w:rsidRPr="00C5016E">
        <w:rPr>
          <w:rFonts w:ascii="Arial" w:hAnsi="Arial" w:cs="Arial"/>
          <w:lang w:val="hr-HR"/>
        </w:rPr>
        <w:t xml:space="preserve"> („Službene novine Federacije BiH“, broj: 34/16);</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Uput</w:t>
      </w:r>
      <w:r w:rsidR="00EF4C3C" w:rsidRPr="00C5016E">
        <w:rPr>
          <w:rFonts w:ascii="Arial" w:hAnsi="Arial" w:cs="Arial"/>
          <w:lang w:val="hr-HR"/>
        </w:rPr>
        <w:t>a</w:t>
      </w:r>
      <w:r w:rsidRPr="00C5016E">
        <w:rPr>
          <w:rFonts w:ascii="Arial" w:hAnsi="Arial" w:cs="Arial"/>
          <w:lang w:val="hr-HR"/>
        </w:rPr>
        <w:t xml:space="preserve"> o blagajničkom poslovanju („Službene novine Federacije BiH“, br. 44/17 i 101/21); </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Uput</w:t>
      </w:r>
      <w:r w:rsidR="00EF4C3C" w:rsidRPr="00C5016E">
        <w:rPr>
          <w:rFonts w:ascii="Arial" w:hAnsi="Arial" w:cs="Arial"/>
          <w:lang w:val="hr-HR"/>
        </w:rPr>
        <w:t>a</w:t>
      </w:r>
      <w:r w:rsidRPr="00C5016E">
        <w:rPr>
          <w:rFonts w:ascii="Arial" w:hAnsi="Arial" w:cs="Arial"/>
          <w:lang w:val="hr-HR"/>
        </w:rPr>
        <w:t xml:space="preserve"> o planiranju i računovodstvenom evidentiranju vanjskog duga Federacije Bosne i Hercegovine u Glavnoj knjizi </w:t>
      </w:r>
      <w:r w:rsidR="004611A5" w:rsidRPr="00C5016E">
        <w:rPr>
          <w:rFonts w:ascii="Arial" w:hAnsi="Arial" w:cs="Arial"/>
          <w:lang w:val="hr-HR"/>
        </w:rPr>
        <w:t>Riznice</w:t>
      </w:r>
      <w:r w:rsidRPr="00C5016E">
        <w:rPr>
          <w:rFonts w:ascii="Arial" w:hAnsi="Arial" w:cs="Arial"/>
          <w:lang w:val="hr-HR"/>
        </w:rPr>
        <w:t xml:space="preserve"> („Službene novine Federacije BiH“, br.  69/06, 78/06, 2/11 i  11/12);</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Uput</w:t>
      </w:r>
      <w:r w:rsidR="004611A5" w:rsidRPr="00C5016E">
        <w:rPr>
          <w:rFonts w:ascii="Arial" w:hAnsi="Arial" w:cs="Arial"/>
          <w:lang w:val="hr-HR"/>
        </w:rPr>
        <w:t>a</w:t>
      </w:r>
      <w:r w:rsidRPr="00C5016E">
        <w:rPr>
          <w:rFonts w:ascii="Arial" w:hAnsi="Arial" w:cs="Arial"/>
          <w:lang w:val="hr-HR"/>
        </w:rPr>
        <w:t xml:space="preserve"> o otvaranju posebnih namjenskih transakcijskih računa, načinu planiranja, prikupljanja, evidentira</w:t>
      </w:r>
      <w:r w:rsidR="004611A5" w:rsidRPr="00C5016E">
        <w:rPr>
          <w:rFonts w:ascii="Arial" w:hAnsi="Arial" w:cs="Arial"/>
          <w:lang w:val="hr-HR"/>
        </w:rPr>
        <w:t>nja i raspolaganja sredstvima s</w:t>
      </w:r>
      <w:r w:rsidRPr="00C5016E">
        <w:rPr>
          <w:rFonts w:ascii="Arial" w:hAnsi="Arial" w:cs="Arial"/>
          <w:lang w:val="hr-HR"/>
        </w:rPr>
        <w:t xml:space="preserve"> posebnih namjenskih transakcijskih računa otvorenih kao podračuna u okviru Jedinstvenog računa </w:t>
      </w:r>
      <w:r w:rsidR="004611A5" w:rsidRPr="00C5016E">
        <w:rPr>
          <w:rFonts w:ascii="Arial" w:hAnsi="Arial" w:cs="Arial"/>
          <w:lang w:val="hr-HR"/>
        </w:rPr>
        <w:t>Riznice</w:t>
      </w:r>
      <w:r w:rsidRPr="00C5016E">
        <w:rPr>
          <w:rFonts w:ascii="Arial" w:hAnsi="Arial" w:cs="Arial"/>
          <w:lang w:val="hr-HR"/>
        </w:rPr>
        <w:t xml:space="preserve"> („Službene novine Federacije BiH“, br. 44/17 i 22/20);</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Uput</w:t>
      </w:r>
      <w:r w:rsidR="004611A5" w:rsidRPr="00C5016E">
        <w:rPr>
          <w:rFonts w:ascii="Arial" w:hAnsi="Arial" w:cs="Arial"/>
          <w:lang w:val="hr-HR"/>
        </w:rPr>
        <w:t>a</w:t>
      </w:r>
      <w:r w:rsidRPr="00C5016E">
        <w:rPr>
          <w:rFonts w:ascii="Arial" w:hAnsi="Arial" w:cs="Arial"/>
          <w:lang w:val="hr-HR"/>
        </w:rPr>
        <w:t xml:space="preserve"> o prikupljanju, evidentiranju i raspolaganju vlastitim prihodima od strane korisnika proračuna („Službene novine Federacije BiH“, br. 94/07 i 34/12);</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Upu</w:t>
      </w:r>
      <w:r w:rsidR="004611A5" w:rsidRPr="00C5016E">
        <w:rPr>
          <w:rFonts w:ascii="Arial" w:hAnsi="Arial" w:cs="Arial"/>
          <w:lang w:val="hr-HR"/>
        </w:rPr>
        <w:t>ta</w:t>
      </w:r>
      <w:r w:rsidRPr="00C5016E">
        <w:rPr>
          <w:rFonts w:ascii="Arial" w:hAnsi="Arial" w:cs="Arial"/>
          <w:lang w:val="hr-HR"/>
        </w:rPr>
        <w:t xml:space="preserve"> o načinu uplaćivanja i trošenja vlastitih prihoda korisnika proračuna („Službene novine Federacije BiH“, broj: 77/16);</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Pravilnik o načinu uplate, pripadnosti i raspodjele javnih prihoda u Federaciji Bosne i Hercegovine („Službene novine Federacije BiH“, br.  54/20, 55/20-isp, 63/20, 88/20, 28/21, 56/21, 83/21, 1/22, 17/22, 34/22, 57/22, 76/22, 93/22, i 94/22);</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lastRenderedPageBreak/>
        <w:t>Pravilnik o knjigovodstvu proračuna u Federaciji BiH („Službene novine Federacije BiH", broj: 60/14);</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Pravilnik o financijskom izvještavanju i godišnjem obračunu proračuna u Federaciji Bosne i Hercegovine („Službene novine Federacije BiH“, br. 69/14, 14/15, 4/16, 19/18 i 3/21);</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 xml:space="preserve">Pravilnik o procedurama za povrat, preknjižavanje pogrešno/više uplaćenih javnih prihoda s Jedinstvenog računa </w:t>
      </w:r>
      <w:r w:rsidR="004611A5" w:rsidRPr="00C5016E">
        <w:rPr>
          <w:rFonts w:ascii="Arial" w:hAnsi="Arial" w:cs="Arial"/>
          <w:lang w:val="hr-HR"/>
        </w:rPr>
        <w:t xml:space="preserve">riznice </w:t>
      </w:r>
      <w:r w:rsidRPr="00C5016E">
        <w:rPr>
          <w:rFonts w:ascii="Arial" w:hAnsi="Arial" w:cs="Arial"/>
          <w:lang w:val="hr-HR"/>
        </w:rPr>
        <w:t>Federacije Bosne i Hercegovine i postupku umanjenja obveza („Službene novine Federacije BiH“, br. 20/18 i 16/20);</w:t>
      </w:r>
    </w:p>
    <w:p w:rsidR="00C025DC" w:rsidRPr="00C5016E" w:rsidRDefault="00C025DC" w:rsidP="00C025DC">
      <w:pPr>
        <w:pStyle w:val="ListParagraph"/>
        <w:numPr>
          <w:ilvl w:val="0"/>
          <w:numId w:val="31"/>
        </w:numPr>
        <w:rPr>
          <w:rFonts w:ascii="Arial" w:hAnsi="Arial" w:cs="Arial"/>
          <w:lang w:val="hr-HR"/>
        </w:rPr>
      </w:pPr>
      <w:r w:rsidRPr="00C5016E">
        <w:rPr>
          <w:rFonts w:ascii="Arial" w:hAnsi="Arial" w:cs="Arial"/>
          <w:lang w:val="hr-HR"/>
        </w:rPr>
        <w:t>Pravilnik o investiranju raspoloživih novčanih sredstava, postupku, sadržaju i rokovima izvješ</w:t>
      </w:r>
      <w:r w:rsidR="004611A5" w:rsidRPr="00C5016E">
        <w:rPr>
          <w:rFonts w:ascii="Arial" w:hAnsi="Arial" w:cs="Arial"/>
          <w:lang w:val="hr-HR"/>
        </w:rPr>
        <w:t>ći</w:t>
      </w:r>
      <w:r w:rsidRPr="00C5016E">
        <w:rPr>
          <w:rFonts w:ascii="Arial" w:hAnsi="Arial" w:cs="Arial"/>
          <w:lang w:val="hr-HR"/>
        </w:rPr>
        <w:t>vanja o izvršenim investicijama („Službene novine Federacije BiH“, broj: 81/08);</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 xml:space="preserve">Računovodstvene politike za federalne proračunske korisnike i </w:t>
      </w:r>
      <w:r w:rsidR="004611A5" w:rsidRPr="00C5016E">
        <w:rPr>
          <w:rFonts w:ascii="Arial" w:hAnsi="Arial" w:cs="Arial"/>
          <w:lang w:val="hr-HR"/>
        </w:rPr>
        <w:t xml:space="preserve">riznicu </w:t>
      </w:r>
      <w:r w:rsidRPr="00C5016E">
        <w:rPr>
          <w:rFonts w:ascii="Arial" w:hAnsi="Arial" w:cs="Arial"/>
          <w:lang w:val="hr-HR"/>
        </w:rPr>
        <w:t>(„Službene novine Federacije BiH“, broj:58/16);</w:t>
      </w:r>
    </w:p>
    <w:p w:rsidR="00C025DC" w:rsidRPr="00C5016E" w:rsidRDefault="00C025DC" w:rsidP="00C025DC">
      <w:pPr>
        <w:pStyle w:val="ListParagraph"/>
        <w:numPr>
          <w:ilvl w:val="0"/>
          <w:numId w:val="31"/>
        </w:numPr>
        <w:ind w:left="714" w:hanging="357"/>
        <w:rPr>
          <w:rFonts w:ascii="Arial" w:hAnsi="Arial" w:cs="Arial"/>
          <w:lang w:val="hr-HR"/>
        </w:rPr>
      </w:pPr>
      <w:r w:rsidRPr="00C5016E">
        <w:rPr>
          <w:rFonts w:ascii="Arial" w:hAnsi="Arial" w:cs="Arial"/>
          <w:lang w:val="hr-HR"/>
        </w:rPr>
        <w:t>Odluka o jedinstvenim baznim kriterijima za sistematizaciju radnih mjesta i utvrđivanje platnih razreda u Uredu za reviziju institucija BiH, Uredu za reviziju institucija u Federaciji BiH i Glavnoj službi za reviziju javnog sektora RS („Službene novine Federacije BiH", broj: 66/06).</w:t>
      </w:r>
    </w:p>
    <w:p w:rsidR="00C025DC" w:rsidRPr="00C5016E" w:rsidRDefault="00C025DC" w:rsidP="00C025DC">
      <w:pPr>
        <w:rPr>
          <w:rFonts w:cs="Arial"/>
        </w:rPr>
      </w:pPr>
      <w:r w:rsidRPr="00C5016E">
        <w:rPr>
          <w:rFonts w:cs="Arial"/>
        </w:rPr>
        <w:t>Izvješ</w:t>
      </w:r>
      <w:r w:rsidR="004611A5" w:rsidRPr="00C5016E">
        <w:rPr>
          <w:rFonts w:cs="Arial"/>
        </w:rPr>
        <w:t>će</w:t>
      </w:r>
      <w:r w:rsidRPr="00C5016E">
        <w:rPr>
          <w:rFonts w:cs="Arial"/>
        </w:rPr>
        <w:t xml:space="preserve"> je urađen</w:t>
      </w:r>
      <w:r w:rsidR="004611A5" w:rsidRPr="00C5016E">
        <w:rPr>
          <w:rFonts w:cs="Arial"/>
        </w:rPr>
        <w:t>o</w:t>
      </w:r>
      <w:r w:rsidRPr="00C5016E">
        <w:rPr>
          <w:rFonts w:cs="Arial"/>
        </w:rPr>
        <w:t xml:space="preserve"> na bazi podataka iz Glavne knjige </w:t>
      </w:r>
      <w:r w:rsidR="004611A5" w:rsidRPr="00C5016E">
        <w:rPr>
          <w:rFonts w:cs="Arial"/>
        </w:rPr>
        <w:t>Riznice</w:t>
      </w:r>
      <w:r w:rsidRPr="00C5016E">
        <w:rPr>
          <w:rFonts w:cs="Arial"/>
        </w:rPr>
        <w:t xml:space="preserve"> nakon zatvaranja izvještajnog </w:t>
      </w:r>
      <w:r w:rsidR="004611A5" w:rsidRPr="00C5016E">
        <w:rPr>
          <w:rFonts w:cs="Arial"/>
        </w:rPr>
        <w:t>razdoblja</w:t>
      </w:r>
      <w:r w:rsidRPr="00C5016E">
        <w:rPr>
          <w:rFonts w:cs="Arial"/>
        </w:rPr>
        <w:t xml:space="preserve">. Ukupni prihodi, primici i financiranja su iznosili 5.304,3 </w:t>
      </w:r>
      <w:r w:rsidR="004611A5" w:rsidRPr="00C5016E">
        <w:rPr>
          <w:rFonts w:cs="Arial"/>
        </w:rPr>
        <w:t>milijun</w:t>
      </w:r>
      <w:r w:rsidRPr="00C5016E">
        <w:rPr>
          <w:rFonts w:cs="Arial"/>
        </w:rPr>
        <w:t xml:space="preserve">a KM i veći su za 203,8 </w:t>
      </w:r>
      <w:r w:rsidR="004611A5" w:rsidRPr="00C5016E">
        <w:rPr>
          <w:rFonts w:cs="Arial"/>
        </w:rPr>
        <w:t>milijun</w:t>
      </w:r>
      <w:r w:rsidRPr="00C5016E">
        <w:rPr>
          <w:rFonts w:cs="Arial"/>
        </w:rPr>
        <w:t xml:space="preserve">a KM od ukupno obračunatih rashoda i izdataka za </w:t>
      </w:r>
      <w:r w:rsidR="004611A5" w:rsidRPr="00C5016E">
        <w:rPr>
          <w:rFonts w:cs="Arial"/>
        </w:rPr>
        <w:t>razdoblje siječnja - prosinac</w:t>
      </w:r>
      <w:r w:rsidRPr="00C5016E">
        <w:rPr>
          <w:rFonts w:cs="Arial"/>
        </w:rPr>
        <w:t xml:space="preserve"> 2022. godine, koji su iznosili su 5.100,5 </w:t>
      </w:r>
      <w:r w:rsidR="004611A5" w:rsidRPr="00C5016E">
        <w:rPr>
          <w:rFonts w:cs="Arial"/>
        </w:rPr>
        <w:t>milijun</w:t>
      </w:r>
      <w:r w:rsidRPr="00C5016E">
        <w:rPr>
          <w:rFonts w:cs="Arial"/>
        </w:rPr>
        <w:t xml:space="preserve">a KM. </w:t>
      </w:r>
    </w:p>
    <w:p w:rsidR="00C025DC" w:rsidRPr="00C5016E" w:rsidRDefault="00C025DC" w:rsidP="00C025DC">
      <w:pPr>
        <w:rPr>
          <w:rFonts w:cs="Arial"/>
          <w:szCs w:val="24"/>
        </w:rPr>
      </w:pPr>
      <w:r w:rsidRPr="00C5016E">
        <w:rPr>
          <w:rFonts w:cs="Arial"/>
          <w:szCs w:val="24"/>
        </w:rPr>
        <w:tab/>
      </w: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spacing w:before="0" w:after="160" w:line="259" w:lineRule="auto"/>
        <w:jc w:val="left"/>
        <w:rPr>
          <w:rFonts w:eastAsia="Calibri" w:cs="Arial"/>
          <w:b/>
          <w:sz w:val="28"/>
          <w:szCs w:val="24"/>
        </w:rPr>
      </w:pPr>
      <w:r w:rsidRPr="00C5016E">
        <w:rPr>
          <w:rFonts w:cs="Arial"/>
        </w:rPr>
        <w:br w:type="page"/>
      </w:r>
    </w:p>
    <w:p w:rsidR="00C025DC" w:rsidRPr="00C5016E" w:rsidRDefault="00C025DC" w:rsidP="00C025DC">
      <w:pPr>
        <w:pStyle w:val="Heading1"/>
        <w:rPr>
          <w:rFonts w:ascii="Arial" w:hAnsi="Arial" w:cs="Arial"/>
          <w:lang w:val="hr-HR"/>
        </w:rPr>
      </w:pPr>
      <w:bookmarkStart w:id="25" w:name="_Toc131505194"/>
      <w:r w:rsidRPr="00C5016E">
        <w:rPr>
          <w:rFonts w:ascii="Arial" w:hAnsi="Arial" w:cs="Arial"/>
          <w:lang w:val="hr-HR"/>
        </w:rPr>
        <w:lastRenderedPageBreak/>
        <w:t>PRIHODI, PRIMICI I FINANCIRANJE</w:t>
      </w:r>
      <w:bookmarkEnd w:id="25"/>
    </w:p>
    <w:p w:rsidR="00C025DC" w:rsidRPr="00C5016E" w:rsidRDefault="00C025DC" w:rsidP="00C025DC">
      <w:r w:rsidRPr="00C5016E">
        <w:t>Proračunom Federacije BiH za 2022. godinu, po osnov</w:t>
      </w:r>
      <w:r w:rsidR="004611A5" w:rsidRPr="00C5016E">
        <w:t>i</w:t>
      </w:r>
      <w:r w:rsidRPr="00C5016E">
        <w:t xml:space="preserve"> prihoda, primitaka i financiranja, planirana su sredstva u iznosu od 5.597,62 </w:t>
      </w:r>
      <w:r w:rsidR="004611A5" w:rsidRPr="00C5016E">
        <w:t>milijun</w:t>
      </w:r>
      <w:r w:rsidRPr="00C5016E">
        <w:t xml:space="preserve">a KM, od čega su planirani prihodi u iznosu od 4.471,50 </w:t>
      </w:r>
      <w:r w:rsidR="004611A5" w:rsidRPr="00C5016E">
        <w:t>milijun</w:t>
      </w:r>
      <w:r w:rsidRPr="00C5016E">
        <w:t xml:space="preserve">a KM, dok je za račun financiranja planirano 920,01 </w:t>
      </w:r>
      <w:r w:rsidR="004611A5" w:rsidRPr="00C5016E">
        <w:t>milijun</w:t>
      </w:r>
      <w:r w:rsidRPr="00C5016E">
        <w:t xml:space="preserve"> KM. </w:t>
      </w:r>
    </w:p>
    <w:p w:rsidR="00C025DC" w:rsidRPr="00C5016E" w:rsidRDefault="00C025DC" w:rsidP="00C025DC">
      <w:pPr>
        <w:spacing w:before="0" w:after="0"/>
        <w:rPr>
          <w:rFonts w:cs="Arial"/>
          <w:szCs w:val="24"/>
        </w:rPr>
      </w:pPr>
      <w:r w:rsidRPr="00C5016E">
        <w:rPr>
          <w:rFonts w:cs="Arial"/>
          <w:szCs w:val="24"/>
        </w:rPr>
        <w:t xml:space="preserve">U 2022. godini ukupno ostvareni prihodi, primici i financiranje iznose 5.304,3 </w:t>
      </w:r>
      <w:r w:rsidR="004611A5" w:rsidRPr="00C5016E">
        <w:rPr>
          <w:rFonts w:cs="Arial"/>
          <w:szCs w:val="24"/>
        </w:rPr>
        <w:t>milijun</w:t>
      </w:r>
      <w:r w:rsidRPr="00C5016E">
        <w:rPr>
          <w:rFonts w:cs="Arial"/>
          <w:szCs w:val="24"/>
        </w:rPr>
        <w:t xml:space="preserve">a KM i veći su za 505,4 </w:t>
      </w:r>
      <w:r w:rsidR="004611A5" w:rsidRPr="00C5016E">
        <w:rPr>
          <w:rFonts w:cs="Arial"/>
          <w:szCs w:val="24"/>
        </w:rPr>
        <w:t>milijun</w:t>
      </w:r>
      <w:r w:rsidRPr="00C5016E">
        <w:rPr>
          <w:rFonts w:cs="Arial"/>
          <w:szCs w:val="24"/>
        </w:rPr>
        <w:t xml:space="preserve">a KM ili 11% u odnosu na ostvarenje 2021. godine i manji za 293,3 </w:t>
      </w:r>
      <w:r w:rsidR="004611A5" w:rsidRPr="00C5016E">
        <w:rPr>
          <w:rFonts w:cs="Arial"/>
          <w:szCs w:val="24"/>
        </w:rPr>
        <w:t>milijun</w:t>
      </w:r>
      <w:r w:rsidRPr="00C5016E">
        <w:rPr>
          <w:rFonts w:cs="Arial"/>
          <w:szCs w:val="24"/>
        </w:rPr>
        <w:t xml:space="preserve">a ili 5% u odnosu na planirano u Proračunu Federacije BiH za 2022. godinu. </w:t>
      </w:r>
      <w:r w:rsidRPr="00C5016E">
        <w:t xml:space="preserve">Od ukupno ostvarenih prihoda, primitaka i financiranja, prihodi od poreza (porez na dobit, doprinosi za mirovinsko i invalidsko osiguranje, prihodi od neizravnih poreza) ostvareni su u iznosu od 4.368,2 </w:t>
      </w:r>
      <w:r w:rsidR="004611A5" w:rsidRPr="00C5016E">
        <w:t>milijun</w:t>
      </w:r>
      <w:r w:rsidRPr="00C5016E">
        <w:t xml:space="preserve">a KM, što je 82,35% ukupno ostvarenih prihoda, primitaka i financiranja, zatim neporezni prihodi (naknade, </w:t>
      </w:r>
      <w:r w:rsidR="004611A5" w:rsidRPr="00C5016E">
        <w:t>pristojbe</w:t>
      </w:r>
      <w:r w:rsidRPr="00C5016E">
        <w:t xml:space="preserve">, novčane kazne...) su ostvareni u iznosu od 400,5 </w:t>
      </w:r>
      <w:r w:rsidR="004611A5" w:rsidRPr="00C5016E">
        <w:t>milijun</w:t>
      </w:r>
      <w:r w:rsidRPr="00C5016E">
        <w:t xml:space="preserve">a KM, što je 7,55% ukupno ostvarenih prihoda, primitaka i financiranja, te primljeni tekući transferi 27,5 </w:t>
      </w:r>
      <w:r w:rsidR="004611A5" w:rsidRPr="00C5016E">
        <w:t>milijun</w:t>
      </w:r>
      <w:r w:rsidRPr="00C5016E">
        <w:t>a KM, što je 0,52% ukupno ostvarenih prihoda, primitaka i financiranja, dok su prihodi po osnov</w:t>
      </w:r>
      <w:r w:rsidR="00AB734B" w:rsidRPr="00C5016E">
        <w:t>i</w:t>
      </w:r>
      <w:r w:rsidRPr="00C5016E">
        <w:t xml:space="preserve"> financiranja proračuna ostvareni u iznosu od 508 </w:t>
      </w:r>
      <w:r w:rsidR="004611A5" w:rsidRPr="00C5016E">
        <w:t>milijun</w:t>
      </w:r>
      <w:r w:rsidRPr="00C5016E">
        <w:t>a KM, s u</w:t>
      </w:r>
      <w:r w:rsidR="00AB734B" w:rsidRPr="00C5016E">
        <w:t>djelom</w:t>
      </w:r>
      <w:r w:rsidRPr="00C5016E">
        <w:t xml:space="preserve"> od 9,58% u ukupnom ostvarenim prihodima, primicima i financiranju.</w:t>
      </w:r>
    </w:p>
    <w:p w:rsidR="00C025DC" w:rsidRPr="00C5016E" w:rsidRDefault="00C025DC" w:rsidP="00C025DC">
      <w:r w:rsidRPr="00C5016E">
        <w:t>Grafički prikaz ostvarenja ukupnih prihoda, primitaka i financiranja ostvarenih u 2022. godini u odnosu na Proračun Federacije BiH za 2022. godine te u odnosu na prethodnu godinu je prikazan u nastavku.</w:t>
      </w:r>
    </w:p>
    <w:p w:rsidR="00C025DC" w:rsidRPr="00C5016E" w:rsidRDefault="00694D67" w:rsidP="00C025DC">
      <w:pPr>
        <w:spacing w:before="0" w:after="0"/>
        <w:rPr>
          <w:rFonts w:cs="Arial"/>
          <w:szCs w:val="24"/>
        </w:rPr>
      </w:pPr>
      <w:r>
        <w:rPr>
          <w:noProof/>
          <w:lang w:val="bs-Latn-BA" w:eastAsia="bs-Latn-BA"/>
        </w:rPr>
        <w:drawing>
          <wp:inline distT="0" distB="0" distL="0" distR="0" wp14:anchorId="55A43017" wp14:editId="2CD1603F">
            <wp:extent cx="5611495" cy="3324225"/>
            <wp:effectExtent l="0" t="0" r="825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025DC" w:rsidRPr="00C5016E" w:rsidRDefault="00C025DC" w:rsidP="00C025DC">
      <w:pPr>
        <w:spacing w:before="0" w:after="0"/>
        <w:rPr>
          <w:rFonts w:cs="Arial"/>
          <w:szCs w:val="24"/>
        </w:rPr>
      </w:pPr>
      <w:bookmarkStart w:id="26" w:name="_Toc99940816"/>
      <w:r w:rsidRPr="00C5016E">
        <w:rPr>
          <w:rFonts w:cs="Arial"/>
          <w:b/>
          <w:sz w:val="22"/>
          <w:szCs w:val="24"/>
        </w:rPr>
        <w:t xml:space="preserve">Grafikon </w:t>
      </w:r>
      <w:r w:rsidRPr="00C5016E">
        <w:rPr>
          <w:rFonts w:cs="Arial"/>
          <w:b/>
          <w:sz w:val="22"/>
          <w:szCs w:val="24"/>
        </w:rPr>
        <w:fldChar w:fldCharType="begin"/>
      </w:r>
      <w:r w:rsidRPr="00C5016E">
        <w:rPr>
          <w:rFonts w:cs="Arial"/>
          <w:b/>
          <w:sz w:val="22"/>
          <w:szCs w:val="24"/>
        </w:rPr>
        <w:instrText xml:space="preserve"> SEQ Grafikon \* ARABIC </w:instrText>
      </w:r>
      <w:r w:rsidRPr="00C5016E">
        <w:rPr>
          <w:rFonts w:cs="Arial"/>
          <w:b/>
          <w:sz w:val="22"/>
          <w:szCs w:val="24"/>
        </w:rPr>
        <w:fldChar w:fldCharType="separate"/>
      </w:r>
      <w:r w:rsidR="0070505C" w:rsidRPr="00C5016E">
        <w:rPr>
          <w:rFonts w:cs="Arial"/>
          <w:b/>
          <w:noProof/>
          <w:sz w:val="22"/>
          <w:szCs w:val="24"/>
        </w:rPr>
        <w:t>1</w:t>
      </w:r>
      <w:r w:rsidRPr="00C5016E">
        <w:rPr>
          <w:rFonts w:cs="Arial"/>
          <w:b/>
          <w:sz w:val="22"/>
          <w:szCs w:val="24"/>
        </w:rPr>
        <w:fldChar w:fldCharType="end"/>
      </w:r>
      <w:r w:rsidRPr="00C5016E">
        <w:rPr>
          <w:rFonts w:cs="Arial"/>
          <w:b/>
          <w:sz w:val="22"/>
          <w:szCs w:val="24"/>
        </w:rPr>
        <w:t xml:space="preserve">: </w:t>
      </w:r>
      <w:r w:rsidRPr="00C5016E">
        <w:rPr>
          <w:rFonts w:cs="Arial"/>
          <w:sz w:val="22"/>
          <w:szCs w:val="24"/>
        </w:rPr>
        <w:t>Ukupni prihodi, primici i financiranje planirani Proračunom FBiH za 2022. i ostvareni u 2022. i 2021</w:t>
      </w:r>
      <w:r w:rsidRPr="00C5016E">
        <w:rPr>
          <w:rFonts w:cs="Arial"/>
          <w:szCs w:val="24"/>
        </w:rPr>
        <w:t>.</w:t>
      </w:r>
      <w:bookmarkEnd w:id="26"/>
    </w:p>
    <w:p w:rsidR="00C025DC" w:rsidRPr="00C5016E" w:rsidRDefault="00C025DC" w:rsidP="00C025DC">
      <w:pPr>
        <w:spacing w:before="0" w:after="0"/>
        <w:rPr>
          <w:rFonts w:cs="Arial"/>
          <w:szCs w:val="24"/>
        </w:rPr>
      </w:pPr>
    </w:p>
    <w:p w:rsidR="00C025DC" w:rsidRPr="00C5016E" w:rsidRDefault="00C025DC" w:rsidP="00C025DC">
      <w:pPr>
        <w:spacing w:before="0" w:after="0"/>
        <w:rPr>
          <w:szCs w:val="14"/>
        </w:rPr>
      </w:pPr>
      <w:r w:rsidRPr="00C5016E">
        <w:lastRenderedPageBreak/>
        <w:t>U sljedećoj tab</w:t>
      </w:r>
      <w:r w:rsidR="00AB734B" w:rsidRPr="00C5016E">
        <w:t>lici koja je sačinjena na višoj</w:t>
      </w:r>
      <w:r w:rsidRPr="00C5016E">
        <w:t xml:space="preserve"> sintetičko</w:t>
      </w:r>
      <w:r w:rsidR="00AB734B" w:rsidRPr="00C5016E">
        <w:t>j</w:t>
      </w:r>
      <w:r w:rsidRPr="00C5016E">
        <w:t xml:space="preserve"> </w:t>
      </w:r>
      <w:r w:rsidR="00AB734B" w:rsidRPr="00C5016E">
        <w:t>razini</w:t>
      </w:r>
      <w:r w:rsidRPr="00C5016E">
        <w:t>, da</w:t>
      </w:r>
      <w:r w:rsidR="00AB734B" w:rsidRPr="00C5016E">
        <w:t>n</w:t>
      </w:r>
      <w:r w:rsidRPr="00C5016E">
        <w:t xml:space="preserve">a je struktura ostvarenih prihoda, primitaka i financiranja s indeksima ostvarenja u odnosu na prethodnu godinu, </w:t>
      </w:r>
      <w:r w:rsidRPr="00C5016E">
        <w:rPr>
          <w:szCs w:val="14"/>
        </w:rPr>
        <w:t xml:space="preserve">te indeksima ostvarenja u odnosu na planirana sredstva prema Proračunu Federacije BiH za 2022. godinu. </w:t>
      </w:r>
    </w:p>
    <w:p w:rsidR="00C025DC" w:rsidRPr="00C5016E" w:rsidRDefault="00C025DC" w:rsidP="00C025DC">
      <w:pPr>
        <w:spacing w:before="0" w:after="0"/>
        <w:jc w:val="right"/>
        <w:rPr>
          <w:rFonts w:cs="Arial"/>
          <w:b/>
          <w:szCs w:val="24"/>
        </w:rPr>
      </w:pPr>
      <w:bookmarkStart w:id="27" w:name="_Toc99939224"/>
      <w:r w:rsidRPr="00C5016E">
        <w:rPr>
          <w:rFonts w:cs="Arial"/>
          <w:b/>
          <w:szCs w:val="24"/>
        </w:rPr>
        <w:t xml:space="preserve">(u </w:t>
      </w:r>
      <w:smartTag w:uri="urn:schemas-microsoft-com:office:smarttags" w:element="metricconverter">
        <w:smartTagPr>
          <w:attr w:name="ProductID" w:val="000 KM"/>
        </w:smartTagPr>
        <w:r w:rsidRPr="00C5016E">
          <w:rPr>
            <w:rFonts w:cs="Arial"/>
            <w:b/>
            <w:szCs w:val="24"/>
          </w:rPr>
          <w:t>000 KM</w:t>
        </w:r>
      </w:smartTag>
      <w:r w:rsidRPr="00C5016E">
        <w:rPr>
          <w:rFonts w:cs="Arial"/>
          <w:b/>
          <w:szCs w:val="24"/>
        </w:rPr>
        <w:t>)</w:t>
      </w:r>
    </w:p>
    <w:tbl>
      <w:tblPr>
        <w:tblW w:w="88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93"/>
        <w:gridCol w:w="1373"/>
        <w:gridCol w:w="1445"/>
        <w:gridCol w:w="1409"/>
        <w:gridCol w:w="823"/>
        <w:gridCol w:w="823"/>
      </w:tblGrid>
      <w:tr w:rsidR="00C5016E" w:rsidRPr="00C5016E" w:rsidTr="00C025DC">
        <w:trPr>
          <w:trHeight w:val="561"/>
          <w:jc w:val="center"/>
        </w:trPr>
        <w:tc>
          <w:tcPr>
            <w:tcW w:w="2993"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b/>
                <w:bCs/>
                <w:sz w:val="22"/>
              </w:rPr>
            </w:pPr>
            <w:r w:rsidRPr="00C5016E">
              <w:rPr>
                <w:rFonts w:cs="Arial"/>
                <w:b/>
                <w:bCs/>
                <w:sz w:val="22"/>
              </w:rPr>
              <w:t>Naziv</w:t>
            </w:r>
          </w:p>
        </w:tc>
        <w:tc>
          <w:tcPr>
            <w:tcW w:w="1373"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b/>
                <w:bCs/>
                <w:sz w:val="22"/>
              </w:rPr>
            </w:pPr>
            <w:r w:rsidRPr="00C5016E">
              <w:rPr>
                <w:rFonts w:cs="Arial"/>
                <w:b/>
                <w:bCs/>
                <w:sz w:val="22"/>
              </w:rPr>
              <w:t xml:space="preserve">Proračun FBiH za 2022. </w:t>
            </w:r>
          </w:p>
        </w:tc>
        <w:tc>
          <w:tcPr>
            <w:tcW w:w="1445"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b/>
                <w:bCs/>
                <w:sz w:val="22"/>
              </w:rPr>
            </w:pPr>
            <w:r w:rsidRPr="00C5016E">
              <w:rPr>
                <w:rFonts w:cs="Arial"/>
                <w:b/>
                <w:bCs/>
                <w:sz w:val="22"/>
              </w:rPr>
              <w:t>Ostvareno</w:t>
            </w:r>
            <w:r w:rsidRPr="00C5016E">
              <w:rPr>
                <w:rFonts w:cs="Arial"/>
                <w:b/>
                <w:bCs/>
                <w:sz w:val="22"/>
              </w:rPr>
              <w:br/>
              <w:t>I - XII</w:t>
            </w:r>
            <w:r w:rsidRPr="00C5016E">
              <w:rPr>
                <w:rFonts w:cs="Arial"/>
                <w:b/>
                <w:bCs/>
                <w:sz w:val="22"/>
              </w:rPr>
              <w:br/>
              <w:t>2022.</w:t>
            </w:r>
          </w:p>
        </w:tc>
        <w:tc>
          <w:tcPr>
            <w:tcW w:w="1409"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b/>
                <w:bCs/>
                <w:sz w:val="22"/>
              </w:rPr>
            </w:pPr>
            <w:r w:rsidRPr="00C5016E">
              <w:rPr>
                <w:rFonts w:cs="Arial"/>
                <w:b/>
                <w:bCs/>
                <w:sz w:val="22"/>
              </w:rPr>
              <w:t>Ostvareno</w:t>
            </w:r>
            <w:r w:rsidRPr="00C5016E">
              <w:rPr>
                <w:rFonts w:cs="Arial"/>
                <w:b/>
                <w:bCs/>
                <w:sz w:val="22"/>
              </w:rPr>
              <w:br/>
              <w:t>I - XII</w:t>
            </w:r>
            <w:r w:rsidRPr="00C5016E">
              <w:rPr>
                <w:rFonts w:cs="Arial"/>
                <w:b/>
                <w:bCs/>
                <w:sz w:val="22"/>
              </w:rPr>
              <w:br/>
              <w:t>2021.</w:t>
            </w:r>
          </w:p>
        </w:tc>
        <w:tc>
          <w:tcPr>
            <w:tcW w:w="823"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b/>
                <w:bCs/>
                <w:sz w:val="22"/>
              </w:rPr>
            </w:pPr>
            <w:r w:rsidRPr="00C5016E">
              <w:rPr>
                <w:rFonts w:cs="Arial"/>
                <w:b/>
                <w:bCs/>
                <w:sz w:val="22"/>
              </w:rPr>
              <w:t>Index</w:t>
            </w:r>
            <w:r w:rsidRPr="00C5016E">
              <w:rPr>
                <w:rFonts w:cs="Arial"/>
                <w:b/>
                <w:bCs/>
                <w:sz w:val="22"/>
              </w:rPr>
              <w:br/>
              <w:t>3/2</w:t>
            </w:r>
          </w:p>
        </w:tc>
        <w:tc>
          <w:tcPr>
            <w:tcW w:w="823"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b/>
                <w:bCs/>
                <w:sz w:val="22"/>
              </w:rPr>
            </w:pPr>
            <w:r w:rsidRPr="00C5016E">
              <w:rPr>
                <w:rFonts w:cs="Arial"/>
                <w:b/>
                <w:bCs/>
                <w:sz w:val="22"/>
              </w:rPr>
              <w:t>Index</w:t>
            </w:r>
            <w:r w:rsidRPr="00C5016E">
              <w:rPr>
                <w:rFonts w:cs="Arial"/>
                <w:b/>
                <w:bCs/>
                <w:sz w:val="22"/>
              </w:rPr>
              <w:br/>
              <w:t>3/4</w:t>
            </w:r>
          </w:p>
        </w:tc>
      </w:tr>
      <w:tr w:rsidR="00C5016E" w:rsidRPr="00C5016E" w:rsidTr="00C025DC">
        <w:trPr>
          <w:trHeight w:val="129"/>
          <w:jc w:val="center"/>
        </w:trPr>
        <w:tc>
          <w:tcPr>
            <w:tcW w:w="2993"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sz w:val="22"/>
                <w:highlight w:val="lightGray"/>
              </w:rPr>
            </w:pPr>
            <w:r w:rsidRPr="00C5016E">
              <w:rPr>
                <w:rFonts w:cs="Arial"/>
                <w:sz w:val="22"/>
                <w:highlight w:val="lightGray"/>
              </w:rPr>
              <w:t>1</w:t>
            </w:r>
          </w:p>
        </w:tc>
        <w:tc>
          <w:tcPr>
            <w:tcW w:w="1373"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sz w:val="22"/>
                <w:highlight w:val="lightGray"/>
              </w:rPr>
            </w:pPr>
            <w:r w:rsidRPr="00C5016E">
              <w:rPr>
                <w:rFonts w:cs="Arial"/>
                <w:sz w:val="22"/>
                <w:highlight w:val="lightGray"/>
              </w:rPr>
              <w:t>2</w:t>
            </w:r>
          </w:p>
        </w:tc>
        <w:tc>
          <w:tcPr>
            <w:tcW w:w="1445"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sz w:val="22"/>
                <w:highlight w:val="lightGray"/>
              </w:rPr>
            </w:pPr>
            <w:r w:rsidRPr="00C5016E">
              <w:rPr>
                <w:rFonts w:cs="Arial"/>
                <w:sz w:val="22"/>
                <w:highlight w:val="lightGray"/>
              </w:rPr>
              <w:t>3</w:t>
            </w:r>
          </w:p>
        </w:tc>
        <w:tc>
          <w:tcPr>
            <w:tcW w:w="1409"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sz w:val="22"/>
                <w:highlight w:val="lightGray"/>
              </w:rPr>
            </w:pPr>
            <w:r w:rsidRPr="00C5016E">
              <w:rPr>
                <w:rFonts w:cs="Arial"/>
                <w:sz w:val="22"/>
                <w:highlight w:val="lightGray"/>
              </w:rPr>
              <w:t>4</w:t>
            </w:r>
          </w:p>
        </w:tc>
        <w:tc>
          <w:tcPr>
            <w:tcW w:w="823"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sz w:val="22"/>
                <w:highlight w:val="lightGray"/>
              </w:rPr>
            </w:pPr>
            <w:r w:rsidRPr="00C5016E">
              <w:rPr>
                <w:rFonts w:cs="Arial"/>
                <w:sz w:val="22"/>
                <w:highlight w:val="lightGray"/>
              </w:rPr>
              <w:t>5</w:t>
            </w:r>
          </w:p>
        </w:tc>
        <w:tc>
          <w:tcPr>
            <w:tcW w:w="823"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sz w:val="22"/>
                <w:highlight w:val="lightGray"/>
              </w:rPr>
            </w:pPr>
            <w:r w:rsidRPr="00C5016E">
              <w:rPr>
                <w:rFonts w:cs="Arial"/>
                <w:sz w:val="22"/>
                <w:highlight w:val="lightGray"/>
              </w:rPr>
              <w:t>6</w:t>
            </w:r>
          </w:p>
        </w:tc>
      </w:tr>
      <w:tr w:rsidR="00C5016E" w:rsidRPr="00C5016E" w:rsidTr="00C025DC">
        <w:trPr>
          <w:trHeight w:val="277"/>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tabs>
                <w:tab w:val="left" w:pos="720"/>
                <w:tab w:val="center" w:pos="4153"/>
                <w:tab w:val="right" w:pos="8306"/>
              </w:tabs>
              <w:spacing w:before="0" w:after="0"/>
              <w:jc w:val="left"/>
              <w:rPr>
                <w:rFonts w:cs="Arial"/>
                <w:b/>
                <w:sz w:val="22"/>
              </w:rPr>
            </w:pPr>
            <w:r w:rsidRPr="00C5016E">
              <w:rPr>
                <w:rFonts w:cs="Arial"/>
                <w:b/>
                <w:sz w:val="22"/>
              </w:rPr>
              <w:t>Prihodi od poreza</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3.978.874</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4.368.230</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3.867.635</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110</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113</w:t>
            </w:r>
          </w:p>
        </w:tc>
      </w:tr>
      <w:tr w:rsidR="00C5016E" w:rsidRPr="00C5016E" w:rsidTr="00C025DC">
        <w:trPr>
          <w:trHeight w:val="464"/>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sz w:val="22"/>
              </w:rPr>
            </w:pPr>
            <w:r w:rsidRPr="00C5016E">
              <w:rPr>
                <w:rFonts w:cs="Arial"/>
                <w:sz w:val="22"/>
              </w:rPr>
              <w:t>1. Prihodi od neizravnih</w:t>
            </w:r>
            <w:r w:rsidRPr="00C5016E">
              <w:rPr>
                <w:rFonts w:cs="Arial"/>
                <w:sz w:val="22"/>
              </w:rPr>
              <w:br/>
              <w:t>poreza (1.1+1.2)</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1.692.823</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1.820.393</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1.618.255</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tabs>
                <w:tab w:val="left" w:pos="320"/>
              </w:tabs>
              <w:spacing w:before="0" w:after="0"/>
              <w:jc w:val="right"/>
              <w:rPr>
                <w:rFonts w:cs="Arial"/>
                <w:sz w:val="22"/>
              </w:rPr>
            </w:pPr>
            <w:r w:rsidRPr="00C5016E">
              <w:rPr>
                <w:rFonts w:cs="Arial"/>
                <w:sz w:val="22"/>
              </w:rPr>
              <w:t>108</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112</w:t>
            </w:r>
          </w:p>
        </w:tc>
      </w:tr>
      <w:tr w:rsidR="00C5016E" w:rsidRPr="00C5016E" w:rsidTr="00C025DC">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sz w:val="20"/>
                <w:szCs w:val="20"/>
              </w:rPr>
            </w:pPr>
            <w:r w:rsidRPr="00C5016E">
              <w:rPr>
                <w:rFonts w:cs="Arial"/>
                <w:sz w:val="20"/>
                <w:szCs w:val="20"/>
              </w:rPr>
              <w:t>1.1 Prihodi od neizravnih poreza koji pripadaju Federaciji</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0"/>
                <w:szCs w:val="20"/>
              </w:rPr>
            </w:pPr>
            <w:r w:rsidRPr="00C5016E">
              <w:rPr>
                <w:rFonts w:cs="Arial"/>
                <w:sz w:val="20"/>
                <w:szCs w:val="20"/>
              </w:rPr>
              <w:t>1.150.789</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0"/>
                <w:szCs w:val="20"/>
              </w:rPr>
            </w:pPr>
            <w:r w:rsidRPr="00C5016E">
              <w:rPr>
                <w:rFonts w:cs="Arial"/>
                <w:sz w:val="20"/>
                <w:szCs w:val="20"/>
              </w:rPr>
              <w:t>1.285.544</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0"/>
                <w:szCs w:val="20"/>
              </w:rPr>
            </w:pPr>
            <w:r w:rsidRPr="00C5016E">
              <w:rPr>
                <w:rFonts w:cs="Arial"/>
                <w:sz w:val="20"/>
                <w:szCs w:val="20"/>
              </w:rPr>
              <w:t>1.108.852</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0"/>
                <w:szCs w:val="20"/>
              </w:rPr>
            </w:pPr>
            <w:r w:rsidRPr="00C5016E">
              <w:rPr>
                <w:rFonts w:cs="Arial"/>
                <w:sz w:val="20"/>
                <w:szCs w:val="20"/>
              </w:rPr>
              <w:t>112</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0"/>
                <w:szCs w:val="20"/>
              </w:rPr>
            </w:pPr>
            <w:r w:rsidRPr="00C5016E">
              <w:rPr>
                <w:rFonts w:cs="Arial"/>
                <w:sz w:val="20"/>
                <w:szCs w:val="20"/>
              </w:rPr>
              <w:t>116</w:t>
            </w:r>
          </w:p>
        </w:tc>
      </w:tr>
      <w:tr w:rsidR="00C5016E" w:rsidRPr="00C5016E" w:rsidTr="00C025DC">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sz w:val="20"/>
                <w:szCs w:val="20"/>
              </w:rPr>
            </w:pPr>
            <w:r w:rsidRPr="00C5016E">
              <w:rPr>
                <w:rFonts w:cs="Arial"/>
                <w:sz w:val="20"/>
                <w:szCs w:val="20"/>
              </w:rPr>
              <w:t>1.2 Prihodi za servis vanjskog duga</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0"/>
                <w:szCs w:val="20"/>
              </w:rPr>
            </w:pPr>
            <w:r w:rsidRPr="00C5016E">
              <w:rPr>
                <w:rFonts w:cs="Arial"/>
                <w:sz w:val="20"/>
                <w:szCs w:val="20"/>
              </w:rPr>
              <w:t>542.034</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0"/>
                <w:szCs w:val="20"/>
              </w:rPr>
            </w:pPr>
            <w:r w:rsidRPr="00C5016E">
              <w:rPr>
                <w:rFonts w:cs="Arial"/>
                <w:sz w:val="20"/>
                <w:szCs w:val="20"/>
              </w:rPr>
              <w:t>534.849</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0"/>
                <w:szCs w:val="20"/>
              </w:rPr>
            </w:pPr>
            <w:r w:rsidRPr="00C5016E">
              <w:rPr>
                <w:rFonts w:cs="Arial"/>
                <w:sz w:val="20"/>
                <w:szCs w:val="20"/>
              </w:rPr>
              <w:t>509.403</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0"/>
                <w:szCs w:val="20"/>
              </w:rPr>
            </w:pPr>
            <w:r w:rsidRPr="00C5016E">
              <w:rPr>
                <w:rFonts w:cs="Arial"/>
                <w:sz w:val="20"/>
                <w:szCs w:val="20"/>
              </w:rPr>
              <w:t>99</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tabs>
                <w:tab w:val="left" w:pos="512"/>
              </w:tabs>
              <w:spacing w:before="0" w:after="0"/>
              <w:jc w:val="right"/>
              <w:rPr>
                <w:rFonts w:cs="Arial"/>
                <w:sz w:val="20"/>
                <w:szCs w:val="20"/>
              </w:rPr>
            </w:pPr>
            <w:r w:rsidRPr="00C5016E">
              <w:rPr>
                <w:rFonts w:cs="Arial"/>
                <w:sz w:val="20"/>
                <w:szCs w:val="20"/>
              </w:rPr>
              <w:t>105</w:t>
            </w:r>
          </w:p>
        </w:tc>
      </w:tr>
      <w:tr w:rsidR="00C5016E" w:rsidRPr="00C5016E" w:rsidTr="00C025DC">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sz w:val="22"/>
              </w:rPr>
            </w:pPr>
            <w:r w:rsidRPr="00C5016E">
              <w:rPr>
                <w:rFonts w:cs="Arial"/>
                <w:sz w:val="22"/>
              </w:rPr>
              <w:t>2. Doprinosi za PIO/MIO</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2.218.986</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2.458.754</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2.177.822</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111</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113</w:t>
            </w:r>
          </w:p>
        </w:tc>
      </w:tr>
      <w:tr w:rsidR="00C5016E" w:rsidRPr="00C5016E" w:rsidTr="00C025DC">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sz w:val="22"/>
              </w:rPr>
            </w:pPr>
            <w:r w:rsidRPr="00C5016E">
              <w:rPr>
                <w:rFonts w:cs="Arial"/>
                <w:sz w:val="22"/>
              </w:rPr>
              <w:t>3. Porez na dobit</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67.037</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89.041</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71.540</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133</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124</w:t>
            </w:r>
          </w:p>
        </w:tc>
      </w:tr>
      <w:tr w:rsidR="00C5016E" w:rsidRPr="00C5016E" w:rsidTr="00C025DC">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sz w:val="22"/>
              </w:rPr>
            </w:pPr>
            <w:r w:rsidRPr="00C5016E">
              <w:rPr>
                <w:rFonts w:cs="Arial"/>
                <w:sz w:val="22"/>
              </w:rPr>
              <w:t>4. Ostali porezi</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28</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42</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18</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150</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233</w:t>
            </w:r>
          </w:p>
        </w:tc>
      </w:tr>
      <w:tr w:rsidR="00C5016E" w:rsidRPr="00C5016E" w:rsidTr="00C025DC">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b/>
                <w:sz w:val="22"/>
              </w:rPr>
            </w:pPr>
            <w:r w:rsidRPr="00C5016E">
              <w:rPr>
                <w:rFonts w:cs="Arial"/>
                <w:b/>
                <w:sz w:val="22"/>
              </w:rPr>
              <w:t>Neporezni prihodi</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488.122</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400.526</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461.748</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82</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87</w:t>
            </w:r>
          </w:p>
        </w:tc>
      </w:tr>
      <w:tr w:rsidR="00C5016E" w:rsidRPr="00C5016E" w:rsidTr="00C025DC">
        <w:trPr>
          <w:trHeight w:val="284"/>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b/>
                <w:sz w:val="22"/>
              </w:rPr>
            </w:pPr>
            <w:r w:rsidRPr="00C5016E">
              <w:rPr>
                <w:rFonts w:cs="Arial"/>
                <w:b/>
                <w:sz w:val="22"/>
              </w:rPr>
              <w:t>Tekući transferi i donacije</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4.503</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27.508</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3.228</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tabs>
                <w:tab w:val="left" w:pos="390"/>
              </w:tabs>
              <w:spacing w:before="0" w:after="0"/>
              <w:jc w:val="right"/>
              <w:rPr>
                <w:rFonts w:cs="Arial"/>
                <w:b/>
                <w:sz w:val="22"/>
              </w:rPr>
            </w:pPr>
            <w:r w:rsidRPr="00C5016E">
              <w:rPr>
                <w:rFonts w:cs="Arial"/>
                <w:b/>
                <w:sz w:val="22"/>
              </w:rPr>
              <w:t>-</w:t>
            </w:r>
          </w:p>
        </w:tc>
      </w:tr>
      <w:tr w:rsidR="00C5016E" w:rsidRPr="00C5016E" w:rsidTr="00C025DC">
        <w:trPr>
          <w:trHeight w:val="301"/>
          <w:jc w:val="center"/>
        </w:trPr>
        <w:tc>
          <w:tcPr>
            <w:tcW w:w="2993"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left"/>
              <w:rPr>
                <w:rFonts w:cs="Arial"/>
                <w:b/>
                <w:bCs/>
                <w:sz w:val="22"/>
              </w:rPr>
            </w:pPr>
            <w:r w:rsidRPr="00C5016E">
              <w:rPr>
                <w:rFonts w:cs="Arial"/>
                <w:b/>
                <w:bCs/>
                <w:sz w:val="22"/>
              </w:rPr>
              <w:t>Ukupno prihodi</w:t>
            </w:r>
          </w:p>
        </w:tc>
        <w:tc>
          <w:tcPr>
            <w:tcW w:w="1373"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jc w:val="right"/>
              <w:rPr>
                <w:rFonts w:cs="Arial"/>
                <w:b/>
                <w:bCs/>
                <w:sz w:val="22"/>
              </w:rPr>
            </w:pPr>
            <w:r w:rsidRPr="00C5016E">
              <w:rPr>
                <w:rFonts w:cs="Arial"/>
                <w:b/>
                <w:bCs/>
                <w:sz w:val="22"/>
              </w:rPr>
              <w:t>4.471.499</w:t>
            </w:r>
          </w:p>
        </w:tc>
        <w:tc>
          <w:tcPr>
            <w:tcW w:w="1445"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jc w:val="center"/>
              <w:rPr>
                <w:rFonts w:cs="Arial"/>
                <w:b/>
                <w:bCs/>
                <w:sz w:val="22"/>
              </w:rPr>
            </w:pPr>
            <w:r w:rsidRPr="00C5016E">
              <w:rPr>
                <w:rFonts w:cs="Arial"/>
                <w:b/>
                <w:bCs/>
                <w:sz w:val="22"/>
              </w:rPr>
              <w:t xml:space="preserve">    4.796.264</w:t>
            </w:r>
          </w:p>
        </w:tc>
        <w:tc>
          <w:tcPr>
            <w:tcW w:w="1409"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jc w:val="right"/>
              <w:rPr>
                <w:rFonts w:cs="Arial"/>
                <w:b/>
                <w:bCs/>
                <w:sz w:val="22"/>
              </w:rPr>
            </w:pPr>
            <w:r w:rsidRPr="00C5016E">
              <w:rPr>
                <w:rFonts w:cs="Arial"/>
                <w:b/>
                <w:bCs/>
                <w:sz w:val="22"/>
              </w:rPr>
              <w:t>4.332.611</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jc w:val="right"/>
              <w:rPr>
                <w:rFonts w:cs="Arial"/>
                <w:b/>
                <w:bCs/>
                <w:sz w:val="22"/>
                <w:highlight w:val="yellow"/>
              </w:rPr>
            </w:pPr>
            <w:r w:rsidRPr="00C5016E">
              <w:rPr>
                <w:rFonts w:cs="Arial"/>
                <w:b/>
                <w:bCs/>
                <w:sz w:val="22"/>
              </w:rPr>
              <w:t>107</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jc w:val="right"/>
              <w:rPr>
                <w:rFonts w:cs="Arial"/>
                <w:b/>
                <w:bCs/>
                <w:sz w:val="22"/>
                <w:highlight w:val="yellow"/>
              </w:rPr>
            </w:pPr>
            <w:r w:rsidRPr="00C5016E">
              <w:rPr>
                <w:rFonts w:cs="Arial"/>
                <w:b/>
                <w:bCs/>
                <w:sz w:val="22"/>
              </w:rPr>
              <w:t>111</w:t>
            </w:r>
          </w:p>
        </w:tc>
      </w:tr>
      <w:tr w:rsidR="00C5016E" w:rsidRPr="00C5016E" w:rsidTr="00C025DC">
        <w:trPr>
          <w:trHeight w:val="281"/>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b/>
                <w:sz w:val="22"/>
              </w:rPr>
            </w:pPr>
            <w:r w:rsidRPr="00C5016E">
              <w:rPr>
                <w:rFonts w:cs="Arial"/>
                <w:b/>
                <w:sz w:val="22"/>
              </w:rPr>
              <w:t>Primici od nefinancijske imovine</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10</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rPr>
                <w:rFonts w:cs="Arial"/>
                <w:b/>
                <w:sz w:val="22"/>
              </w:rPr>
            </w:pPr>
            <w:r w:rsidRPr="00C5016E">
              <w:rPr>
                <w:rFonts w:cs="Arial"/>
                <w:b/>
                <w:sz w:val="22"/>
              </w:rPr>
              <w:t xml:space="preserve">       171.001</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250.935</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tabs>
                <w:tab w:val="left" w:pos="323"/>
              </w:tabs>
              <w:spacing w:before="0" w:after="0"/>
              <w:jc w:val="right"/>
              <w:rPr>
                <w:rFonts w:cs="Arial"/>
                <w:b/>
                <w:sz w:val="22"/>
              </w:rPr>
            </w:pPr>
            <w:r w:rsidRPr="00C5016E">
              <w:rPr>
                <w:rFonts w:cs="Arial"/>
                <w:b/>
                <w:sz w:val="22"/>
              </w:rPr>
              <w:t>-</w:t>
            </w:r>
          </w:p>
        </w:tc>
      </w:tr>
      <w:tr w:rsidR="00C5016E" w:rsidRPr="00C5016E" w:rsidTr="00C025DC">
        <w:trPr>
          <w:trHeight w:val="281"/>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b/>
                <w:sz w:val="22"/>
              </w:rPr>
            </w:pPr>
            <w:r w:rsidRPr="00C5016E">
              <w:rPr>
                <w:rFonts w:cs="Arial"/>
                <w:b/>
                <w:sz w:val="22"/>
              </w:rPr>
              <w:t>Primici od financijske imovine</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100.000</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0</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0</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tabs>
                <w:tab w:val="left" w:pos="323"/>
              </w:tabs>
              <w:spacing w:before="0" w:after="0"/>
              <w:jc w:val="right"/>
              <w:rPr>
                <w:rFonts w:cs="Arial"/>
                <w:b/>
                <w:sz w:val="22"/>
              </w:rPr>
            </w:pPr>
            <w:r w:rsidRPr="00C5016E">
              <w:rPr>
                <w:rFonts w:cs="Arial"/>
                <w:b/>
                <w:sz w:val="22"/>
              </w:rPr>
              <w:t>-</w:t>
            </w:r>
          </w:p>
        </w:tc>
      </w:tr>
      <w:tr w:rsidR="00C5016E" w:rsidRPr="00C5016E" w:rsidTr="00C025DC">
        <w:trPr>
          <w:trHeight w:val="281"/>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b/>
                <w:sz w:val="22"/>
              </w:rPr>
            </w:pPr>
            <w:r w:rsidRPr="00C5016E">
              <w:rPr>
                <w:rFonts w:cs="Arial"/>
                <w:b/>
                <w:sz w:val="22"/>
              </w:rPr>
              <w:t>Primici od dugoročnog zaduživanja</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570.000</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287.005</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115.371</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50</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tabs>
                <w:tab w:val="left" w:pos="323"/>
              </w:tabs>
              <w:spacing w:before="0" w:after="0"/>
              <w:jc w:val="right"/>
              <w:rPr>
                <w:rFonts w:cs="Arial"/>
                <w:b/>
                <w:sz w:val="22"/>
              </w:rPr>
            </w:pPr>
            <w:r w:rsidRPr="00C5016E">
              <w:rPr>
                <w:rFonts w:cs="Arial"/>
                <w:b/>
                <w:sz w:val="22"/>
              </w:rPr>
              <w:t>249</w:t>
            </w:r>
          </w:p>
        </w:tc>
      </w:tr>
      <w:tr w:rsidR="00C5016E" w:rsidRPr="00C5016E" w:rsidTr="00C025DC">
        <w:trPr>
          <w:trHeight w:val="281"/>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sz w:val="22"/>
              </w:rPr>
            </w:pPr>
            <w:r w:rsidRPr="00C5016E">
              <w:rPr>
                <w:rFonts w:cs="Arial"/>
                <w:sz w:val="22"/>
              </w:rPr>
              <w:t>1. Zajmovi primljeni kroz Državu</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300.000</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157.125</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25.557</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52</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tabs>
                <w:tab w:val="left" w:pos="323"/>
              </w:tabs>
              <w:spacing w:before="0" w:after="0"/>
              <w:jc w:val="right"/>
              <w:rPr>
                <w:rFonts w:cs="Arial"/>
                <w:sz w:val="22"/>
              </w:rPr>
            </w:pPr>
            <w:r w:rsidRPr="00C5016E">
              <w:rPr>
                <w:rFonts w:cs="Arial"/>
                <w:sz w:val="22"/>
              </w:rPr>
              <w:t>615</w:t>
            </w:r>
          </w:p>
        </w:tc>
      </w:tr>
      <w:tr w:rsidR="00C5016E" w:rsidRPr="00C5016E" w:rsidTr="00C025DC">
        <w:trPr>
          <w:trHeight w:val="281"/>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sz w:val="22"/>
              </w:rPr>
            </w:pPr>
            <w:r w:rsidRPr="00C5016E">
              <w:rPr>
                <w:rFonts w:cs="Arial"/>
                <w:sz w:val="22"/>
              </w:rPr>
              <w:t>2. Primici od dugoročnih obveznica</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270.000</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129.871</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89.814</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48</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tabs>
                <w:tab w:val="left" w:pos="323"/>
              </w:tabs>
              <w:spacing w:before="0" w:after="0"/>
              <w:jc w:val="right"/>
              <w:rPr>
                <w:rFonts w:cs="Arial"/>
                <w:sz w:val="22"/>
              </w:rPr>
            </w:pPr>
            <w:r w:rsidRPr="00C5016E">
              <w:rPr>
                <w:rFonts w:cs="Arial"/>
                <w:sz w:val="22"/>
              </w:rPr>
              <w:t>145</w:t>
            </w:r>
          </w:p>
        </w:tc>
      </w:tr>
      <w:tr w:rsidR="00C5016E" w:rsidRPr="00C5016E" w:rsidTr="00C025DC">
        <w:trPr>
          <w:trHeight w:val="359"/>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b/>
                <w:bCs/>
                <w:sz w:val="22"/>
              </w:rPr>
            </w:pPr>
            <w:r w:rsidRPr="00C5016E">
              <w:rPr>
                <w:rFonts w:cs="Arial"/>
                <w:b/>
                <w:sz w:val="22"/>
              </w:rPr>
              <w:t>Primici od kratkoročnog zaduživanja</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bCs/>
                <w:sz w:val="22"/>
              </w:rPr>
            </w:pPr>
            <w:r w:rsidRPr="00C5016E">
              <w:rPr>
                <w:rFonts w:cs="Arial"/>
                <w:b/>
                <w:bCs/>
                <w:sz w:val="22"/>
              </w:rPr>
              <w:t>250.000</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50.000</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99.997</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20</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50</w:t>
            </w:r>
          </w:p>
        </w:tc>
      </w:tr>
      <w:tr w:rsidR="00C5016E" w:rsidRPr="00C5016E" w:rsidTr="00C025DC">
        <w:trPr>
          <w:trHeight w:val="359"/>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bCs/>
                <w:sz w:val="22"/>
              </w:rPr>
            </w:pPr>
            <w:r w:rsidRPr="00C5016E">
              <w:rPr>
                <w:rFonts w:cs="Arial"/>
                <w:bCs/>
                <w:sz w:val="22"/>
              </w:rPr>
              <w:t>1. Primici od trezorskih</w:t>
            </w:r>
            <w:r w:rsidRPr="00C5016E">
              <w:rPr>
                <w:rFonts w:cs="Arial"/>
                <w:bCs/>
                <w:sz w:val="22"/>
              </w:rPr>
              <w:br/>
              <w:t>zapisa</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Cs/>
                <w:sz w:val="22"/>
              </w:rPr>
            </w:pPr>
            <w:r w:rsidRPr="00C5016E">
              <w:rPr>
                <w:rFonts w:cs="Arial"/>
                <w:bCs/>
                <w:sz w:val="22"/>
              </w:rPr>
              <w:t>250.000</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50.000</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99.997</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20</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50</w:t>
            </w:r>
          </w:p>
        </w:tc>
      </w:tr>
      <w:tr w:rsidR="00C5016E" w:rsidRPr="00C5016E" w:rsidTr="00C025DC">
        <w:trPr>
          <w:trHeight w:val="359"/>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b/>
                <w:bCs/>
                <w:sz w:val="22"/>
              </w:rPr>
            </w:pPr>
            <w:r w:rsidRPr="00C5016E">
              <w:rPr>
                <w:rFonts w:cs="Arial"/>
                <w:b/>
                <w:bCs/>
                <w:sz w:val="22"/>
              </w:rPr>
              <w:t>Razgraničeni prihodi za namjenska sredstva</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bCs/>
                <w:sz w:val="22"/>
              </w:rPr>
            </w:pPr>
            <w:r w:rsidRPr="00C5016E">
              <w:rPr>
                <w:rFonts w:cs="Arial"/>
                <w:b/>
                <w:bCs/>
                <w:sz w:val="22"/>
              </w:rPr>
              <w:t>120.000</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0</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0</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p>
        </w:tc>
      </w:tr>
      <w:tr w:rsidR="00C5016E" w:rsidRPr="00C5016E" w:rsidTr="00C025DC">
        <w:trPr>
          <w:trHeight w:val="359"/>
          <w:jc w:val="center"/>
        </w:trPr>
        <w:tc>
          <w:tcPr>
            <w:tcW w:w="2993" w:type="dxa"/>
            <w:tcBorders>
              <w:top w:val="single" w:sz="4" w:space="0" w:color="auto"/>
              <w:left w:val="single" w:sz="4" w:space="0" w:color="auto"/>
              <w:bottom w:val="single" w:sz="4" w:space="0" w:color="auto"/>
              <w:right w:val="single" w:sz="4" w:space="0" w:color="auto"/>
            </w:tcBorders>
            <w:vAlign w:val="center"/>
          </w:tcPr>
          <w:p w:rsidR="00C025DC" w:rsidRPr="00C5016E" w:rsidRDefault="00C025DC" w:rsidP="00C025DC">
            <w:pPr>
              <w:spacing w:before="0" w:after="0"/>
              <w:jc w:val="left"/>
              <w:rPr>
                <w:rFonts w:cs="Arial"/>
                <w:b/>
                <w:bCs/>
                <w:sz w:val="22"/>
              </w:rPr>
            </w:pPr>
            <w:r w:rsidRPr="00C5016E">
              <w:rPr>
                <w:rFonts w:cs="Arial"/>
                <w:b/>
                <w:bCs/>
                <w:sz w:val="22"/>
              </w:rPr>
              <w:t>Neraspoređeni višak prihoda i rashoda</w:t>
            </w:r>
          </w:p>
        </w:tc>
        <w:tc>
          <w:tcPr>
            <w:tcW w:w="137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bCs/>
                <w:sz w:val="22"/>
              </w:rPr>
            </w:pPr>
            <w:r w:rsidRPr="00C5016E">
              <w:rPr>
                <w:rFonts w:cs="Arial"/>
                <w:b/>
                <w:bCs/>
                <w:sz w:val="22"/>
              </w:rPr>
              <w:t>86.109</w:t>
            </w:r>
          </w:p>
        </w:tc>
        <w:tc>
          <w:tcPr>
            <w:tcW w:w="1445"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0</w:t>
            </w:r>
          </w:p>
        </w:tc>
        <w:tc>
          <w:tcPr>
            <w:tcW w:w="1409"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r w:rsidRPr="00C5016E">
              <w:rPr>
                <w:rFonts w:cs="Arial"/>
                <w:b/>
                <w:sz w:val="22"/>
              </w:rPr>
              <w:t>0</w:t>
            </w: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p>
        </w:tc>
        <w:tc>
          <w:tcPr>
            <w:tcW w:w="823"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b/>
                <w:sz w:val="22"/>
              </w:rPr>
            </w:pPr>
          </w:p>
        </w:tc>
      </w:tr>
      <w:tr w:rsidR="00C5016E" w:rsidRPr="00C5016E" w:rsidTr="00C025DC">
        <w:trPr>
          <w:trHeight w:val="359"/>
          <w:jc w:val="center"/>
        </w:trPr>
        <w:tc>
          <w:tcPr>
            <w:tcW w:w="2993"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left"/>
              <w:rPr>
                <w:rFonts w:cs="Arial"/>
                <w:sz w:val="22"/>
              </w:rPr>
            </w:pPr>
            <w:r w:rsidRPr="00C5016E">
              <w:rPr>
                <w:rFonts w:cs="Arial"/>
                <w:b/>
                <w:bCs/>
                <w:sz w:val="22"/>
              </w:rPr>
              <w:t>Financiranje</w:t>
            </w:r>
          </w:p>
        </w:tc>
        <w:tc>
          <w:tcPr>
            <w:tcW w:w="1373"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jc w:val="right"/>
              <w:rPr>
                <w:rFonts w:cs="Arial"/>
                <w:b/>
                <w:bCs/>
                <w:sz w:val="22"/>
              </w:rPr>
            </w:pPr>
            <w:r w:rsidRPr="00C5016E">
              <w:rPr>
                <w:rFonts w:cs="Arial"/>
                <w:b/>
                <w:bCs/>
                <w:sz w:val="22"/>
              </w:rPr>
              <w:t>920.010</w:t>
            </w:r>
          </w:p>
        </w:tc>
        <w:tc>
          <w:tcPr>
            <w:tcW w:w="1445"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tabs>
                <w:tab w:val="center" w:pos="671"/>
                <w:tab w:val="right" w:pos="1343"/>
              </w:tabs>
              <w:spacing w:before="0" w:after="0"/>
              <w:jc w:val="right"/>
              <w:rPr>
                <w:rFonts w:cs="Arial"/>
                <w:b/>
                <w:sz w:val="22"/>
              </w:rPr>
            </w:pPr>
            <w:r w:rsidRPr="00C5016E">
              <w:rPr>
                <w:rFonts w:cs="Arial"/>
                <w:b/>
                <w:sz w:val="22"/>
              </w:rPr>
              <w:t>508.006</w:t>
            </w:r>
          </w:p>
        </w:tc>
        <w:tc>
          <w:tcPr>
            <w:tcW w:w="1409"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tabs>
                <w:tab w:val="center" w:pos="671"/>
                <w:tab w:val="right" w:pos="1343"/>
              </w:tabs>
              <w:spacing w:before="0" w:after="0"/>
              <w:jc w:val="right"/>
              <w:rPr>
                <w:rFonts w:cs="Arial"/>
                <w:b/>
                <w:sz w:val="22"/>
              </w:rPr>
            </w:pPr>
            <w:r w:rsidRPr="00C5016E">
              <w:rPr>
                <w:rFonts w:cs="Arial"/>
                <w:b/>
                <w:sz w:val="22"/>
              </w:rPr>
              <w:t>466.303</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jc w:val="right"/>
              <w:rPr>
                <w:rFonts w:cs="Arial"/>
                <w:b/>
                <w:sz w:val="22"/>
              </w:rPr>
            </w:pPr>
            <w:r w:rsidRPr="00C5016E">
              <w:rPr>
                <w:rFonts w:cs="Arial"/>
                <w:b/>
                <w:sz w:val="22"/>
              </w:rPr>
              <w:t>55</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jc w:val="right"/>
              <w:rPr>
                <w:rFonts w:cs="Arial"/>
                <w:b/>
                <w:sz w:val="22"/>
              </w:rPr>
            </w:pPr>
            <w:r w:rsidRPr="00C5016E">
              <w:rPr>
                <w:rFonts w:cs="Arial"/>
                <w:b/>
                <w:sz w:val="22"/>
              </w:rPr>
              <w:t>109</w:t>
            </w:r>
          </w:p>
        </w:tc>
      </w:tr>
      <w:tr w:rsidR="00C5016E" w:rsidRPr="00C5016E" w:rsidTr="00C025DC">
        <w:trPr>
          <w:trHeight w:val="359"/>
          <w:jc w:val="center"/>
        </w:trPr>
        <w:tc>
          <w:tcPr>
            <w:tcW w:w="2993"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contextualSpacing/>
              <w:jc w:val="left"/>
              <w:rPr>
                <w:rFonts w:cs="Arial"/>
                <w:b/>
                <w:bCs/>
                <w:sz w:val="22"/>
              </w:rPr>
            </w:pPr>
            <w:r w:rsidRPr="00C5016E">
              <w:rPr>
                <w:rFonts w:cs="Arial"/>
                <w:b/>
                <w:bCs/>
                <w:sz w:val="22"/>
              </w:rPr>
              <w:t>Ukupno</w:t>
            </w:r>
          </w:p>
        </w:tc>
        <w:tc>
          <w:tcPr>
            <w:tcW w:w="1373"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contextualSpacing/>
              <w:jc w:val="right"/>
              <w:rPr>
                <w:rFonts w:cs="Arial"/>
                <w:b/>
                <w:bCs/>
                <w:sz w:val="22"/>
              </w:rPr>
            </w:pPr>
            <w:r w:rsidRPr="00C5016E">
              <w:rPr>
                <w:rFonts w:cs="Arial"/>
                <w:b/>
                <w:bCs/>
                <w:sz w:val="22"/>
              </w:rPr>
              <w:t>5.597.619</w:t>
            </w:r>
          </w:p>
        </w:tc>
        <w:tc>
          <w:tcPr>
            <w:tcW w:w="1445"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contextualSpacing/>
              <w:jc w:val="right"/>
              <w:rPr>
                <w:rFonts w:cs="Arial"/>
                <w:b/>
                <w:bCs/>
                <w:sz w:val="22"/>
              </w:rPr>
            </w:pPr>
            <w:r w:rsidRPr="00C5016E">
              <w:rPr>
                <w:rFonts w:cs="Arial"/>
                <w:b/>
                <w:bCs/>
                <w:sz w:val="22"/>
              </w:rPr>
              <w:t>5.304.270</w:t>
            </w:r>
          </w:p>
        </w:tc>
        <w:tc>
          <w:tcPr>
            <w:tcW w:w="1409"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tabs>
                <w:tab w:val="center" w:pos="596"/>
                <w:tab w:val="right" w:pos="1193"/>
              </w:tabs>
              <w:spacing w:before="0" w:after="0"/>
              <w:contextualSpacing/>
              <w:jc w:val="right"/>
              <w:rPr>
                <w:rFonts w:cs="Arial"/>
                <w:b/>
                <w:bCs/>
                <w:sz w:val="22"/>
              </w:rPr>
            </w:pPr>
            <w:r w:rsidRPr="00C5016E">
              <w:rPr>
                <w:rFonts w:cs="Arial"/>
                <w:b/>
                <w:bCs/>
                <w:sz w:val="22"/>
              </w:rPr>
              <w:t>4.798.914</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contextualSpacing/>
              <w:jc w:val="right"/>
              <w:rPr>
                <w:rFonts w:cs="Arial"/>
                <w:b/>
                <w:bCs/>
                <w:sz w:val="22"/>
              </w:rPr>
            </w:pPr>
            <w:r w:rsidRPr="00C5016E">
              <w:rPr>
                <w:rFonts w:cs="Arial"/>
                <w:b/>
                <w:bCs/>
                <w:sz w:val="22"/>
              </w:rPr>
              <w:t>95</w:t>
            </w:r>
          </w:p>
        </w:tc>
        <w:tc>
          <w:tcPr>
            <w:tcW w:w="823"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contextualSpacing/>
              <w:jc w:val="right"/>
              <w:rPr>
                <w:rFonts w:cs="Arial"/>
                <w:b/>
                <w:bCs/>
                <w:sz w:val="22"/>
                <w:highlight w:val="yellow"/>
              </w:rPr>
            </w:pPr>
            <w:r w:rsidRPr="00C5016E">
              <w:rPr>
                <w:rFonts w:cs="Arial"/>
                <w:b/>
                <w:bCs/>
                <w:sz w:val="22"/>
              </w:rPr>
              <w:t>111</w:t>
            </w:r>
          </w:p>
        </w:tc>
      </w:tr>
    </w:tbl>
    <w:p w:rsidR="00C025DC" w:rsidRPr="00C5016E" w:rsidRDefault="00EF4C3C" w:rsidP="00C025DC">
      <w:pPr>
        <w:pStyle w:val="Caption"/>
        <w:spacing w:before="0" w:after="0"/>
        <w:contextualSpacing/>
        <w:rPr>
          <w:rFonts w:ascii="Arial" w:hAnsi="Arial" w:cs="Arial"/>
          <w:b w:val="0"/>
          <w:color w:val="auto"/>
          <w:sz w:val="22"/>
          <w:szCs w:val="24"/>
          <w:lang w:val="hr-HR"/>
        </w:rPr>
      </w:pPr>
      <w:r w:rsidRPr="00C5016E">
        <w:rPr>
          <w:rFonts w:ascii="Arial" w:hAnsi="Arial" w:cs="Arial"/>
          <w:color w:val="auto"/>
          <w:sz w:val="22"/>
          <w:szCs w:val="24"/>
          <w:lang w:val="hr-HR"/>
        </w:rPr>
        <w:t>Tablica</w:t>
      </w:r>
      <w:r w:rsidR="00C025DC" w:rsidRPr="00C5016E">
        <w:rPr>
          <w:rFonts w:ascii="Arial" w:hAnsi="Arial" w:cs="Arial"/>
          <w:color w:val="auto"/>
          <w:sz w:val="22"/>
          <w:szCs w:val="24"/>
          <w:lang w:val="hr-HR"/>
        </w:rPr>
        <w:t xml:space="preserve"> </w:t>
      </w:r>
      <w:r w:rsidR="00C025DC" w:rsidRPr="00C5016E">
        <w:rPr>
          <w:rFonts w:ascii="Arial" w:hAnsi="Arial" w:cs="Arial"/>
          <w:color w:val="auto"/>
          <w:sz w:val="22"/>
          <w:szCs w:val="24"/>
          <w:lang w:val="hr-HR"/>
        </w:rPr>
        <w:fldChar w:fldCharType="begin"/>
      </w:r>
      <w:r w:rsidR="00C025DC" w:rsidRPr="00C5016E">
        <w:rPr>
          <w:rFonts w:ascii="Arial" w:hAnsi="Arial" w:cs="Arial"/>
          <w:color w:val="auto"/>
          <w:sz w:val="22"/>
          <w:szCs w:val="24"/>
          <w:lang w:val="hr-HR"/>
        </w:rPr>
        <w:instrText xml:space="preserve"> SEQ Tabela \* ARABIC </w:instrText>
      </w:r>
      <w:r w:rsidR="00C025DC" w:rsidRPr="00C5016E">
        <w:rPr>
          <w:rFonts w:ascii="Arial" w:hAnsi="Arial" w:cs="Arial"/>
          <w:color w:val="auto"/>
          <w:sz w:val="22"/>
          <w:szCs w:val="24"/>
          <w:lang w:val="hr-HR"/>
        </w:rPr>
        <w:fldChar w:fldCharType="separate"/>
      </w:r>
      <w:r w:rsidR="0070505C" w:rsidRPr="00C5016E">
        <w:rPr>
          <w:rFonts w:ascii="Arial" w:hAnsi="Arial" w:cs="Arial"/>
          <w:noProof/>
          <w:color w:val="auto"/>
          <w:sz w:val="22"/>
          <w:szCs w:val="24"/>
          <w:lang w:val="hr-HR"/>
        </w:rPr>
        <w:t>1</w:t>
      </w:r>
      <w:r w:rsidR="00C025DC" w:rsidRPr="00C5016E">
        <w:rPr>
          <w:rFonts w:ascii="Arial" w:hAnsi="Arial" w:cs="Arial"/>
          <w:color w:val="auto"/>
          <w:sz w:val="22"/>
          <w:szCs w:val="24"/>
          <w:lang w:val="hr-HR"/>
        </w:rPr>
        <w:fldChar w:fldCharType="end"/>
      </w:r>
      <w:r w:rsidR="00C025DC" w:rsidRPr="00C5016E">
        <w:rPr>
          <w:rFonts w:ascii="Arial" w:hAnsi="Arial" w:cs="Arial"/>
          <w:color w:val="auto"/>
          <w:sz w:val="22"/>
          <w:szCs w:val="24"/>
          <w:lang w:val="hr-HR"/>
        </w:rPr>
        <w:t xml:space="preserve">: </w:t>
      </w:r>
      <w:r w:rsidR="00C025DC" w:rsidRPr="00C5016E">
        <w:rPr>
          <w:rFonts w:ascii="Arial" w:hAnsi="Arial" w:cs="Arial"/>
          <w:b w:val="0"/>
          <w:color w:val="auto"/>
          <w:sz w:val="22"/>
          <w:szCs w:val="24"/>
          <w:lang w:val="hr-HR"/>
        </w:rPr>
        <w:t>Struktura ukupnih prihoda, primitaka i financiranja planirani Proračunom FBiH za 2022. i ostvareni u 2021. i 2022.</w:t>
      </w:r>
      <w:bookmarkEnd w:id="27"/>
    </w:p>
    <w:p w:rsidR="00C025DC" w:rsidRPr="00C5016E" w:rsidRDefault="00C025DC" w:rsidP="00C025DC"/>
    <w:p w:rsidR="00C025DC" w:rsidRPr="00C5016E" w:rsidRDefault="00AB734B" w:rsidP="00C025DC">
      <w:pPr>
        <w:spacing w:before="0" w:after="0"/>
      </w:pPr>
      <w:r w:rsidRPr="00C5016E">
        <w:lastRenderedPageBreak/>
        <w:t>Sukladno</w:t>
      </w:r>
      <w:r w:rsidR="00C025DC" w:rsidRPr="00C5016E">
        <w:t xml:space="preserve"> Uput</w:t>
      </w:r>
      <w:r w:rsidRPr="00C5016E">
        <w:t>i</w:t>
      </w:r>
      <w:r w:rsidR="00C025DC" w:rsidRPr="00C5016E">
        <w:t xml:space="preserve"> o otvaranju posebnih namjenskih transakcijskih računa, načinu planiranja, prikupljanja, evidentiranja i raspolaganja sredstvima s posebnih namjenskih transakcijskih računa otvorenih kao podračuna u okviru Jedinstvenog računa </w:t>
      </w:r>
      <w:r w:rsidRPr="00C5016E">
        <w:t>Riznice</w:t>
      </w:r>
      <w:r w:rsidR="00C025DC" w:rsidRPr="00C5016E">
        <w:t xml:space="preserve"> („Službene novine Federacije BiH“</w:t>
      </w:r>
      <w:r w:rsidR="00D46196" w:rsidRPr="00C5016E">
        <w:t>, br. 44/17 i 22/20) sredstva s</w:t>
      </w:r>
      <w:r w:rsidR="00C025DC" w:rsidRPr="00C5016E">
        <w:t xml:space="preserve"> namjenskih podračuna, za iznos neutrošenih sredstava, preknjižena su na konta razgraničenja u iznosu od 153,4 </w:t>
      </w:r>
      <w:r w:rsidR="004611A5" w:rsidRPr="00C5016E">
        <w:t>milijun</w:t>
      </w:r>
      <w:r w:rsidR="00C025DC" w:rsidRPr="00C5016E">
        <w:t>a KM. Preknjižena sredstva će u sljedećoj fiskalnoj godini biti osnova za realizaciju odobrenih namjenskih rashoda.</w:t>
      </w:r>
    </w:p>
    <w:p w:rsidR="00C025DC" w:rsidRPr="00C5016E" w:rsidRDefault="00C025DC" w:rsidP="00C025DC">
      <w:pPr>
        <w:spacing w:before="0" w:after="0"/>
      </w:pPr>
    </w:p>
    <w:p w:rsidR="00C025DC" w:rsidRPr="00C5016E" w:rsidRDefault="00D46196" w:rsidP="00C025DC">
      <w:pPr>
        <w:spacing w:before="0" w:after="0"/>
        <w:rPr>
          <w:rFonts w:cs="Arial"/>
          <w:szCs w:val="24"/>
        </w:rPr>
      </w:pPr>
      <w:r w:rsidRPr="00C5016E">
        <w:rPr>
          <w:rFonts w:cs="Arial"/>
        </w:rPr>
        <w:t>S</w:t>
      </w:r>
      <w:r w:rsidR="00C025DC" w:rsidRPr="00C5016E">
        <w:rPr>
          <w:rFonts w:cs="Arial"/>
        </w:rPr>
        <w:t xml:space="preserve"> podračuna “Upravljanje razvojnim sredstvima za implementaciju sredstava </w:t>
      </w:r>
      <w:r w:rsidR="00AB734B" w:rsidRPr="00C5016E">
        <w:rPr>
          <w:rFonts w:cs="Arial"/>
        </w:rPr>
        <w:t>namijenjenih</w:t>
      </w:r>
      <w:r w:rsidR="00C025DC" w:rsidRPr="00C5016E">
        <w:rPr>
          <w:rFonts w:cs="Arial"/>
        </w:rPr>
        <w:t xml:space="preserve"> za financiranje kapitalnih infrastrukturnih projekata“ </w:t>
      </w:r>
      <w:r w:rsidR="00C025DC" w:rsidRPr="00C5016E">
        <w:t>oročen je iznos od 100.000.000,00 KM.</w:t>
      </w:r>
    </w:p>
    <w:p w:rsidR="00C025DC" w:rsidRPr="00C5016E" w:rsidRDefault="00C025DC" w:rsidP="00C025DC">
      <w:r w:rsidRPr="00C5016E">
        <w:t>Don</w:t>
      </w:r>
      <w:r w:rsidR="00D46196" w:rsidRPr="00C5016E">
        <w:t>atorska sredstva su, u skladu s</w:t>
      </w:r>
      <w:r w:rsidRPr="00C5016E">
        <w:t xml:space="preserve"> naveden</w:t>
      </w:r>
      <w:r w:rsidR="00D46196" w:rsidRPr="00C5016E">
        <w:t>om uput</w:t>
      </w:r>
      <w:r w:rsidRPr="00C5016E">
        <w:t xml:space="preserve">om, za iznos neutrošenih sredstava preknjižena na konta razgraničenja u iznosu od cca 2,3 </w:t>
      </w:r>
      <w:r w:rsidR="004611A5" w:rsidRPr="00C5016E">
        <w:t>milijun</w:t>
      </w:r>
      <w:r w:rsidRPr="00C5016E">
        <w:t>a KM.</w:t>
      </w:r>
    </w:p>
    <w:p w:rsidR="00C025DC" w:rsidRPr="00C5016E" w:rsidRDefault="00C025DC" w:rsidP="00C025DC">
      <w:pPr>
        <w:rPr>
          <w:szCs w:val="24"/>
        </w:rPr>
      </w:pPr>
      <w:r w:rsidRPr="00C5016E">
        <w:rPr>
          <w:szCs w:val="24"/>
        </w:rPr>
        <w:t>U</w:t>
      </w:r>
      <w:r w:rsidR="00D46196" w:rsidRPr="00C5016E">
        <w:rPr>
          <w:szCs w:val="24"/>
        </w:rPr>
        <w:t>djel</w:t>
      </w:r>
      <w:r w:rsidRPr="00C5016E">
        <w:rPr>
          <w:szCs w:val="24"/>
        </w:rPr>
        <w:t xml:space="preserve"> ostvarenih prihoda, primitaka i financiranja analitički po vrstama, </w:t>
      </w:r>
      <w:r w:rsidR="00D46196" w:rsidRPr="00C5016E">
        <w:rPr>
          <w:szCs w:val="24"/>
        </w:rPr>
        <w:t>u ukupno ostvarenim prihodima s</w:t>
      </w:r>
      <w:r w:rsidRPr="00C5016E">
        <w:rPr>
          <w:szCs w:val="24"/>
        </w:rPr>
        <w:t xml:space="preserve"> grafičkim prikazom je prikazano u nastavku.</w:t>
      </w:r>
      <w:bookmarkStart w:id="28" w:name="_Toc99939226"/>
    </w:p>
    <w:p w:rsidR="00C025DC" w:rsidRPr="00C5016E" w:rsidRDefault="00C025DC" w:rsidP="00C025DC">
      <w:pPr>
        <w:spacing w:before="0" w:after="0"/>
        <w:ind w:firstLine="720"/>
        <w:jc w:val="right"/>
        <w:rPr>
          <w:rFonts w:cs="Arial"/>
          <w:sz w:val="22"/>
        </w:rPr>
      </w:pPr>
      <w:r w:rsidRPr="00C5016E">
        <w:rPr>
          <w:rFonts w:cs="Arial"/>
          <w:sz w:val="22"/>
        </w:rPr>
        <w:tab/>
      </w:r>
      <w:r w:rsidRPr="00C5016E">
        <w:rPr>
          <w:rFonts w:cs="Arial"/>
          <w:sz w:val="22"/>
        </w:rPr>
        <w:tab/>
      </w:r>
      <w:r w:rsidRPr="00C5016E">
        <w:rPr>
          <w:rFonts w:cs="Arial"/>
          <w:b/>
          <w:bCs/>
          <w:sz w:val="22"/>
        </w:rPr>
        <w:t>(000) KM</w:t>
      </w:r>
    </w:p>
    <w:tbl>
      <w:tblPr>
        <w:tblW w:w="8947" w:type="dxa"/>
        <w:tblInd w:w="98" w:type="dxa"/>
        <w:tblLook w:val="04A0" w:firstRow="1" w:lastRow="0" w:firstColumn="1" w:lastColumn="0" w:noHBand="0" w:noVBand="1"/>
      </w:tblPr>
      <w:tblGrid>
        <w:gridCol w:w="873"/>
        <w:gridCol w:w="4744"/>
        <w:gridCol w:w="1868"/>
        <w:gridCol w:w="1462"/>
      </w:tblGrid>
      <w:tr w:rsidR="00C5016E" w:rsidRPr="00C5016E" w:rsidTr="00C025DC">
        <w:trPr>
          <w:trHeight w:val="607"/>
        </w:trPr>
        <w:tc>
          <w:tcPr>
            <w:tcW w:w="87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025DC" w:rsidRPr="00C5016E" w:rsidRDefault="00C025DC" w:rsidP="00C025DC">
            <w:pPr>
              <w:spacing w:before="0" w:after="0"/>
              <w:jc w:val="center"/>
              <w:rPr>
                <w:rFonts w:cs="Arial"/>
                <w:b/>
                <w:bCs/>
                <w:sz w:val="22"/>
              </w:rPr>
            </w:pPr>
            <w:bookmarkStart w:id="29" w:name="RANGE!D4"/>
            <w:bookmarkStart w:id="30" w:name="OLE_LINK2"/>
            <w:bookmarkStart w:id="31" w:name="OLE_LINK1" w:colFirst="1" w:colLast="3"/>
            <w:r w:rsidRPr="00C5016E">
              <w:rPr>
                <w:rFonts w:cs="Arial"/>
                <w:b/>
                <w:bCs/>
                <w:sz w:val="22"/>
              </w:rPr>
              <w:t>Redni broj</w:t>
            </w:r>
            <w:bookmarkEnd w:id="29"/>
          </w:p>
        </w:tc>
        <w:tc>
          <w:tcPr>
            <w:tcW w:w="4744" w:type="dxa"/>
            <w:tcBorders>
              <w:top w:val="single" w:sz="8" w:space="0" w:color="auto"/>
              <w:left w:val="nil"/>
              <w:bottom w:val="single" w:sz="8" w:space="0" w:color="auto"/>
              <w:right w:val="single" w:sz="8" w:space="0" w:color="auto"/>
            </w:tcBorders>
            <w:shd w:val="clear" w:color="000000" w:fill="BFBFBF"/>
            <w:noWrap/>
            <w:vAlign w:val="center"/>
            <w:hideMark/>
          </w:tcPr>
          <w:p w:rsidR="00C025DC" w:rsidRPr="00C5016E" w:rsidRDefault="00C025DC" w:rsidP="00C025DC">
            <w:pPr>
              <w:spacing w:before="0" w:after="0"/>
              <w:jc w:val="center"/>
              <w:rPr>
                <w:rFonts w:cs="Arial"/>
                <w:b/>
                <w:bCs/>
                <w:sz w:val="22"/>
              </w:rPr>
            </w:pPr>
            <w:r w:rsidRPr="00C5016E">
              <w:rPr>
                <w:rFonts w:cs="Arial"/>
                <w:b/>
                <w:bCs/>
                <w:sz w:val="22"/>
              </w:rPr>
              <w:t>Opis</w:t>
            </w:r>
          </w:p>
        </w:tc>
        <w:tc>
          <w:tcPr>
            <w:tcW w:w="1868" w:type="dxa"/>
            <w:tcBorders>
              <w:top w:val="single" w:sz="8" w:space="0" w:color="auto"/>
              <w:left w:val="nil"/>
              <w:bottom w:val="single" w:sz="8" w:space="0" w:color="auto"/>
              <w:right w:val="single" w:sz="8" w:space="0" w:color="auto"/>
            </w:tcBorders>
            <w:shd w:val="clear" w:color="000000" w:fill="BFBFBF"/>
            <w:vAlign w:val="center"/>
            <w:hideMark/>
          </w:tcPr>
          <w:p w:rsidR="00C025DC" w:rsidRPr="00C5016E" w:rsidRDefault="00C025DC" w:rsidP="00C025DC">
            <w:pPr>
              <w:spacing w:before="0" w:after="0"/>
              <w:jc w:val="center"/>
              <w:rPr>
                <w:rFonts w:cs="Arial"/>
                <w:b/>
                <w:bCs/>
                <w:sz w:val="22"/>
              </w:rPr>
            </w:pPr>
            <w:r w:rsidRPr="00C5016E">
              <w:rPr>
                <w:rFonts w:cs="Arial"/>
                <w:b/>
                <w:bCs/>
                <w:sz w:val="22"/>
              </w:rPr>
              <w:t xml:space="preserve">Ostvarenje u 2022. godini </w:t>
            </w:r>
          </w:p>
        </w:tc>
        <w:tc>
          <w:tcPr>
            <w:tcW w:w="1462" w:type="dxa"/>
            <w:tcBorders>
              <w:top w:val="single" w:sz="8" w:space="0" w:color="auto"/>
              <w:left w:val="nil"/>
              <w:bottom w:val="single" w:sz="8" w:space="0" w:color="auto"/>
              <w:right w:val="single" w:sz="8" w:space="0" w:color="auto"/>
            </w:tcBorders>
            <w:shd w:val="clear" w:color="000000" w:fill="BFBFBF"/>
            <w:noWrap/>
            <w:vAlign w:val="center"/>
            <w:hideMark/>
          </w:tcPr>
          <w:p w:rsidR="00C025DC" w:rsidRPr="00C5016E" w:rsidRDefault="00C025DC" w:rsidP="00D46196">
            <w:pPr>
              <w:spacing w:before="0" w:after="0"/>
              <w:jc w:val="center"/>
              <w:rPr>
                <w:rFonts w:cs="Arial"/>
                <w:b/>
                <w:bCs/>
                <w:sz w:val="22"/>
              </w:rPr>
            </w:pPr>
            <w:r w:rsidRPr="00C5016E">
              <w:rPr>
                <w:rFonts w:cs="Arial"/>
                <w:b/>
                <w:bCs/>
                <w:sz w:val="22"/>
              </w:rPr>
              <w:t>% u</w:t>
            </w:r>
            <w:r w:rsidR="00D46196" w:rsidRPr="00C5016E">
              <w:rPr>
                <w:rFonts w:cs="Arial"/>
                <w:b/>
                <w:bCs/>
                <w:sz w:val="22"/>
              </w:rPr>
              <w:t>djel</w:t>
            </w:r>
          </w:p>
        </w:tc>
      </w:tr>
      <w:tr w:rsidR="00C5016E" w:rsidRPr="00C5016E" w:rsidTr="00C025DC">
        <w:trPr>
          <w:trHeight w:val="367"/>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1.</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Prihodi od poreza na dobit</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r w:rsidRPr="00C5016E">
              <w:rPr>
                <w:rFonts w:cs="Arial"/>
                <w:sz w:val="22"/>
              </w:rPr>
              <w:t>89.041</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1,68</w:t>
            </w:r>
          </w:p>
        </w:tc>
      </w:tr>
      <w:tr w:rsidR="00C5016E" w:rsidRPr="00C5016E" w:rsidTr="00C025DC">
        <w:trPr>
          <w:trHeight w:val="58"/>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2.</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Doprinosi za mirovinsko i invalidsko osiguranje</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r w:rsidRPr="00C5016E">
              <w:rPr>
                <w:rFonts w:cs="Arial"/>
                <w:sz w:val="22"/>
              </w:rPr>
              <w:t>2.458.754</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46,35</w:t>
            </w:r>
          </w:p>
        </w:tc>
      </w:tr>
      <w:tr w:rsidR="00C5016E" w:rsidRPr="00C5016E" w:rsidTr="00C025DC">
        <w:trPr>
          <w:trHeight w:val="140"/>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3.</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Prihodi od neizravnih poreza</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r w:rsidRPr="00C5016E">
              <w:rPr>
                <w:rFonts w:cs="Arial"/>
                <w:sz w:val="22"/>
              </w:rPr>
              <w:t>1.820.393</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34,32</w:t>
            </w:r>
          </w:p>
        </w:tc>
      </w:tr>
      <w:tr w:rsidR="00C5016E" w:rsidRPr="00C5016E" w:rsidTr="00C025DC">
        <w:trPr>
          <w:trHeight w:val="349"/>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4.</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Ostali porezi</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r w:rsidRPr="00C5016E">
              <w:rPr>
                <w:rFonts w:cs="Arial"/>
                <w:sz w:val="22"/>
              </w:rPr>
              <w:t>42</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0,00</w:t>
            </w:r>
          </w:p>
        </w:tc>
      </w:tr>
      <w:tr w:rsidR="00C5016E" w:rsidRPr="00C5016E" w:rsidTr="00C025DC">
        <w:trPr>
          <w:trHeight w:val="349"/>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5.</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Neporezni prihodi (osim dividendi i prihoda od povrata anuiteta)</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r w:rsidRPr="00C5016E">
              <w:rPr>
                <w:rFonts w:cs="Arial"/>
                <w:sz w:val="22"/>
              </w:rPr>
              <w:t>172.022</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3,24</w:t>
            </w:r>
          </w:p>
        </w:tc>
      </w:tr>
      <w:tr w:rsidR="00C5016E" w:rsidRPr="00C5016E" w:rsidTr="00C025DC">
        <w:trPr>
          <w:trHeight w:val="392"/>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6.</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 xml:space="preserve">Prihodi od dividendi </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r w:rsidRPr="00C5016E">
              <w:rPr>
                <w:rFonts w:cs="Arial"/>
                <w:sz w:val="22"/>
              </w:rPr>
              <w:t>34.093</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0,64</w:t>
            </w:r>
          </w:p>
        </w:tc>
      </w:tr>
      <w:tr w:rsidR="00C5016E" w:rsidRPr="00C5016E" w:rsidTr="00C025DC">
        <w:trPr>
          <w:trHeight w:val="349"/>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7.</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Prihodi od povrata anuiteta</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r w:rsidRPr="00C5016E">
              <w:rPr>
                <w:rFonts w:cs="Arial"/>
                <w:sz w:val="22"/>
              </w:rPr>
              <w:t>194.411</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3,67</w:t>
            </w:r>
          </w:p>
        </w:tc>
      </w:tr>
      <w:tr w:rsidR="00C5016E" w:rsidRPr="00C5016E" w:rsidTr="00C025DC">
        <w:trPr>
          <w:trHeight w:val="349"/>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8.</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Tekući transferi i donacije</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r w:rsidRPr="00C5016E">
              <w:rPr>
                <w:rFonts w:cs="Arial"/>
                <w:sz w:val="22"/>
              </w:rPr>
              <w:t>27.508</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0,52</w:t>
            </w:r>
          </w:p>
        </w:tc>
      </w:tr>
      <w:tr w:rsidR="00C5016E" w:rsidRPr="00C5016E" w:rsidTr="00C025DC">
        <w:trPr>
          <w:trHeight w:val="349"/>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9.</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Zaduženje od IBRD-a</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r w:rsidRPr="00C5016E">
              <w:rPr>
                <w:rFonts w:cs="Arial"/>
                <w:sz w:val="22"/>
              </w:rPr>
              <w:t>7.621</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0,15</w:t>
            </w:r>
          </w:p>
        </w:tc>
      </w:tr>
      <w:tr w:rsidR="00C5016E" w:rsidRPr="00C5016E" w:rsidTr="00C025DC">
        <w:trPr>
          <w:trHeight w:val="349"/>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10.</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Kreditna tranša EU MFA</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r w:rsidRPr="00C5016E">
              <w:rPr>
                <w:rFonts w:cs="Arial"/>
                <w:sz w:val="22"/>
              </w:rPr>
              <w:t>149.514</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2,82</w:t>
            </w:r>
          </w:p>
        </w:tc>
      </w:tr>
      <w:tr w:rsidR="00C5016E" w:rsidRPr="00C5016E" w:rsidTr="00C025DC">
        <w:trPr>
          <w:trHeight w:val="349"/>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11</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Primici od trezorskih zapisa</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r w:rsidRPr="00C5016E">
              <w:rPr>
                <w:rFonts w:cs="Arial"/>
                <w:sz w:val="22"/>
              </w:rPr>
              <w:t>50.000</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2,45</w:t>
            </w:r>
          </w:p>
        </w:tc>
      </w:tr>
      <w:tr w:rsidR="00C5016E" w:rsidRPr="00C5016E" w:rsidTr="00C025DC">
        <w:trPr>
          <w:trHeight w:val="349"/>
        </w:trPr>
        <w:tc>
          <w:tcPr>
            <w:tcW w:w="873" w:type="dxa"/>
            <w:tcBorders>
              <w:top w:val="nil"/>
              <w:left w:val="single" w:sz="8" w:space="0" w:color="auto"/>
              <w:bottom w:val="single" w:sz="8" w:space="0" w:color="auto"/>
              <w:right w:val="single" w:sz="8" w:space="0" w:color="auto"/>
            </w:tcBorders>
            <w:shd w:val="clear" w:color="auto" w:fill="auto"/>
            <w:noWrap/>
            <w:hideMark/>
          </w:tcPr>
          <w:p w:rsidR="00C025DC" w:rsidRPr="00C5016E" w:rsidRDefault="00C025DC" w:rsidP="00C025DC">
            <w:pPr>
              <w:spacing w:before="0" w:after="0"/>
              <w:jc w:val="center"/>
              <w:rPr>
                <w:rFonts w:cs="Arial"/>
                <w:b/>
                <w:bCs/>
                <w:sz w:val="22"/>
              </w:rPr>
            </w:pPr>
            <w:r w:rsidRPr="00C5016E">
              <w:rPr>
                <w:rFonts w:cs="Arial"/>
                <w:b/>
                <w:bCs/>
                <w:sz w:val="22"/>
              </w:rPr>
              <w:t>12.</w:t>
            </w:r>
          </w:p>
        </w:tc>
        <w:tc>
          <w:tcPr>
            <w:tcW w:w="4744" w:type="dxa"/>
            <w:tcBorders>
              <w:top w:val="nil"/>
              <w:left w:val="nil"/>
              <w:bottom w:val="single" w:sz="8" w:space="0" w:color="auto"/>
              <w:right w:val="single" w:sz="8" w:space="0" w:color="auto"/>
            </w:tcBorders>
            <w:shd w:val="clear" w:color="auto" w:fill="auto"/>
            <w:vAlign w:val="center"/>
            <w:hideMark/>
          </w:tcPr>
          <w:p w:rsidR="00C025DC" w:rsidRPr="00C5016E" w:rsidRDefault="00C025DC" w:rsidP="00C025DC">
            <w:pPr>
              <w:spacing w:before="0" w:after="0"/>
              <w:jc w:val="left"/>
              <w:rPr>
                <w:rFonts w:cs="Arial"/>
                <w:sz w:val="22"/>
              </w:rPr>
            </w:pPr>
            <w:r w:rsidRPr="00C5016E">
              <w:rPr>
                <w:rFonts w:cs="Arial"/>
                <w:sz w:val="22"/>
              </w:rPr>
              <w:t>Primici od dugoročnih obveznica</w:t>
            </w:r>
          </w:p>
        </w:tc>
        <w:tc>
          <w:tcPr>
            <w:tcW w:w="1868" w:type="dxa"/>
            <w:tcBorders>
              <w:top w:val="nil"/>
              <w:left w:val="nil"/>
              <w:bottom w:val="single" w:sz="8" w:space="0" w:color="auto"/>
              <w:right w:val="single" w:sz="8" w:space="0" w:color="auto"/>
            </w:tcBorders>
            <w:shd w:val="clear" w:color="auto" w:fill="auto"/>
            <w:noWrap/>
            <w:hideMark/>
          </w:tcPr>
          <w:p w:rsidR="00C025DC" w:rsidRPr="00C5016E" w:rsidRDefault="00C025DC" w:rsidP="00C025DC">
            <w:pPr>
              <w:spacing w:before="0" w:after="0"/>
              <w:jc w:val="right"/>
              <w:rPr>
                <w:rFonts w:cs="Arial"/>
                <w:sz w:val="22"/>
              </w:rPr>
            </w:pPr>
            <w:r w:rsidRPr="00C5016E">
              <w:rPr>
                <w:rFonts w:cs="Arial"/>
                <w:sz w:val="22"/>
              </w:rPr>
              <w:t>129.871</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0,94</w:t>
            </w:r>
          </w:p>
        </w:tc>
      </w:tr>
      <w:bookmarkEnd w:id="30"/>
      <w:tr w:rsidR="00C5016E" w:rsidRPr="00C5016E" w:rsidTr="00C025DC">
        <w:trPr>
          <w:trHeight w:val="349"/>
        </w:trPr>
        <w:tc>
          <w:tcPr>
            <w:tcW w:w="873" w:type="dxa"/>
            <w:tcBorders>
              <w:top w:val="nil"/>
              <w:left w:val="single" w:sz="8" w:space="0" w:color="auto"/>
              <w:bottom w:val="single" w:sz="8" w:space="0" w:color="auto"/>
              <w:right w:val="single" w:sz="8" w:space="0" w:color="auto"/>
            </w:tcBorders>
            <w:shd w:val="clear" w:color="auto" w:fill="auto"/>
            <w:noWrap/>
          </w:tcPr>
          <w:p w:rsidR="00C025DC" w:rsidRPr="00C5016E" w:rsidRDefault="00C025DC" w:rsidP="00C025DC">
            <w:pPr>
              <w:spacing w:before="0" w:after="0"/>
              <w:jc w:val="center"/>
              <w:rPr>
                <w:rFonts w:cs="Arial"/>
                <w:b/>
                <w:bCs/>
                <w:sz w:val="22"/>
              </w:rPr>
            </w:pPr>
            <w:r w:rsidRPr="00C5016E">
              <w:rPr>
                <w:rFonts w:cs="Arial"/>
                <w:b/>
                <w:bCs/>
                <w:sz w:val="22"/>
              </w:rPr>
              <w:t>13.</w:t>
            </w:r>
          </w:p>
        </w:tc>
        <w:tc>
          <w:tcPr>
            <w:tcW w:w="4744" w:type="dxa"/>
            <w:tcBorders>
              <w:top w:val="nil"/>
              <w:left w:val="nil"/>
              <w:bottom w:val="single" w:sz="8" w:space="0" w:color="auto"/>
              <w:right w:val="single" w:sz="8" w:space="0" w:color="auto"/>
            </w:tcBorders>
            <w:shd w:val="clear" w:color="auto" w:fill="auto"/>
            <w:vAlign w:val="center"/>
          </w:tcPr>
          <w:p w:rsidR="00C025DC" w:rsidRPr="00C5016E" w:rsidRDefault="00C025DC" w:rsidP="00C025DC">
            <w:pPr>
              <w:spacing w:before="0" w:after="0"/>
              <w:jc w:val="left"/>
              <w:rPr>
                <w:rFonts w:cs="Arial"/>
                <w:sz w:val="22"/>
              </w:rPr>
            </w:pPr>
            <w:r w:rsidRPr="00C5016E">
              <w:rPr>
                <w:rFonts w:cs="Arial"/>
                <w:sz w:val="22"/>
              </w:rPr>
              <w:t>Primici od nefinancijske imovine</w:t>
            </w:r>
          </w:p>
        </w:tc>
        <w:tc>
          <w:tcPr>
            <w:tcW w:w="1868" w:type="dxa"/>
            <w:tcBorders>
              <w:top w:val="nil"/>
              <w:left w:val="nil"/>
              <w:bottom w:val="single" w:sz="8" w:space="0" w:color="auto"/>
              <w:right w:val="single" w:sz="8" w:space="0" w:color="auto"/>
            </w:tcBorders>
            <w:shd w:val="clear" w:color="auto" w:fill="auto"/>
            <w:noWrap/>
          </w:tcPr>
          <w:p w:rsidR="00C025DC" w:rsidRPr="00C5016E" w:rsidRDefault="00C025DC" w:rsidP="00C025DC">
            <w:pPr>
              <w:spacing w:before="0" w:after="0"/>
              <w:jc w:val="right"/>
              <w:rPr>
                <w:rFonts w:cs="Arial"/>
                <w:sz w:val="22"/>
              </w:rPr>
            </w:pPr>
            <w:r w:rsidRPr="00C5016E">
              <w:rPr>
                <w:rFonts w:cs="Arial"/>
                <w:sz w:val="22"/>
              </w:rPr>
              <w:t>171.000</w:t>
            </w:r>
          </w:p>
        </w:tc>
        <w:tc>
          <w:tcPr>
            <w:tcW w:w="1462" w:type="dxa"/>
            <w:tcBorders>
              <w:top w:val="nil"/>
              <w:left w:val="nil"/>
              <w:bottom w:val="single" w:sz="8" w:space="0" w:color="auto"/>
              <w:right w:val="single" w:sz="8" w:space="0" w:color="auto"/>
            </w:tcBorders>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3,22</w:t>
            </w:r>
          </w:p>
        </w:tc>
      </w:tr>
      <w:tr w:rsidR="00C5016E" w:rsidRPr="00C5016E" w:rsidTr="00C025DC">
        <w:trPr>
          <w:trHeight w:val="333"/>
        </w:trPr>
        <w:tc>
          <w:tcPr>
            <w:tcW w:w="873" w:type="dxa"/>
            <w:tcBorders>
              <w:top w:val="nil"/>
              <w:left w:val="single" w:sz="8" w:space="0" w:color="auto"/>
              <w:bottom w:val="single" w:sz="8" w:space="0" w:color="auto"/>
              <w:right w:val="single" w:sz="8" w:space="0" w:color="auto"/>
            </w:tcBorders>
            <w:shd w:val="clear" w:color="000000" w:fill="BFBFBF"/>
            <w:noWrap/>
            <w:hideMark/>
          </w:tcPr>
          <w:p w:rsidR="00C025DC" w:rsidRPr="00C5016E" w:rsidRDefault="00C025DC" w:rsidP="00C025DC">
            <w:pPr>
              <w:spacing w:before="0" w:after="0"/>
              <w:contextualSpacing/>
              <w:rPr>
                <w:rFonts w:cs="Arial"/>
                <w:sz w:val="22"/>
              </w:rPr>
            </w:pPr>
            <w:r w:rsidRPr="00C5016E">
              <w:rPr>
                <w:rFonts w:cs="Arial"/>
                <w:sz w:val="22"/>
              </w:rPr>
              <w:t> </w:t>
            </w:r>
          </w:p>
        </w:tc>
        <w:tc>
          <w:tcPr>
            <w:tcW w:w="4744" w:type="dxa"/>
            <w:tcBorders>
              <w:top w:val="nil"/>
              <w:left w:val="nil"/>
              <w:bottom w:val="single" w:sz="8" w:space="0" w:color="auto"/>
              <w:right w:val="single" w:sz="8" w:space="0" w:color="auto"/>
            </w:tcBorders>
            <w:shd w:val="clear" w:color="000000" w:fill="BFBFBF"/>
            <w:noWrap/>
            <w:hideMark/>
          </w:tcPr>
          <w:p w:rsidR="00C025DC" w:rsidRPr="00C5016E" w:rsidRDefault="00C025DC" w:rsidP="00C025DC">
            <w:pPr>
              <w:spacing w:before="0" w:after="0"/>
              <w:contextualSpacing/>
              <w:rPr>
                <w:rFonts w:cs="Arial"/>
                <w:b/>
                <w:bCs/>
                <w:sz w:val="22"/>
              </w:rPr>
            </w:pPr>
            <w:r w:rsidRPr="00C5016E">
              <w:rPr>
                <w:rFonts w:cs="Arial"/>
                <w:b/>
                <w:bCs/>
                <w:sz w:val="22"/>
              </w:rPr>
              <w:t>UKUPNO</w:t>
            </w:r>
          </w:p>
        </w:tc>
        <w:tc>
          <w:tcPr>
            <w:tcW w:w="1868" w:type="dxa"/>
            <w:tcBorders>
              <w:top w:val="nil"/>
              <w:left w:val="nil"/>
              <w:bottom w:val="single" w:sz="8" w:space="0" w:color="auto"/>
              <w:right w:val="single" w:sz="8" w:space="0" w:color="auto"/>
            </w:tcBorders>
            <w:shd w:val="clear" w:color="000000" w:fill="BFBFBF"/>
            <w:noWrap/>
            <w:hideMark/>
          </w:tcPr>
          <w:p w:rsidR="00C025DC" w:rsidRPr="00C5016E" w:rsidRDefault="00C025DC" w:rsidP="00C025DC">
            <w:pPr>
              <w:spacing w:before="0" w:after="0"/>
              <w:contextualSpacing/>
              <w:jc w:val="right"/>
              <w:rPr>
                <w:rFonts w:cs="Arial"/>
                <w:b/>
                <w:bCs/>
                <w:sz w:val="22"/>
              </w:rPr>
            </w:pPr>
            <w:r w:rsidRPr="00C5016E">
              <w:rPr>
                <w:rFonts w:cs="Arial"/>
                <w:b/>
                <w:bCs/>
                <w:sz w:val="22"/>
              </w:rPr>
              <w:t>5.304.270</w:t>
            </w:r>
          </w:p>
        </w:tc>
        <w:tc>
          <w:tcPr>
            <w:tcW w:w="1462" w:type="dxa"/>
            <w:tcBorders>
              <w:top w:val="nil"/>
              <w:left w:val="nil"/>
              <w:bottom w:val="single" w:sz="8" w:space="0" w:color="auto"/>
              <w:right w:val="single" w:sz="8" w:space="0" w:color="auto"/>
            </w:tcBorders>
            <w:shd w:val="clear" w:color="000000" w:fill="BFBFBF"/>
            <w:noWrap/>
            <w:hideMark/>
          </w:tcPr>
          <w:p w:rsidR="00C025DC" w:rsidRPr="00C5016E" w:rsidRDefault="00C025DC" w:rsidP="00C025DC">
            <w:pPr>
              <w:spacing w:before="0" w:after="0"/>
              <w:contextualSpacing/>
              <w:jc w:val="right"/>
              <w:rPr>
                <w:rFonts w:cs="Arial"/>
                <w:b/>
                <w:bCs/>
                <w:sz w:val="22"/>
              </w:rPr>
            </w:pPr>
            <w:r w:rsidRPr="00C5016E">
              <w:rPr>
                <w:rFonts w:cs="Arial"/>
                <w:b/>
                <w:bCs/>
                <w:sz w:val="22"/>
              </w:rPr>
              <w:t>100,00</w:t>
            </w:r>
          </w:p>
        </w:tc>
      </w:tr>
    </w:tbl>
    <w:bookmarkEnd w:id="31"/>
    <w:p w:rsidR="00C025DC" w:rsidRPr="00C5016E" w:rsidRDefault="00EF4C3C" w:rsidP="00C025DC">
      <w:pPr>
        <w:spacing w:before="0"/>
        <w:rPr>
          <w:rFonts w:cs="Arial"/>
          <w:b/>
          <w:sz w:val="22"/>
          <w:szCs w:val="24"/>
        </w:rPr>
      </w:pPr>
      <w:r w:rsidRPr="00C5016E">
        <w:rPr>
          <w:rFonts w:cs="Arial"/>
          <w:b/>
          <w:sz w:val="22"/>
          <w:szCs w:val="24"/>
        </w:rPr>
        <w:t>Tablica</w:t>
      </w:r>
      <w:r w:rsidR="00C025DC" w:rsidRPr="00C5016E">
        <w:rPr>
          <w:rFonts w:cs="Arial"/>
          <w:b/>
          <w:sz w:val="22"/>
          <w:szCs w:val="24"/>
        </w:rPr>
        <w:t xml:space="preserve"> 2</w:t>
      </w:r>
      <w:r w:rsidR="00C025DC" w:rsidRPr="00C5016E">
        <w:rPr>
          <w:rFonts w:cs="Arial"/>
          <w:sz w:val="22"/>
          <w:szCs w:val="24"/>
        </w:rPr>
        <w:t>:</w:t>
      </w:r>
      <w:r w:rsidR="00C025DC" w:rsidRPr="00C5016E">
        <w:rPr>
          <w:rFonts w:cs="Arial"/>
          <w:b/>
          <w:sz w:val="22"/>
          <w:szCs w:val="24"/>
        </w:rPr>
        <w:t xml:space="preserve"> </w:t>
      </w:r>
      <w:r w:rsidR="00C025DC" w:rsidRPr="00C5016E">
        <w:rPr>
          <w:rFonts w:cs="Arial"/>
          <w:sz w:val="22"/>
          <w:szCs w:val="24"/>
        </w:rPr>
        <w:t>U</w:t>
      </w:r>
      <w:r w:rsidR="00D46196" w:rsidRPr="00C5016E">
        <w:rPr>
          <w:rFonts w:cs="Arial"/>
          <w:sz w:val="22"/>
          <w:szCs w:val="24"/>
        </w:rPr>
        <w:t>djel</w:t>
      </w:r>
      <w:r w:rsidR="00C025DC" w:rsidRPr="00C5016E">
        <w:rPr>
          <w:rFonts w:cs="Arial"/>
          <w:sz w:val="22"/>
          <w:szCs w:val="24"/>
        </w:rPr>
        <w:t xml:space="preserve"> ostvarenih prihoda, primitaka i financiranja analitički po vrstama u ukupno ostvarenim prihodima 2022. godine</w:t>
      </w:r>
      <w:bookmarkEnd w:id="28"/>
    </w:p>
    <w:p w:rsidR="00C025DC" w:rsidRPr="00C5016E" w:rsidRDefault="005D23E0" w:rsidP="00C025DC">
      <w:r>
        <w:rPr>
          <w:noProof/>
          <w:lang w:val="bs-Latn-BA" w:eastAsia="bs-Latn-BA"/>
        </w:rPr>
        <w:lastRenderedPageBreak/>
        <w:drawing>
          <wp:inline distT="0" distB="0" distL="0" distR="0" wp14:anchorId="5725B3AA" wp14:editId="3976DB48">
            <wp:extent cx="5611495" cy="3848100"/>
            <wp:effectExtent l="0" t="0" r="825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025DC" w:rsidRPr="00C5016E" w:rsidRDefault="00C025DC" w:rsidP="00C025DC">
      <w:pPr>
        <w:pStyle w:val="Caption"/>
        <w:spacing w:before="0" w:after="0"/>
        <w:rPr>
          <w:rFonts w:ascii="Arial" w:hAnsi="Arial" w:cs="Arial"/>
          <w:b w:val="0"/>
          <w:color w:val="auto"/>
          <w:sz w:val="22"/>
          <w:szCs w:val="24"/>
          <w:lang w:val="hr-HR"/>
        </w:rPr>
      </w:pPr>
      <w:bookmarkStart w:id="32" w:name="_Toc99940817"/>
      <w:r w:rsidRPr="00C5016E">
        <w:rPr>
          <w:rFonts w:ascii="Arial" w:hAnsi="Arial" w:cs="Arial"/>
          <w:color w:val="auto"/>
          <w:sz w:val="22"/>
          <w:szCs w:val="24"/>
          <w:lang w:val="hr-HR"/>
        </w:rPr>
        <w:t xml:space="preserve">Grafikon </w:t>
      </w:r>
      <w:r w:rsidRPr="00C5016E">
        <w:rPr>
          <w:rFonts w:ascii="Arial" w:hAnsi="Arial" w:cs="Arial"/>
          <w:color w:val="auto"/>
          <w:sz w:val="22"/>
          <w:szCs w:val="24"/>
          <w:lang w:val="hr-HR"/>
        </w:rPr>
        <w:fldChar w:fldCharType="begin"/>
      </w:r>
      <w:r w:rsidRPr="00C5016E">
        <w:rPr>
          <w:rFonts w:ascii="Arial" w:hAnsi="Arial" w:cs="Arial"/>
          <w:color w:val="auto"/>
          <w:sz w:val="22"/>
          <w:szCs w:val="24"/>
          <w:lang w:val="hr-HR"/>
        </w:rPr>
        <w:instrText xml:space="preserve"> SEQ Grafikon \* ARABIC </w:instrText>
      </w:r>
      <w:r w:rsidRPr="00C5016E">
        <w:rPr>
          <w:rFonts w:ascii="Arial" w:hAnsi="Arial" w:cs="Arial"/>
          <w:color w:val="auto"/>
          <w:sz w:val="22"/>
          <w:szCs w:val="24"/>
          <w:lang w:val="hr-HR"/>
        </w:rPr>
        <w:fldChar w:fldCharType="separate"/>
      </w:r>
      <w:r w:rsidR="0070505C" w:rsidRPr="00C5016E">
        <w:rPr>
          <w:rFonts w:ascii="Arial" w:hAnsi="Arial" w:cs="Arial"/>
          <w:noProof/>
          <w:color w:val="auto"/>
          <w:sz w:val="22"/>
          <w:szCs w:val="24"/>
          <w:lang w:val="hr-HR"/>
        </w:rPr>
        <w:t>2</w:t>
      </w:r>
      <w:r w:rsidRPr="00C5016E">
        <w:rPr>
          <w:rFonts w:ascii="Arial" w:hAnsi="Arial" w:cs="Arial"/>
          <w:color w:val="auto"/>
          <w:sz w:val="22"/>
          <w:szCs w:val="24"/>
          <w:lang w:val="hr-HR"/>
        </w:rPr>
        <w:fldChar w:fldCharType="end"/>
      </w:r>
      <w:r w:rsidRPr="00C5016E">
        <w:rPr>
          <w:rFonts w:ascii="Arial" w:hAnsi="Arial" w:cs="Arial"/>
          <w:color w:val="auto"/>
          <w:sz w:val="22"/>
          <w:szCs w:val="24"/>
          <w:lang w:val="hr-HR"/>
        </w:rPr>
        <w:t xml:space="preserve">: </w:t>
      </w:r>
      <w:r w:rsidRPr="00C5016E">
        <w:rPr>
          <w:rFonts w:ascii="Arial" w:hAnsi="Arial" w:cs="Arial"/>
          <w:b w:val="0"/>
          <w:color w:val="auto"/>
          <w:sz w:val="22"/>
          <w:szCs w:val="24"/>
          <w:lang w:val="hr-HR"/>
        </w:rPr>
        <w:t xml:space="preserve">Grafički prikaz </w:t>
      </w:r>
      <w:r w:rsidR="00D46196" w:rsidRPr="00C5016E">
        <w:rPr>
          <w:rFonts w:ascii="Arial" w:hAnsi="Arial" w:cs="Arial"/>
          <w:b w:val="0"/>
          <w:color w:val="auto"/>
          <w:sz w:val="22"/>
          <w:szCs w:val="24"/>
          <w:lang w:val="hr-HR"/>
        </w:rPr>
        <w:t>udjela</w:t>
      </w:r>
      <w:r w:rsidRPr="00C5016E">
        <w:rPr>
          <w:rFonts w:ascii="Arial" w:hAnsi="Arial" w:cs="Arial"/>
          <w:b w:val="0"/>
          <w:color w:val="auto"/>
          <w:sz w:val="22"/>
          <w:szCs w:val="24"/>
          <w:lang w:val="hr-HR"/>
        </w:rPr>
        <w:t xml:space="preserve"> ostvarenih prihoda, primitaka i financiranja analitički po vrstama u ukupno ostvarenim prihodima 2022. godine.</w:t>
      </w:r>
      <w:bookmarkEnd w:id="32"/>
    </w:p>
    <w:p w:rsidR="00C025DC" w:rsidRPr="00C5016E" w:rsidRDefault="00C025DC" w:rsidP="00C025DC">
      <w:pPr>
        <w:pStyle w:val="Heading2"/>
        <w:rPr>
          <w:rFonts w:ascii="Arial" w:hAnsi="Arial" w:cs="Arial"/>
        </w:rPr>
      </w:pPr>
      <w:bookmarkStart w:id="33" w:name="_Toc131505195"/>
      <w:r w:rsidRPr="00C5016E">
        <w:rPr>
          <w:rFonts w:ascii="Arial" w:hAnsi="Arial" w:cs="Arial"/>
        </w:rPr>
        <w:t>Prihodi od poreza</w:t>
      </w:r>
      <w:bookmarkEnd w:id="33"/>
    </w:p>
    <w:p w:rsidR="00C025DC" w:rsidRPr="00C5016E" w:rsidRDefault="00C025DC" w:rsidP="00C025DC">
      <w:r w:rsidRPr="00C5016E">
        <w:t xml:space="preserve">Prihodi od poreza ostvareni su u iznosu od 4.368,23 </w:t>
      </w:r>
      <w:r w:rsidR="004611A5" w:rsidRPr="00C5016E">
        <w:t>milijun</w:t>
      </w:r>
      <w:r w:rsidRPr="00C5016E">
        <w:t xml:space="preserve">a KM, što je 110% planiranog za 2022. godinu. U odnosu na prethodnu godinu porezni prihodi bilježe porast za 13%, odnosno 500,60 </w:t>
      </w:r>
      <w:r w:rsidR="004611A5" w:rsidRPr="00C5016E">
        <w:t>milijun</w:t>
      </w:r>
      <w:r w:rsidRPr="00C5016E">
        <w:t>a KM.</w:t>
      </w:r>
    </w:p>
    <w:p w:rsidR="00C025DC" w:rsidRPr="00C5016E" w:rsidRDefault="005D23E0" w:rsidP="00C025DC">
      <w:pPr>
        <w:rPr>
          <w:sz w:val="22"/>
        </w:rPr>
      </w:pPr>
      <w:bookmarkStart w:id="34" w:name="_Toc99940818"/>
      <w:r>
        <w:rPr>
          <w:noProof/>
          <w:lang w:val="bs-Latn-BA" w:eastAsia="bs-Latn-BA"/>
        </w:rPr>
        <w:drawing>
          <wp:inline distT="0" distB="0" distL="0" distR="0" wp14:anchorId="3AB51567" wp14:editId="35892553">
            <wp:extent cx="5611495" cy="2266950"/>
            <wp:effectExtent l="0" t="0" r="825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025DC" w:rsidRPr="00C5016E">
        <w:rPr>
          <w:b/>
          <w:sz w:val="22"/>
        </w:rPr>
        <w:t xml:space="preserve">Grafikon </w:t>
      </w:r>
      <w:r w:rsidR="00C025DC" w:rsidRPr="00C5016E">
        <w:rPr>
          <w:b/>
          <w:sz w:val="22"/>
        </w:rPr>
        <w:fldChar w:fldCharType="begin"/>
      </w:r>
      <w:r w:rsidR="00C025DC" w:rsidRPr="00C5016E">
        <w:rPr>
          <w:b/>
          <w:sz w:val="22"/>
        </w:rPr>
        <w:instrText xml:space="preserve"> SEQ Grafikon \* ARABIC </w:instrText>
      </w:r>
      <w:r w:rsidR="00C025DC" w:rsidRPr="00C5016E">
        <w:rPr>
          <w:b/>
          <w:sz w:val="22"/>
        </w:rPr>
        <w:fldChar w:fldCharType="separate"/>
      </w:r>
      <w:r w:rsidR="0070505C" w:rsidRPr="00C5016E">
        <w:rPr>
          <w:b/>
          <w:noProof/>
          <w:sz w:val="22"/>
        </w:rPr>
        <w:t>3</w:t>
      </w:r>
      <w:r w:rsidR="00C025DC" w:rsidRPr="00C5016E">
        <w:rPr>
          <w:b/>
          <w:sz w:val="22"/>
        </w:rPr>
        <w:fldChar w:fldCharType="end"/>
      </w:r>
      <w:r w:rsidR="00C025DC" w:rsidRPr="00C5016E">
        <w:rPr>
          <w:b/>
          <w:sz w:val="22"/>
        </w:rPr>
        <w:t xml:space="preserve">: </w:t>
      </w:r>
      <w:r w:rsidR="00C025DC" w:rsidRPr="00C5016E">
        <w:rPr>
          <w:sz w:val="22"/>
        </w:rPr>
        <w:t>Struktura poreznih prihoda</w:t>
      </w:r>
      <w:bookmarkEnd w:id="34"/>
    </w:p>
    <w:p w:rsidR="00C025DC" w:rsidRPr="00C5016E" w:rsidRDefault="00C025DC" w:rsidP="00C025DC">
      <w:r w:rsidRPr="00C5016E">
        <w:lastRenderedPageBreak/>
        <w:t>Imajući u vidu da je u</w:t>
      </w:r>
      <w:r w:rsidR="00DE4C92" w:rsidRPr="00C5016E">
        <w:t>djel</w:t>
      </w:r>
      <w:r w:rsidRPr="00C5016E">
        <w:t xml:space="preserve"> ostalih poreza u ukupnim porezima neznat</w:t>
      </w:r>
      <w:r w:rsidR="00DE4C92" w:rsidRPr="00C5016E">
        <w:t>an</w:t>
      </w:r>
      <w:r w:rsidRPr="00C5016E">
        <w:t>, strukturu i u</w:t>
      </w:r>
      <w:r w:rsidR="00DE4C92" w:rsidRPr="00C5016E">
        <w:t>djel</w:t>
      </w:r>
      <w:r w:rsidRPr="00C5016E">
        <w:t xml:space="preserve"> pojedinih prihoda od poreza u ukupnim poreznim prihodima čine porezi prikazani na grafikonu br. 3.</w:t>
      </w:r>
    </w:p>
    <w:p w:rsidR="00C025DC" w:rsidRPr="00C5016E" w:rsidRDefault="00C025DC" w:rsidP="00C025DC">
      <w:pPr>
        <w:pStyle w:val="Heading3"/>
        <w:rPr>
          <w:rFonts w:eastAsia="Batang" w:cs="Arial"/>
          <w:lang w:eastAsia="ko-KR"/>
        </w:rPr>
      </w:pPr>
      <w:bookmarkStart w:id="35" w:name="_Toc131505196"/>
      <w:r w:rsidRPr="00C5016E">
        <w:rPr>
          <w:rFonts w:eastAsia="Batang" w:cs="Arial"/>
          <w:lang w:eastAsia="ko-KR"/>
        </w:rPr>
        <w:t>Prihodi od poreza na dobit</w:t>
      </w:r>
      <w:bookmarkEnd w:id="35"/>
    </w:p>
    <w:p w:rsidR="00C025DC" w:rsidRPr="00C5016E" w:rsidRDefault="00C025DC" w:rsidP="00C025DC">
      <w:r w:rsidRPr="00C5016E">
        <w:rPr>
          <w:bCs/>
        </w:rPr>
        <w:t xml:space="preserve">Prihodi od poreza na dobit </w:t>
      </w:r>
      <w:r w:rsidRPr="00C5016E">
        <w:t xml:space="preserve">ostvareni su u iznosu od 89,04 </w:t>
      </w:r>
      <w:r w:rsidR="004611A5" w:rsidRPr="00C5016E">
        <w:t>milijun</w:t>
      </w:r>
      <w:r w:rsidRPr="00C5016E">
        <w:t xml:space="preserve">a KM što je za 22 </w:t>
      </w:r>
      <w:r w:rsidR="004611A5" w:rsidRPr="00C5016E">
        <w:t>milijun</w:t>
      </w:r>
      <w:r w:rsidRPr="00C5016E">
        <w:t xml:space="preserve">a KM ili 33% veće ostvarenje u odnosu na sredstva planirana Proračunom Federacije BiH za 2022. godinu i rast od 24% ili 17,50 </w:t>
      </w:r>
      <w:r w:rsidR="004611A5" w:rsidRPr="00C5016E">
        <w:t>milijun</w:t>
      </w:r>
      <w:r w:rsidRPr="00C5016E">
        <w:t xml:space="preserve">a KM u odnosu na ostvarenje u 2021 godini. </w:t>
      </w:r>
    </w:p>
    <w:p w:rsidR="00C025DC" w:rsidRPr="00C5016E" w:rsidRDefault="00DE4C92" w:rsidP="00C025DC">
      <w:pPr>
        <w:spacing w:before="120" w:after="0"/>
      </w:pPr>
      <w:r w:rsidRPr="00C5016E">
        <w:t>Promatrano</w:t>
      </w:r>
      <w:r w:rsidR="00C025DC" w:rsidRPr="00C5016E">
        <w:t xml:space="preserve"> analitički, u</w:t>
      </w:r>
      <w:r w:rsidRPr="00C5016E">
        <w:t>djel</w:t>
      </w:r>
      <w:r w:rsidR="00C025DC" w:rsidRPr="00C5016E">
        <w:t xml:space="preserve"> u porezu na dobit bilježe sljedeći prihodi: </w:t>
      </w:r>
    </w:p>
    <w:p w:rsidR="00C025DC" w:rsidRPr="00C5016E" w:rsidRDefault="00C025DC" w:rsidP="00C025DC">
      <w:pPr>
        <w:pStyle w:val="ListParagraph"/>
        <w:numPr>
          <w:ilvl w:val="0"/>
          <w:numId w:val="33"/>
        </w:numPr>
        <w:spacing w:before="120" w:after="0"/>
        <w:rPr>
          <w:rFonts w:ascii="Arial" w:hAnsi="Arial" w:cs="Arial"/>
          <w:lang w:val="hr-HR"/>
        </w:rPr>
      </w:pPr>
      <w:r w:rsidRPr="00C5016E">
        <w:rPr>
          <w:rFonts w:ascii="Arial" w:hAnsi="Arial" w:cs="Arial"/>
          <w:lang w:val="hr-HR"/>
        </w:rPr>
        <w:t xml:space="preserve">porez na dobit banaka 21,97 </w:t>
      </w:r>
      <w:r w:rsidR="004611A5" w:rsidRPr="00C5016E">
        <w:rPr>
          <w:rFonts w:ascii="Arial" w:hAnsi="Arial" w:cs="Arial"/>
          <w:lang w:val="hr-HR"/>
        </w:rPr>
        <w:t>milijun</w:t>
      </w:r>
      <w:r w:rsidR="00DE4C92" w:rsidRPr="00C5016E">
        <w:rPr>
          <w:rFonts w:ascii="Arial" w:hAnsi="Arial" w:cs="Arial"/>
          <w:lang w:val="hr-HR"/>
        </w:rPr>
        <w:t>a KM</w:t>
      </w:r>
    </w:p>
    <w:p w:rsidR="00C025DC" w:rsidRPr="00C5016E" w:rsidRDefault="00C025DC" w:rsidP="00C025DC">
      <w:pPr>
        <w:pStyle w:val="ListParagraph"/>
        <w:numPr>
          <w:ilvl w:val="0"/>
          <w:numId w:val="33"/>
        </w:numPr>
        <w:rPr>
          <w:rFonts w:ascii="Arial" w:hAnsi="Arial" w:cs="Arial"/>
          <w:lang w:val="hr-HR"/>
        </w:rPr>
      </w:pPr>
      <w:r w:rsidRPr="00C5016E">
        <w:rPr>
          <w:rFonts w:ascii="Arial" w:hAnsi="Arial" w:cs="Arial"/>
          <w:lang w:val="hr-HR"/>
        </w:rPr>
        <w:t xml:space="preserve">porez na dobit mikrokreditnih organizacija 2,60 </w:t>
      </w:r>
      <w:r w:rsidR="004611A5" w:rsidRPr="00C5016E">
        <w:rPr>
          <w:rFonts w:ascii="Arial" w:hAnsi="Arial" w:cs="Arial"/>
          <w:lang w:val="hr-HR"/>
        </w:rPr>
        <w:t>milijun</w:t>
      </w:r>
      <w:r w:rsidR="00DE4C92" w:rsidRPr="00C5016E">
        <w:rPr>
          <w:rFonts w:ascii="Arial" w:hAnsi="Arial" w:cs="Arial"/>
          <w:lang w:val="hr-HR"/>
        </w:rPr>
        <w:t>a KM,</w:t>
      </w:r>
    </w:p>
    <w:p w:rsidR="00C025DC" w:rsidRPr="00C5016E" w:rsidRDefault="00C025DC" w:rsidP="00C025DC">
      <w:pPr>
        <w:pStyle w:val="ListParagraph"/>
        <w:numPr>
          <w:ilvl w:val="0"/>
          <w:numId w:val="33"/>
        </w:numPr>
        <w:rPr>
          <w:rFonts w:ascii="Arial" w:hAnsi="Arial" w:cs="Arial"/>
          <w:lang w:val="hr-HR"/>
        </w:rPr>
      </w:pPr>
      <w:r w:rsidRPr="00C5016E">
        <w:rPr>
          <w:rFonts w:ascii="Arial" w:hAnsi="Arial" w:cs="Arial"/>
          <w:lang w:val="hr-HR"/>
        </w:rPr>
        <w:t xml:space="preserve">porez na dobit društava za osiguranje imovine i </w:t>
      </w:r>
      <w:r w:rsidR="00750D39" w:rsidRPr="00C5016E">
        <w:rPr>
          <w:rFonts w:ascii="Arial" w:hAnsi="Arial" w:cs="Arial"/>
          <w:lang w:val="hr-HR"/>
        </w:rPr>
        <w:t>osoba</w:t>
      </w:r>
      <w:r w:rsidRPr="00C5016E">
        <w:rPr>
          <w:rFonts w:ascii="Arial" w:hAnsi="Arial" w:cs="Arial"/>
          <w:lang w:val="hr-HR"/>
        </w:rPr>
        <w:t xml:space="preserve"> 4,52 </w:t>
      </w:r>
      <w:r w:rsidR="004611A5" w:rsidRPr="00C5016E">
        <w:rPr>
          <w:rFonts w:ascii="Arial" w:hAnsi="Arial" w:cs="Arial"/>
          <w:lang w:val="hr-HR"/>
        </w:rPr>
        <w:t>milijun</w:t>
      </w:r>
      <w:r w:rsidR="00DE4C92" w:rsidRPr="00C5016E">
        <w:rPr>
          <w:rFonts w:ascii="Arial" w:hAnsi="Arial" w:cs="Arial"/>
          <w:lang w:val="hr-HR"/>
        </w:rPr>
        <w:t>a KM</w:t>
      </w:r>
      <w:r w:rsidRPr="00C5016E">
        <w:rPr>
          <w:rFonts w:ascii="Arial" w:hAnsi="Arial" w:cs="Arial"/>
          <w:lang w:val="hr-HR"/>
        </w:rPr>
        <w:t xml:space="preserve"> </w:t>
      </w:r>
    </w:p>
    <w:p w:rsidR="00C025DC" w:rsidRPr="00C5016E" w:rsidRDefault="00C025DC" w:rsidP="00C025DC">
      <w:pPr>
        <w:pStyle w:val="ListParagraph"/>
        <w:numPr>
          <w:ilvl w:val="0"/>
          <w:numId w:val="33"/>
        </w:numPr>
        <w:rPr>
          <w:rFonts w:ascii="Arial" w:hAnsi="Arial" w:cs="Arial"/>
          <w:lang w:val="hr-HR"/>
        </w:rPr>
      </w:pPr>
      <w:r w:rsidRPr="00C5016E">
        <w:rPr>
          <w:rFonts w:ascii="Arial" w:hAnsi="Arial" w:cs="Arial"/>
          <w:lang w:val="hr-HR"/>
        </w:rPr>
        <w:t xml:space="preserve">porez na dobit društava za reosiguranje imovine i </w:t>
      </w:r>
      <w:r w:rsidR="00750D39" w:rsidRPr="00C5016E">
        <w:rPr>
          <w:rFonts w:ascii="Arial" w:hAnsi="Arial" w:cs="Arial"/>
          <w:lang w:val="hr-HR"/>
        </w:rPr>
        <w:t>osoba</w:t>
      </w:r>
      <w:r w:rsidRPr="00C5016E">
        <w:rPr>
          <w:rFonts w:ascii="Arial" w:hAnsi="Arial" w:cs="Arial"/>
          <w:lang w:val="hr-HR"/>
        </w:rPr>
        <w:t xml:space="preserve"> 0,28 </w:t>
      </w:r>
      <w:r w:rsidR="004611A5" w:rsidRPr="00C5016E">
        <w:rPr>
          <w:rFonts w:ascii="Arial" w:hAnsi="Arial" w:cs="Arial"/>
          <w:lang w:val="hr-HR"/>
        </w:rPr>
        <w:t>milijun</w:t>
      </w:r>
      <w:r w:rsidR="00DE4C92" w:rsidRPr="00C5016E">
        <w:rPr>
          <w:rFonts w:ascii="Arial" w:hAnsi="Arial" w:cs="Arial"/>
          <w:lang w:val="hr-HR"/>
        </w:rPr>
        <w:t>a KM</w:t>
      </w:r>
      <w:r w:rsidRPr="00C5016E">
        <w:rPr>
          <w:rFonts w:ascii="Arial" w:hAnsi="Arial" w:cs="Arial"/>
          <w:lang w:val="hr-HR"/>
        </w:rPr>
        <w:t xml:space="preserve"> </w:t>
      </w:r>
    </w:p>
    <w:p w:rsidR="00C025DC" w:rsidRPr="00C5016E" w:rsidRDefault="00C025DC" w:rsidP="00C025DC">
      <w:pPr>
        <w:pStyle w:val="ListParagraph"/>
        <w:numPr>
          <w:ilvl w:val="0"/>
          <w:numId w:val="33"/>
        </w:numPr>
        <w:rPr>
          <w:rFonts w:ascii="Arial" w:hAnsi="Arial" w:cs="Arial"/>
          <w:lang w:val="hr-HR"/>
        </w:rPr>
      </w:pPr>
      <w:r w:rsidRPr="00C5016E">
        <w:rPr>
          <w:rFonts w:ascii="Arial" w:hAnsi="Arial" w:cs="Arial"/>
          <w:lang w:val="hr-HR"/>
        </w:rPr>
        <w:t xml:space="preserve">porez na dobit pravnih </w:t>
      </w:r>
      <w:r w:rsidR="00DE4C92" w:rsidRPr="00C5016E">
        <w:rPr>
          <w:rFonts w:ascii="Arial" w:hAnsi="Arial" w:cs="Arial"/>
          <w:lang w:val="hr-HR"/>
        </w:rPr>
        <w:t>osoba</w:t>
      </w:r>
      <w:r w:rsidRPr="00C5016E">
        <w:rPr>
          <w:rFonts w:ascii="Arial" w:hAnsi="Arial" w:cs="Arial"/>
          <w:lang w:val="hr-HR"/>
        </w:rPr>
        <w:t xml:space="preserve"> iz oblasti elektroprivrede 11,17 </w:t>
      </w:r>
      <w:r w:rsidR="004611A5" w:rsidRPr="00C5016E">
        <w:rPr>
          <w:rFonts w:ascii="Arial" w:hAnsi="Arial" w:cs="Arial"/>
          <w:lang w:val="hr-HR"/>
        </w:rPr>
        <w:t>milijun</w:t>
      </w:r>
      <w:r w:rsidR="00DE4C92" w:rsidRPr="00C5016E">
        <w:rPr>
          <w:rFonts w:ascii="Arial" w:hAnsi="Arial" w:cs="Arial"/>
          <w:lang w:val="hr-HR"/>
        </w:rPr>
        <w:t>a KM</w:t>
      </w:r>
      <w:r w:rsidRPr="00C5016E">
        <w:rPr>
          <w:rFonts w:ascii="Arial" w:hAnsi="Arial" w:cs="Arial"/>
          <w:lang w:val="hr-HR"/>
        </w:rPr>
        <w:t xml:space="preserve"> </w:t>
      </w:r>
    </w:p>
    <w:p w:rsidR="00C025DC" w:rsidRPr="00C5016E" w:rsidRDefault="00C025DC" w:rsidP="00C025DC">
      <w:pPr>
        <w:pStyle w:val="ListParagraph"/>
        <w:numPr>
          <w:ilvl w:val="0"/>
          <w:numId w:val="33"/>
        </w:numPr>
        <w:rPr>
          <w:rFonts w:ascii="Arial" w:hAnsi="Arial" w:cs="Arial"/>
          <w:lang w:val="hr-HR"/>
        </w:rPr>
      </w:pPr>
      <w:r w:rsidRPr="00C5016E">
        <w:rPr>
          <w:rFonts w:ascii="Arial" w:hAnsi="Arial" w:cs="Arial"/>
          <w:lang w:val="hr-HR"/>
        </w:rPr>
        <w:t xml:space="preserve">porez na dobit pravnih </w:t>
      </w:r>
      <w:r w:rsidR="00DE4C92" w:rsidRPr="00C5016E">
        <w:rPr>
          <w:rFonts w:ascii="Arial" w:hAnsi="Arial" w:cs="Arial"/>
          <w:lang w:val="hr-HR"/>
        </w:rPr>
        <w:t>osoba</w:t>
      </w:r>
      <w:r w:rsidRPr="00C5016E">
        <w:rPr>
          <w:rFonts w:ascii="Arial" w:hAnsi="Arial" w:cs="Arial"/>
          <w:lang w:val="hr-HR"/>
        </w:rPr>
        <w:t xml:space="preserve"> iz oblasti pošte i telekomunikacija 9,35 </w:t>
      </w:r>
      <w:r w:rsidR="004611A5" w:rsidRPr="00C5016E">
        <w:rPr>
          <w:rFonts w:ascii="Arial" w:hAnsi="Arial" w:cs="Arial"/>
          <w:lang w:val="hr-HR"/>
        </w:rPr>
        <w:t>milijun</w:t>
      </w:r>
      <w:r w:rsidR="00DE4C92" w:rsidRPr="00C5016E">
        <w:rPr>
          <w:rFonts w:ascii="Arial" w:hAnsi="Arial" w:cs="Arial"/>
          <w:lang w:val="hr-HR"/>
        </w:rPr>
        <w:t>a KM</w:t>
      </w:r>
    </w:p>
    <w:p w:rsidR="00C025DC" w:rsidRPr="00C5016E" w:rsidRDefault="00C025DC" w:rsidP="00C025DC">
      <w:pPr>
        <w:pStyle w:val="ListParagraph"/>
        <w:numPr>
          <w:ilvl w:val="0"/>
          <w:numId w:val="33"/>
        </w:numPr>
        <w:rPr>
          <w:rFonts w:ascii="Arial" w:hAnsi="Arial" w:cs="Arial"/>
          <w:lang w:val="hr-HR"/>
        </w:rPr>
      </w:pPr>
      <w:r w:rsidRPr="00C5016E">
        <w:rPr>
          <w:rFonts w:ascii="Arial" w:hAnsi="Arial" w:cs="Arial"/>
          <w:lang w:val="hr-HR"/>
        </w:rPr>
        <w:t xml:space="preserve">porez na dobit pravnih </w:t>
      </w:r>
      <w:r w:rsidR="00DE4C92" w:rsidRPr="00C5016E">
        <w:rPr>
          <w:rFonts w:ascii="Arial" w:hAnsi="Arial" w:cs="Arial"/>
          <w:lang w:val="hr-HR"/>
        </w:rPr>
        <w:t>osoba</w:t>
      </w:r>
      <w:r w:rsidRPr="00C5016E">
        <w:rPr>
          <w:rFonts w:ascii="Arial" w:hAnsi="Arial" w:cs="Arial"/>
          <w:lang w:val="hr-HR"/>
        </w:rPr>
        <w:t xml:space="preserve"> iz oblasti igara na sreću 11,80 </w:t>
      </w:r>
      <w:r w:rsidR="004611A5" w:rsidRPr="00C5016E">
        <w:rPr>
          <w:rFonts w:ascii="Arial" w:hAnsi="Arial" w:cs="Arial"/>
          <w:lang w:val="hr-HR"/>
        </w:rPr>
        <w:t>milijun</w:t>
      </w:r>
      <w:r w:rsidR="00DE4C92" w:rsidRPr="00C5016E">
        <w:rPr>
          <w:rFonts w:ascii="Arial" w:hAnsi="Arial" w:cs="Arial"/>
          <w:lang w:val="hr-HR"/>
        </w:rPr>
        <w:t>a KM</w:t>
      </w:r>
      <w:r w:rsidRPr="00C5016E">
        <w:rPr>
          <w:rFonts w:ascii="Arial" w:hAnsi="Arial" w:cs="Arial"/>
          <w:lang w:val="hr-HR"/>
        </w:rPr>
        <w:t xml:space="preserve"> </w:t>
      </w:r>
    </w:p>
    <w:p w:rsidR="00C025DC" w:rsidRPr="00C5016E" w:rsidRDefault="00C025DC" w:rsidP="00C025DC">
      <w:pPr>
        <w:pStyle w:val="ListParagraph"/>
        <w:numPr>
          <w:ilvl w:val="0"/>
          <w:numId w:val="33"/>
        </w:numPr>
        <w:rPr>
          <w:rFonts w:ascii="Arial" w:hAnsi="Arial" w:cs="Arial"/>
          <w:lang w:val="hr-HR"/>
        </w:rPr>
      </w:pPr>
      <w:r w:rsidRPr="00C5016E">
        <w:rPr>
          <w:rFonts w:ascii="Arial" w:hAnsi="Arial" w:cs="Arial"/>
          <w:lang w:val="hr-HR"/>
        </w:rPr>
        <w:t xml:space="preserve">porez po odbitku 24,14 </w:t>
      </w:r>
      <w:r w:rsidR="004611A5" w:rsidRPr="00C5016E">
        <w:rPr>
          <w:rFonts w:ascii="Arial" w:hAnsi="Arial" w:cs="Arial"/>
          <w:lang w:val="hr-HR"/>
        </w:rPr>
        <w:t>milijun</w:t>
      </w:r>
      <w:r w:rsidR="00DE4C92" w:rsidRPr="00C5016E">
        <w:rPr>
          <w:rFonts w:ascii="Arial" w:hAnsi="Arial" w:cs="Arial"/>
          <w:lang w:val="hr-HR"/>
        </w:rPr>
        <w:t>a KM</w:t>
      </w:r>
      <w:r w:rsidRPr="00C5016E">
        <w:rPr>
          <w:rFonts w:ascii="Arial" w:hAnsi="Arial" w:cs="Arial"/>
          <w:lang w:val="hr-HR"/>
        </w:rPr>
        <w:t xml:space="preserve"> </w:t>
      </w:r>
    </w:p>
    <w:p w:rsidR="00C025DC" w:rsidRPr="00C5016E" w:rsidRDefault="00C025DC" w:rsidP="00C025DC">
      <w:pPr>
        <w:pStyle w:val="ListParagraph"/>
        <w:numPr>
          <w:ilvl w:val="0"/>
          <w:numId w:val="33"/>
        </w:numPr>
        <w:rPr>
          <w:rFonts w:ascii="Arial" w:hAnsi="Arial" w:cs="Arial"/>
          <w:lang w:val="hr-HR"/>
        </w:rPr>
      </w:pPr>
      <w:r w:rsidRPr="00C5016E">
        <w:rPr>
          <w:rFonts w:ascii="Arial" w:hAnsi="Arial" w:cs="Arial"/>
          <w:lang w:val="hr-HR"/>
        </w:rPr>
        <w:t>ostali porezi na dobit pojedinaca i p</w:t>
      </w:r>
      <w:r w:rsidR="00DE4C92" w:rsidRPr="00C5016E">
        <w:rPr>
          <w:rFonts w:ascii="Arial" w:hAnsi="Arial" w:cs="Arial"/>
          <w:lang w:val="hr-HR"/>
        </w:rPr>
        <w:t>o</w:t>
      </w:r>
      <w:r w:rsidRPr="00C5016E">
        <w:rPr>
          <w:rFonts w:ascii="Arial" w:hAnsi="Arial" w:cs="Arial"/>
          <w:lang w:val="hr-HR"/>
        </w:rPr>
        <w:t xml:space="preserve">duzeća 3,21 </w:t>
      </w:r>
      <w:r w:rsidR="004611A5" w:rsidRPr="00C5016E">
        <w:rPr>
          <w:rFonts w:ascii="Arial" w:hAnsi="Arial" w:cs="Arial"/>
          <w:lang w:val="hr-HR"/>
        </w:rPr>
        <w:t>milijun</w:t>
      </w:r>
      <w:r w:rsidRPr="00C5016E">
        <w:rPr>
          <w:rFonts w:ascii="Arial" w:hAnsi="Arial" w:cs="Arial"/>
          <w:lang w:val="hr-HR"/>
        </w:rPr>
        <w:t xml:space="preserve"> KM.</w:t>
      </w:r>
    </w:p>
    <w:p w:rsidR="00C025DC" w:rsidRPr="00C5016E" w:rsidRDefault="00C025DC" w:rsidP="00C025DC">
      <w:r w:rsidRPr="00C5016E">
        <w:t>Porez na dobit se plaća akontacijski, prema iznosu dobiti iz prethodne godine, što konkretno znači da su obveznici u 2022. godini uplaćivali akontacije poreza na dobit prema ostvarenoj dobiti iz 2021. godine.</w:t>
      </w:r>
    </w:p>
    <w:p w:rsidR="00C025DC" w:rsidRPr="00C5016E" w:rsidRDefault="00C025DC" w:rsidP="00C025DC">
      <w:pPr>
        <w:pStyle w:val="Heading3"/>
        <w:rPr>
          <w:rFonts w:eastAsia="Batang" w:cs="Arial"/>
          <w:lang w:eastAsia="ko-KR"/>
        </w:rPr>
      </w:pPr>
      <w:bookmarkStart w:id="36" w:name="_Toc131505197"/>
      <w:r w:rsidRPr="00C5016E">
        <w:rPr>
          <w:rFonts w:eastAsia="Batang" w:cs="Arial"/>
          <w:lang w:eastAsia="ko-KR"/>
        </w:rPr>
        <w:t>Doprinosi za mirovinsko i invalidsko osiguranje</w:t>
      </w:r>
      <w:bookmarkEnd w:id="36"/>
    </w:p>
    <w:p w:rsidR="00C025DC" w:rsidRPr="00C5016E" w:rsidRDefault="00C025DC" w:rsidP="00C025DC">
      <w:pPr>
        <w:tabs>
          <w:tab w:val="left" w:pos="993"/>
        </w:tabs>
        <w:spacing w:before="0" w:after="0"/>
        <w:rPr>
          <w:rFonts w:cs="Arial"/>
          <w:szCs w:val="24"/>
        </w:rPr>
      </w:pPr>
      <w:r w:rsidRPr="00C5016E">
        <w:rPr>
          <w:rFonts w:cs="Arial"/>
          <w:bCs/>
          <w:szCs w:val="24"/>
        </w:rPr>
        <w:t>Doprinosi za mirovinsko i invalidsko osiguranje, kao najznačajnija stavka Proračuna Fed</w:t>
      </w:r>
      <w:r w:rsidR="00DE4C92" w:rsidRPr="00C5016E">
        <w:rPr>
          <w:rFonts w:cs="Arial"/>
          <w:bCs/>
          <w:szCs w:val="24"/>
        </w:rPr>
        <w:t>eracije BiH, s</w:t>
      </w:r>
      <w:r w:rsidRPr="00C5016E">
        <w:rPr>
          <w:rFonts w:cs="Arial"/>
          <w:bCs/>
          <w:szCs w:val="24"/>
        </w:rPr>
        <w:t xml:space="preserve"> u</w:t>
      </w:r>
      <w:r w:rsidR="00DE4C92" w:rsidRPr="00C5016E">
        <w:rPr>
          <w:rFonts w:cs="Arial"/>
          <w:bCs/>
          <w:szCs w:val="24"/>
        </w:rPr>
        <w:t>djelom</w:t>
      </w:r>
      <w:r w:rsidRPr="00C5016E">
        <w:rPr>
          <w:rFonts w:cs="Arial"/>
          <w:bCs/>
          <w:szCs w:val="24"/>
        </w:rPr>
        <w:t xml:space="preserve"> od 46,35% u ukupno ostvarenim prihodima, primicima i financiranju, iznose</w:t>
      </w:r>
      <w:r w:rsidRPr="00C5016E">
        <w:rPr>
          <w:rFonts w:cs="Arial"/>
          <w:szCs w:val="24"/>
        </w:rPr>
        <w:t xml:space="preserve"> 2.458,75 </w:t>
      </w:r>
      <w:r w:rsidR="004611A5" w:rsidRPr="00C5016E">
        <w:rPr>
          <w:rFonts w:cs="Arial"/>
          <w:szCs w:val="24"/>
        </w:rPr>
        <w:t>milijun</w:t>
      </w:r>
      <w:r w:rsidRPr="00C5016E">
        <w:rPr>
          <w:rFonts w:cs="Arial"/>
          <w:szCs w:val="24"/>
        </w:rPr>
        <w:t>a KM što predstavlja 111% planiranog za 2022. godinu, te za 13% veće ostvarenje u odnosu na prethodnu godinu.</w:t>
      </w:r>
    </w:p>
    <w:p w:rsidR="00C025DC" w:rsidRPr="00C5016E" w:rsidRDefault="00C025DC" w:rsidP="00C025DC">
      <w:pPr>
        <w:tabs>
          <w:tab w:val="left" w:pos="993"/>
        </w:tabs>
        <w:spacing w:before="0" w:after="0"/>
        <w:jc w:val="right"/>
        <w:rPr>
          <w:rFonts w:cs="Arial"/>
          <w:b/>
          <w:bCs/>
          <w:sz w:val="22"/>
        </w:rPr>
      </w:pPr>
    </w:p>
    <w:p w:rsidR="00C025DC" w:rsidRPr="00C5016E" w:rsidRDefault="001537F4" w:rsidP="00C025DC">
      <w:pPr>
        <w:tabs>
          <w:tab w:val="left" w:pos="993"/>
        </w:tabs>
        <w:spacing w:before="0" w:after="0"/>
        <w:jc w:val="left"/>
        <w:rPr>
          <w:rFonts w:cs="Arial"/>
          <w:szCs w:val="24"/>
        </w:rPr>
      </w:pPr>
      <w:r>
        <w:rPr>
          <w:noProof/>
          <w:lang w:val="bs-Latn-BA" w:eastAsia="bs-Latn-BA"/>
        </w:rPr>
        <w:drawing>
          <wp:inline distT="0" distB="0" distL="0" distR="0" wp14:anchorId="66EC011B" wp14:editId="07F63417">
            <wp:extent cx="5611495" cy="1990725"/>
            <wp:effectExtent l="0" t="0" r="825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025DC" w:rsidRPr="00C5016E" w:rsidRDefault="00C025DC" w:rsidP="00C025DC">
      <w:pPr>
        <w:pStyle w:val="Caption"/>
        <w:spacing w:before="0"/>
        <w:rPr>
          <w:rFonts w:ascii="Arial" w:hAnsi="Arial" w:cs="Arial"/>
          <w:b w:val="0"/>
          <w:color w:val="auto"/>
          <w:sz w:val="22"/>
          <w:szCs w:val="24"/>
          <w:lang w:val="hr-HR"/>
        </w:rPr>
      </w:pPr>
      <w:bookmarkStart w:id="37" w:name="_Toc99940819"/>
      <w:r w:rsidRPr="00C5016E">
        <w:rPr>
          <w:rFonts w:ascii="Arial" w:hAnsi="Arial" w:cs="Arial"/>
          <w:color w:val="auto"/>
          <w:sz w:val="22"/>
          <w:szCs w:val="24"/>
          <w:lang w:val="hr-HR"/>
        </w:rPr>
        <w:t xml:space="preserve">Grafikon </w:t>
      </w:r>
      <w:r w:rsidRPr="00C5016E">
        <w:rPr>
          <w:rFonts w:ascii="Arial" w:hAnsi="Arial" w:cs="Arial"/>
          <w:color w:val="auto"/>
          <w:sz w:val="22"/>
          <w:szCs w:val="24"/>
          <w:lang w:val="hr-HR"/>
        </w:rPr>
        <w:fldChar w:fldCharType="begin"/>
      </w:r>
      <w:r w:rsidRPr="00C5016E">
        <w:rPr>
          <w:rFonts w:ascii="Arial" w:hAnsi="Arial" w:cs="Arial"/>
          <w:color w:val="auto"/>
          <w:sz w:val="22"/>
          <w:szCs w:val="24"/>
          <w:lang w:val="hr-HR"/>
        </w:rPr>
        <w:instrText xml:space="preserve"> SEQ Grafikon \* ARABIC </w:instrText>
      </w:r>
      <w:r w:rsidRPr="00C5016E">
        <w:rPr>
          <w:rFonts w:ascii="Arial" w:hAnsi="Arial" w:cs="Arial"/>
          <w:color w:val="auto"/>
          <w:sz w:val="22"/>
          <w:szCs w:val="24"/>
          <w:lang w:val="hr-HR"/>
        </w:rPr>
        <w:fldChar w:fldCharType="separate"/>
      </w:r>
      <w:r w:rsidR="0070505C" w:rsidRPr="00C5016E">
        <w:rPr>
          <w:rFonts w:ascii="Arial" w:hAnsi="Arial" w:cs="Arial"/>
          <w:noProof/>
          <w:color w:val="auto"/>
          <w:sz w:val="22"/>
          <w:szCs w:val="24"/>
          <w:lang w:val="hr-HR"/>
        </w:rPr>
        <w:t>4</w:t>
      </w:r>
      <w:r w:rsidRPr="00C5016E">
        <w:rPr>
          <w:rFonts w:ascii="Arial" w:hAnsi="Arial" w:cs="Arial"/>
          <w:color w:val="auto"/>
          <w:sz w:val="22"/>
          <w:szCs w:val="24"/>
          <w:lang w:val="hr-HR"/>
        </w:rPr>
        <w:fldChar w:fldCharType="end"/>
      </w:r>
      <w:r w:rsidRPr="00C5016E">
        <w:rPr>
          <w:rFonts w:ascii="Arial" w:hAnsi="Arial" w:cs="Arial"/>
          <w:color w:val="auto"/>
          <w:sz w:val="22"/>
          <w:szCs w:val="24"/>
          <w:lang w:val="hr-HR"/>
        </w:rPr>
        <w:t>:</w:t>
      </w:r>
      <w:r w:rsidRPr="00C5016E">
        <w:rPr>
          <w:rFonts w:ascii="Arial" w:hAnsi="Arial" w:cs="Arial"/>
          <w:b w:val="0"/>
          <w:color w:val="auto"/>
          <w:sz w:val="22"/>
          <w:szCs w:val="24"/>
          <w:lang w:val="hr-HR"/>
        </w:rPr>
        <w:t xml:space="preserve"> Kretanje doprinosa za PIO/MIO u 2021. i 2022. godini</w:t>
      </w:r>
      <w:bookmarkEnd w:id="37"/>
    </w:p>
    <w:p w:rsidR="00C025DC" w:rsidRPr="00C5016E" w:rsidRDefault="00DE4C92" w:rsidP="00C025DC">
      <w:r w:rsidRPr="00C5016E">
        <w:lastRenderedPageBreak/>
        <w:t>S</w:t>
      </w:r>
      <w:r w:rsidR="00C025DC" w:rsidRPr="00C5016E">
        <w:t xml:space="preserve"> prethodnog grafika možemo uočiti da su doprinosi za mirovinsko i invalidsko osiguranje u 2022. godini imali rast u odnosu na 2021. godinu. Najveće ostvarenje imali su u </w:t>
      </w:r>
      <w:r w:rsidRPr="00C5016E">
        <w:t>prosinc</w:t>
      </w:r>
      <w:r w:rsidR="00C025DC" w:rsidRPr="00C5016E">
        <w:t>u kada su iznosili 238,5 mili</w:t>
      </w:r>
      <w:r w:rsidR="007F003C">
        <w:t>juna</w:t>
      </w:r>
      <w:r w:rsidR="00C025DC" w:rsidRPr="00C5016E">
        <w:t xml:space="preserve"> KM.</w:t>
      </w:r>
    </w:p>
    <w:p w:rsidR="00C025DC" w:rsidRPr="00C5016E" w:rsidRDefault="00C025DC" w:rsidP="00C025DC">
      <w:pPr>
        <w:pStyle w:val="Heading3"/>
        <w:rPr>
          <w:rFonts w:eastAsia="Batang" w:cs="Arial"/>
          <w:lang w:eastAsia="ko-KR"/>
        </w:rPr>
      </w:pPr>
      <w:bookmarkStart w:id="38" w:name="_Toc131505198"/>
      <w:r w:rsidRPr="00C5016E">
        <w:rPr>
          <w:rFonts w:eastAsia="Batang" w:cs="Arial"/>
          <w:lang w:eastAsia="ko-KR"/>
        </w:rPr>
        <w:t>Prihodi od neizravnih poreza</w:t>
      </w:r>
      <w:bookmarkEnd w:id="38"/>
    </w:p>
    <w:p w:rsidR="00C025DC" w:rsidRPr="00C5016E" w:rsidRDefault="00C025DC" w:rsidP="00C025DC">
      <w:r w:rsidRPr="00C5016E">
        <w:t>Prihodi od neizravnih</w:t>
      </w:r>
      <w:r w:rsidR="00DE4C92" w:rsidRPr="00C5016E">
        <w:t xml:space="preserve"> poreza, s</w:t>
      </w:r>
      <w:r w:rsidRPr="00C5016E">
        <w:t xml:space="preserve"> u</w:t>
      </w:r>
      <w:r w:rsidR="00DE4C92" w:rsidRPr="00C5016E">
        <w:t>djelom</w:t>
      </w:r>
      <w:r w:rsidRPr="00C5016E">
        <w:t xml:space="preserve"> od 34,32% u ukupno ostvarenim prihodima, primicima i financiranju, iznose 1.820,39 </w:t>
      </w:r>
      <w:r w:rsidR="004611A5" w:rsidRPr="00C5016E">
        <w:t>milijun</w:t>
      </w:r>
      <w:r w:rsidRPr="00C5016E">
        <w:t xml:space="preserve">a KM, što je za 127,57 </w:t>
      </w:r>
      <w:r w:rsidR="004611A5" w:rsidRPr="00C5016E">
        <w:t>milijun</w:t>
      </w:r>
      <w:r w:rsidRPr="00C5016E">
        <w:t xml:space="preserve">a KM ili 8% veće ostvarenje u odnosu na planirana sredstva Proračunom Federacije BiH za 2022. godinu i rast od 12% ili 202,14 </w:t>
      </w:r>
      <w:r w:rsidR="004611A5" w:rsidRPr="00C5016E">
        <w:t>milijun</w:t>
      </w:r>
      <w:r w:rsidRPr="00C5016E">
        <w:t>a KM u odn</w:t>
      </w:r>
      <w:r w:rsidR="00017972">
        <w:t>osu na ostvarenje u 2021. godini</w:t>
      </w:r>
      <w:r w:rsidRPr="00C5016E">
        <w:t>, a odnose se na:</w:t>
      </w:r>
    </w:p>
    <w:p w:rsidR="00C025DC" w:rsidRPr="00C5016E" w:rsidRDefault="00C025DC" w:rsidP="00C025DC">
      <w:pPr>
        <w:pStyle w:val="ListParagraph"/>
        <w:numPr>
          <w:ilvl w:val="0"/>
          <w:numId w:val="4"/>
        </w:numPr>
        <w:rPr>
          <w:rFonts w:ascii="Arial" w:hAnsi="Arial" w:cs="Arial"/>
          <w:lang w:val="hr-HR"/>
        </w:rPr>
      </w:pPr>
      <w:r w:rsidRPr="00C5016E">
        <w:rPr>
          <w:rFonts w:ascii="Arial" w:hAnsi="Arial" w:cs="Arial"/>
          <w:lang w:val="hr-HR"/>
        </w:rPr>
        <w:t xml:space="preserve">prihode koji pripadaju federalnom proračunu u iznosu od 1.285,54 </w:t>
      </w:r>
      <w:r w:rsidR="004611A5" w:rsidRPr="00C5016E">
        <w:rPr>
          <w:rFonts w:ascii="Arial" w:hAnsi="Arial" w:cs="Arial"/>
          <w:lang w:val="hr-HR"/>
        </w:rPr>
        <w:t>milijun</w:t>
      </w:r>
      <w:r w:rsidRPr="00C5016E">
        <w:rPr>
          <w:rFonts w:ascii="Arial" w:hAnsi="Arial" w:cs="Arial"/>
          <w:lang w:val="hr-HR"/>
        </w:rPr>
        <w:t xml:space="preserve">a KM, što je za 176,69 </w:t>
      </w:r>
      <w:r w:rsidR="004611A5" w:rsidRPr="00C5016E">
        <w:rPr>
          <w:rFonts w:ascii="Arial" w:hAnsi="Arial" w:cs="Arial"/>
          <w:lang w:val="hr-HR"/>
        </w:rPr>
        <w:t>milijun</w:t>
      </w:r>
      <w:r w:rsidRPr="00C5016E">
        <w:rPr>
          <w:rFonts w:ascii="Arial" w:hAnsi="Arial" w:cs="Arial"/>
          <w:lang w:val="hr-HR"/>
        </w:rPr>
        <w:t>a KM ili za 16% veće ostva</w:t>
      </w:r>
      <w:r w:rsidR="00DE4C92" w:rsidRPr="00C5016E">
        <w:rPr>
          <w:rFonts w:ascii="Arial" w:hAnsi="Arial" w:cs="Arial"/>
          <w:lang w:val="hr-HR"/>
        </w:rPr>
        <w:t>renje u odnosu na 2021 godinu</w:t>
      </w:r>
    </w:p>
    <w:p w:rsidR="00C025DC" w:rsidRPr="00C5016E" w:rsidRDefault="00C025DC" w:rsidP="00C025DC">
      <w:pPr>
        <w:pStyle w:val="ListParagraph"/>
        <w:numPr>
          <w:ilvl w:val="0"/>
          <w:numId w:val="4"/>
        </w:numPr>
        <w:rPr>
          <w:rFonts w:ascii="Arial" w:hAnsi="Arial" w:cs="Arial"/>
          <w:lang w:val="hr-HR"/>
        </w:rPr>
      </w:pPr>
      <w:r w:rsidRPr="00C5016E">
        <w:rPr>
          <w:rFonts w:ascii="Arial" w:hAnsi="Arial" w:cs="Arial"/>
          <w:lang w:val="hr-HR"/>
        </w:rPr>
        <w:t xml:space="preserve">prihode na ime financiranja vanjskog duga Federacije BIH u iznosu od 534,85 </w:t>
      </w:r>
      <w:r w:rsidR="004611A5" w:rsidRPr="00C5016E">
        <w:rPr>
          <w:rFonts w:ascii="Arial" w:hAnsi="Arial" w:cs="Arial"/>
          <w:lang w:val="hr-HR"/>
        </w:rPr>
        <w:t>milijun</w:t>
      </w:r>
      <w:r w:rsidRPr="00C5016E">
        <w:rPr>
          <w:rFonts w:ascii="Arial" w:hAnsi="Arial" w:cs="Arial"/>
          <w:lang w:val="hr-HR"/>
        </w:rPr>
        <w:t xml:space="preserve">a KM, što je za 25,45 </w:t>
      </w:r>
      <w:r w:rsidR="004611A5" w:rsidRPr="00C5016E">
        <w:rPr>
          <w:rFonts w:ascii="Arial" w:hAnsi="Arial" w:cs="Arial"/>
          <w:lang w:val="hr-HR"/>
        </w:rPr>
        <w:t>milijun</w:t>
      </w:r>
      <w:r w:rsidRPr="00C5016E">
        <w:rPr>
          <w:rFonts w:ascii="Arial" w:hAnsi="Arial" w:cs="Arial"/>
          <w:lang w:val="hr-HR"/>
        </w:rPr>
        <w:t>a KM ili za 5% veće ostvarenje u odnosu na prethodnu godinu.</w:t>
      </w:r>
    </w:p>
    <w:p w:rsidR="00C025DC" w:rsidRPr="00C5016E" w:rsidRDefault="00C025DC" w:rsidP="00C025DC">
      <w:pPr>
        <w:spacing w:before="0" w:after="0"/>
        <w:rPr>
          <w:rFonts w:cs="Arial"/>
          <w:szCs w:val="24"/>
        </w:rPr>
      </w:pPr>
      <w:r w:rsidRPr="00C5016E">
        <w:rPr>
          <w:rFonts w:cs="Arial"/>
          <w:szCs w:val="24"/>
        </w:rPr>
        <w:t>Na sljedećem grafikonu prikazana je krivulja ostvarenih prihoda od neizravnih poreza koji pripadaju Federaciji u 2021. i 2022. godini:</w:t>
      </w:r>
    </w:p>
    <w:p w:rsidR="00C025DC" w:rsidRPr="00C5016E" w:rsidRDefault="00C025DC" w:rsidP="00C025DC">
      <w:pPr>
        <w:spacing w:before="0" w:after="0"/>
        <w:rPr>
          <w:rFonts w:cs="Arial"/>
          <w:szCs w:val="24"/>
        </w:rPr>
      </w:pPr>
    </w:p>
    <w:p w:rsidR="00C025DC" w:rsidRPr="00C5016E" w:rsidRDefault="00CB0334" w:rsidP="00C025DC">
      <w:pPr>
        <w:spacing w:before="0" w:after="0"/>
        <w:rPr>
          <w:rFonts w:cs="Arial"/>
          <w:szCs w:val="24"/>
        </w:rPr>
      </w:pPr>
      <w:r>
        <w:rPr>
          <w:noProof/>
          <w:lang w:val="bs-Latn-BA" w:eastAsia="bs-Latn-BA"/>
        </w:rPr>
        <w:drawing>
          <wp:inline distT="0" distB="0" distL="0" distR="0" wp14:anchorId="312C4D4E" wp14:editId="5B26A680">
            <wp:extent cx="5636895" cy="2822713"/>
            <wp:effectExtent l="0" t="0" r="1905" b="158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025DC" w:rsidRPr="00C5016E" w:rsidRDefault="00C025DC" w:rsidP="00C025DC">
      <w:pPr>
        <w:tabs>
          <w:tab w:val="left" w:pos="993"/>
        </w:tabs>
        <w:spacing w:before="0" w:after="0"/>
        <w:jc w:val="right"/>
        <w:rPr>
          <w:rFonts w:cs="Arial"/>
          <w:b/>
          <w:bCs/>
          <w:sz w:val="22"/>
        </w:rPr>
      </w:pPr>
    </w:p>
    <w:p w:rsidR="00C025DC" w:rsidRPr="00C5016E" w:rsidRDefault="00C025DC" w:rsidP="00C025DC">
      <w:pPr>
        <w:pStyle w:val="Caption"/>
        <w:spacing w:before="0" w:after="0"/>
        <w:rPr>
          <w:rFonts w:ascii="Arial" w:hAnsi="Arial" w:cs="Arial"/>
          <w:b w:val="0"/>
          <w:color w:val="auto"/>
          <w:sz w:val="22"/>
          <w:szCs w:val="24"/>
          <w:lang w:val="hr-HR"/>
        </w:rPr>
      </w:pPr>
      <w:bookmarkStart w:id="39" w:name="_Toc99940820"/>
      <w:r w:rsidRPr="00C5016E">
        <w:rPr>
          <w:rFonts w:ascii="Arial" w:hAnsi="Arial" w:cs="Arial"/>
          <w:color w:val="auto"/>
          <w:sz w:val="22"/>
          <w:szCs w:val="24"/>
          <w:lang w:val="hr-HR"/>
        </w:rPr>
        <w:t xml:space="preserve">Grafikon </w:t>
      </w:r>
      <w:r w:rsidRPr="00C5016E">
        <w:rPr>
          <w:rFonts w:ascii="Arial" w:hAnsi="Arial" w:cs="Arial"/>
          <w:color w:val="auto"/>
          <w:sz w:val="22"/>
          <w:szCs w:val="24"/>
          <w:lang w:val="hr-HR"/>
        </w:rPr>
        <w:fldChar w:fldCharType="begin"/>
      </w:r>
      <w:r w:rsidRPr="00C5016E">
        <w:rPr>
          <w:rFonts w:ascii="Arial" w:hAnsi="Arial" w:cs="Arial"/>
          <w:color w:val="auto"/>
          <w:sz w:val="22"/>
          <w:szCs w:val="24"/>
          <w:lang w:val="hr-HR"/>
        </w:rPr>
        <w:instrText xml:space="preserve"> SEQ Grafikon \* ARABIC </w:instrText>
      </w:r>
      <w:r w:rsidRPr="00C5016E">
        <w:rPr>
          <w:rFonts w:ascii="Arial" w:hAnsi="Arial" w:cs="Arial"/>
          <w:color w:val="auto"/>
          <w:sz w:val="22"/>
          <w:szCs w:val="24"/>
          <w:lang w:val="hr-HR"/>
        </w:rPr>
        <w:fldChar w:fldCharType="separate"/>
      </w:r>
      <w:r w:rsidR="0070505C" w:rsidRPr="00C5016E">
        <w:rPr>
          <w:rFonts w:ascii="Arial" w:hAnsi="Arial" w:cs="Arial"/>
          <w:noProof/>
          <w:color w:val="auto"/>
          <w:sz w:val="22"/>
          <w:szCs w:val="24"/>
          <w:lang w:val="hr-HR"/>
        </w:rPr>
        <w:t>5</w:t>
      </w:r>
      <w:r w:rsidRPr="00C5016E">
        <w:rPr>
          <w:rFonts w:ascii="Arial" w:hAnsi="Arial" w:cs="Arial"/>
          <w:color w:val="auto"/>
          <w:sz w:val="22"/>
          <w:szCs w:val="24"/>
          <w:lang w:val="hr-HR"/>
        </w:rPr>
        <w:fldChar w:fldCharType="end"/>
      </w:r>
      <w:r w:rsidRPr="00C5016E">
        <w:rPr>
          <w:rFonts w:ascii="Arial" w:hAnsi="Arial" w:cs="Arial"/>
          <w:color w:val="auto"/>
          <w:sz w:val="22"/>
          <w:szCs w:val="24"/>
          <w:lang w:val="hr-HR"/>
        </w:rPr>
        <w:t>:</w:t>
      </w:r>
      <w:r w:rsidRPr="00C5016E">
        <w:rPr>
          <w:rFonts w:ascii="Arial" w:hAnsi="Arial" w:cs="Arial"/>
          <w:b w:val="0"/>
          <w:color w:val="auto"/>
          <w:sz w:val="22"/>
          <w:szCs w:val="24"/>
          <w:lang w:val="hr-HR"/>
        </w:rPr>
        <w:t xml:space="preserve"> Ostvareni prihodi od neizravnih poreza koji pripadaju Federaciji BiH za </w:t>
      </w:r>
      <w:r w:rsidR="00DE4C92" w:rsidRPr="00C5016E">
        <w:rPr>
          <w:rFonts w:ascii="Arial" w:hAnsi="Arial" w:cs="Arial"/>
          <w:b w:val="0"/>
          <w:color w:val="auto"/>
          <w:sz w:val="22"/>
          <w:szCs w:val="24"/>
          <w:lang w:val="hr-HR"/>
        </w:rPr>
        <w:t>razdoblje</w:t>
      </w:r>
      <w:r w:rsidRPr="00C5016E">
        <w:rPr>
          <w:rFonts w:ascii="Arial" w:hAnsi="Arial" w:cs="Arial"/>
          <w:b w:val="0"/>
          <w:color w:val="auto"/>
          <w:sz w:val="22"/>
          <w:szCs w:val="24"/>
          <w:lang w:val="hr-HR"/>
        </w:rPr>
        <w:t xml:space="preserve"> </w:t>
      </w:r>
      <w:r w:rsidR="00DE4C92" w:rsidRPr="00C5016E">
        <w:rPr>
          <w:rFonts w:ascii="Arial" w:hAnsi="Arial" w:cs="Arial"/>
          <w:b w:val="0"/>
          <w:color w:val="auto"/>
          <w:sz w:val="22"/>
          <w:szCs w:val="24"/>
          <w:lang w:val="hr-HR"/>
        </w:rPr>
        <w:t>siječnja - prosinac</w:t>
      </w:r>
      <w:r w:rsidRPr="00C5016E">
        <w:rPr>
          <w:rFonts w:ascii="Arial" w:hAnsi="Arial" w:cs="Arial"/>
          <w:b w:val="0"/>
          <w:color w:val="auto"/>
          <w:sz w:val="22"/>
          <w:szCs w:val="24"/>
          <w:lang w:val="hr-HR"/>
        </w:rPr>
        <w:t xml:space="preserve"> 2021. i 2022. godine</w:t>
      </w:r>
      <w:bookmarkEnd w:id="39"/>
    </w:p>
    <w:p w:rsidR="00C025DC" w:rsidRPr="00C5016E" w:rsidRDefault="00DE4C92" w:rsidP="00C025DC">
      <w:r w:rsidRPr="00C5016E">
        <w:t xml:space="preserve">Promatrajući </w:t>
      </w:r>
      <w:r w:rsidR="00C025DC" w:rsidRPr="00C5016E">
        <w:t>kretanje ostvarenih prihoda od neizravnih poreza koji pripadaju Federaciji BiH uočavamo da su u prvoj polovi</w:t>
      </w:r>
      <w:r w:rsidRPr="00C5016E">
        <w:t xml:space="preserve">ci </w:t>
      </w:r>
      <w:r w:rsidR="00C025DC" w:rsidRPr="00C5016E">
        <w:t xml:space="preserve">2022. godine imali </w:t>
      </w:r>
      <w:r w:rsidRPr="00C5016E">
        <w:t>značajan</w:t>
      </w:r>
      <w:r w:rsidR="00C025DC" w:rsidRPr="00C5016E">
        <w:t xml:space="preserve"> rast u odnosu na </w:t>
      </w:r>
      <w:r w:rsidRPr="00C5016E">
        <w:t xml:space="preserve">isto razdoblje 2021. godine </w:t>
      </w:r>
      <w:r w:rsidR="00C025DC" w:rsidRPr="00C5016E">
        <w:t xml:space="preserve">(u razdoblju </w:t>
      </w:r>
      <w:r w:rsidRPr="00C5016E">
        <w:t>siječanj</w:t>
      </w:r>
      <w:r w:rsidR="00C025DC" w:rsidRPr="00C5016E">
        <w:t xml:space="preserve"> – </w:t>
      </w:r>
      <w:r w:rsidRPr="00C5016E">
        <w:t>lipanj</w:t>
      </w:r>
      <w:r w:rsidR="00C025DC" w:rsidRPr="00C5016E">
        <w:t xml:space="preserve"> 2022. godine prihodi od neizravnih poreza bili su veći za 129,2 </w:t>
      </w:r>
      <w:r w:rsidR="004611A5" w:rsidRPr="00C5016E">
        <w:t>milijun</w:t>
      </w:r>
      <w:r w:rsidR="00C025DC" w:rsidRPr="00C5016E">
        <w:t xml:space="preserve">a KM u odnosu na </w:t>
      </w:r>
      <w:r w:rsidRPr="00C5016E">
        <w:t xml:space="preserve">isto </w:t>
      </w:r>
      <w:r w:rsidRPr="00C5016E">
        <w:lastRenderedPageBreak/>
        <w:t>razdoblje</w:t>
      </w:r>
      <w:r w:rsidR="00C025DC" w:rsidRPr="00C5016E">
        <w:t xml:space="preserve"> 2021. godine). U drugoj polovi</w:t>
      </w:r>
      <w:r w:rsidRPr="00C5016E">
        <w:t>c</w:t>
      </w:r>
      <w:r w:rsidR="00C025DC" w:rsidRPr="00C5016E">
        <w:t xml:space="preserve">i 2022. godine nastavljena </w:t>
      </w:r>
      <w:r w:rsidRPr="00C5016E">
        <w:t xml:space="preserve">je </w:t>
      </w:r>
      <w:r w:rsidR="00C025DC" w:rsidRPr="00C5016E">
        <w:t>tendencija rasta, ali ne tako izražena kao u prvoj polovi</w:t>
      </w:r>
      <w:r w:rsidRPr="00C5016E">
        <w:t>c</w:t>
      </w:r>
      <w:r w:rsidR="00C025DC" w:rsidRPr="00C5016E">
        <w:t xml:space="preserve">i godine. Najveći prihodi od neizravnih poreza u 2022. godini ostvareni su u </w:t>
      </w:r>
      <w:r w:rsidRPr="00C5016E">
        <w:t>lipnju</w:t>
      </w:r>
      <w:r w:rsidR="00C025DC" w:rsidRPr="00C5016E">
        <w:t xml:space="preserve"> kada su iznosili 121,5 </w:t>
      </w:r>
      <w:r w:rsidR="004611A5" w:rsidRPr="00C5016E">
        <w:t>milijun</w:t>
      </w:r>
      <w:r w:rsidR="00C025DC" w:rsidRPr="00C5016E">
        <w:t xml:space="preserve">a KM. </w:t>
      </w:r>
    </w:p>
    <w:p w:rsidR="00C025DC" w:rsidRPr="00C5016E" w:rsidRDefault="00C025DC" w:rsidP="00C025DC">
      <w:r w:rsidRPr="00C5016E">
        <w:t>Jedan od osnovnih uzroka rasta prihoda od neizravnih poreza jeste inflacija koja je prema pokazateljima Centralne banke BiH u 2022. godini iznosila oko 14 %.</w:t>
      </w:r>
    </w:p>
    <w:p w:rsidR="00C025DC" w:rsidRPr="00C5016E" w:rsidRDefault="00C025DC" w:rsidP="00C025DC">
      <w:pPr>
        <w:pStyle w:val="Heading3"/>
        <w:rPr>
          <w:rFonts w:eastAsia="Batang" w:cs="Arial"/>
          <w:lang w:eastAsia="ko-KR"/>
        </w:rPr>
      </w:pPr>
      <w:bookmarkStart w:id="40" w:name="_Toc131505199"/>
      <w:r w:rsidRPr="00C5016E">
        <w:rPr>
          <w:rFonts w:eastAsia="Batang" w:cs="Arial"/>
          <w:lang w:eastAsia="ko-KR"/>
        </w:rPr>
        <w:t>Ostali porezi</w:t>
      </w:r>
      <w:bookmarkEnd w:id="40"/>
      <w:r w:rsidRPr="00C5016E">
        <w:rPr>
          <w:rFonts w:eastAsia="Batang" w:cs="Arial"/>
          <w:lang w:eastAsia="ko-KR"/>
        </w:rPr>
        <w:tab/>
      </w:r>
    </w:p>
    <w:p w:rsidR="00C025DC" w:rsidRPr="00C5016E" w:rsidRDefault="00C025DC" w:rsidP="00C025DC">
      <w:pPr>
        <w:rPr>
          <w:rFonts w:eastAsia="Batang"/>
          <w:lang w:eastAsia="ko-KR"/>
        </w:rPr>
      </w:pPr>
      <w:r w:rsidRPr="00C5016E">
        <w:rPr>
          <w:rFonts w:eastAsia="Batang"/>
          <w:lang w:eastAsia="ko-KR"/>
        </w:rPr>
        <w:t>Ostali porezi: poseban porez za zaštitu od prirodnih i drugih nesreća po osnov</w:t>
      </w:r>
      <w:r w:rsidR="00DE4C92" w:rsidRPr="00C5016E">
        <w:rPr>
          <w:rFonts w:eastAsia="Batang"/>
          <w:lang w:eastAsia="ko-KR"/>
        </w:rPr>
        <w:t>i ugovora o djelu (zaostale ob</w:t>
      </w:r>
      <w:r w:rsidRPr="00C5016E">
        <w:rPr>
          <w:rFonts w:eastAsia="Batang"/>
          <w:lang w:eastAsia="ko-KR"/>
        </w:rPr>
        <w:t>veze), te prihodi po osnov</w:t>
      </w:r>
      <w:r w:rsidR="00DE4C92" w:rsidRPr="00C5016E">
        <w:rPr>
          <w:rFonts w:eastAsia="Batang"/>
          <w:lang w:eastAsia="ko-KR"/>
        </w:rPr>
        <w:t>i zaostalih ob</w:t>
      </w:r>
      <w:r w:rsidRPr="00C5016E">
        <w:rPr>
          <w:rFonts w:eastAsia="Batang"/>
          <w:lang w:eastAsia="ko-KR"/>
        </w:rPr>
        <w:t xml:space="preserve">veza ostvareni su u ukupnom iznosu od 42 </w:t>
      </w:r>
      <w:r w:rsidR="004611A5" w:rsidRPr="00C5016E">
        <w:rPr>
          <w:rFonts w:eastAsia="Batang"/>
          <w:lang w:eastAsia="ko-KR"/>
        </w:rPr>
        <w:t>tisuć</w:t>
      </w:r>
      <w:r w:rsidRPr="00C5016E">
        <w:rPr>
          <w:rFonts w:eastAsia="Batang"/>
          <w:lang w:eastAsia="ko-KR"/>
        </w:rPr>
        <w:t xml:space="preserve">e KM, što je za 14 </w:t>
      </w:r>
      <w:r w:rsidR="004611A5" w:rsidRPr="00C5016E">
        <w:rPr>
          <w:rFonts w:eastAsia="Batang"/>
          <w:lang w:eastAsia="ko-KR"/>
        </w:rPr>
        <w:t>tisuć</w:t>
      </w:r>
      <w:r w:rsidRPr="00C5016E">
        <w:rPr>
          <w:rFonts w:eastAsia="Batang"/>
          <w:lang w:eastAsia="ko-KR"/>
        </w:rPr>
        <w:t xml:space="preserve">a KM veće ostvarenje od planiranih u Proračunu Federacije za 2022. godinu i za 24 </w:t>
      </w:r>
      <w:r w:rsidR="004611A5" w:rsidRPr="00C5016E">
        <w:rPr>
          <w:rFonts w:eastAsia="Batang"/>
          <w:lang w:eastAsia="ko-KR"/>
        </w:rPr>
        <w:t>tisuć</w:t>
      </w:r>
      <w:r w:rsidRPr="00C5016E">
        <w:rPr>
          <w:rFonts w:eastAsia="Batang"/>
          <w:lang w:eastAsia="ko-KR"/>
        </w:rPr>
        <w:t>e KM, odnosno 233% veće ostvarenje u odnosu na 2021. godinu.</w:t>
      </w:r>
    </w:p>
    <w:p w:rsidR="00C025DC" w:rsidRPr="00C5016E" w:rsidRDefault="00C025DC" w:rsidP="00C025DC">
      <w:pPr>
        <w:numPr>
          <w:ilvl w:val="0"/>
          <w:numId w:val="1"/>
        </w:numPr>
        <w:spacing w:after="0"/>
        <w:contextualSpacing/>
        <w:rPr>
          <w:rFonts w:eastAsia="Batang"/>
          <w:b/>
          <w:vanish/>
          <w:szCs w:val="24"/>
          <w:lang w:eastAsia="ko-KR"/>
        </w:rPr>
      </w:pPr>
    </w:p>
    <w:p w:rsidR="00C025DC" w:rsidRPr="00C5016E" w:rsidRDefault="00C025DC" w:rsidP="00C025DC">
      <w:pPr>
        <w:numPr>
          <w:ilvl w:val="0"/>
          <w:numId w:val="1"/>
        </w:numPr>
        <w:spacing w:after="0"/>
        <w:contextualSpacing/>
        <w:rPr>
          <w:rFonts w:eastAsia="Batang"/>
          <w:b/>
          <w:vanish/>
          <w:szCs w:val="24"/>
          <w:lang w:eastAsia="ko-KR"/>
        </w:rPr>
      </w:pPr>
    </w:p>
    <w:p w:rsidR="00C025DC" w:rsidRPr="00C5016E" w:rsidRDefault="00C025DC" w:rsidP="00C025DC">
      <w:pPr>
        <w:pStyle w:val="Heading2"/>
        <w:rPr>
          <w:rFonts w:ascii="Arial" w:hAnsi="Arial" w:cs="Arial"/>
        </w:rPr>
      </w:pPr>
      <w:bookmarkStart w:id="41" w:name="_Toc9470700"/>
      <w:bookmarkStart w:id="42" w:name="_Toc9470797"/>
      <w:bookmarkStart w:id="43" w:name="_Toc9470830"/>
      <w:bookmarkStart w:id="44" w:name="_Toc9470930"/>
      <w:bookmarkStart w:id="45" w:name="_Toc9473013"/>
      <w:bookmarkStart w:id="46" w:name="_Toc9545253"/>
      <w:bookmarkStart w:id="47" w:name="_Toc9545343"/>
      <w:bookmarkStart w:id="48" w:name="_Toc9545466"/>
      <w:bookmarkStart w:id="49" w:name="_Toc131505200"/>
      <w:bookmarkEnd w:id="41"/>
      <w:bookmarkEnd w:id="42"/>
      <w:bookmarkEnd w:id="43"/>
      <w:bookmarkEnd w:id="44"/>
      <w:bookmarkEnd w:id="45"/>
      <w:bookmarkEnd w:id="46"/>
      <w:bookmarkEnd w:id="47"/>
      <w:bookmarkEnd w:id="48"/>
      <w:r w:rsidRPr="00C5016E">
        <w:rPr>
          <w:rFonts w:ascii="Arial" w:hAnsi="Arial" w:cs="Arial"/>
        </w:rPr>
        <w:t>Neporezni prihodi</w:t>
      </w:r>
      <w:bookmarkEnd w:id="49"/>
    </w:p>
    <w:p w:rsidR="00C025DC" w:rsidRPr="00C5016E" w:rsidRDefault="00C025DC" w:rsidP="00C025DC">
      <w:r w:rsidRPr="00C5016E">
        <w:rPr>
          <w:bCs/>
        </w:rPr>
        <w:t xml:space="preserve">Neporezni prihodi </w:t>
      </w:r>
      <w:r w:rsidRPr="00C5016E">
        <w:t xml:space="preserve">(prihodi od poduzetničkih aktivnosti i imovine, naknade, </w:t>
      </w:r>
      <w:r w:rsidR="00DE4C92" w:rsidRPr="00C5016E">
        <w:t>pristojbe</w:t>
      </w:r>
      <w:r w:rsidRPr="00C5016E">
        <w:t xml:space="preserve">, novčane kazne i ostali neporezni prihodi) planirani su u iznosu od 488,12 </w:t>
      </w:r>
      <w:r w:rsidR="004611A5" w:rsidRPr="00C5016E">
        <w:t>milijun</w:t>
      </w:r>
      <w:r w:rsidRPr="00C5016E">
        <w:t xml:space="preserve">a KM, od čega je ostvareno 400,53 </w:t>
      </w:r>
      <w:r w:rsidR="004611A5" w:rsidRPr="00C5016E">
        <w:t>milijun</w:t>
      </w:r>
      <w:r w:rsidRPr="00C5016E">
        <w:t xml:space="preserve">a KM, što je 82% planiranog u Proračunu Federacije BiH za 2022. godinu. U odnosu na prethodnu godinu ostvarenje je manje za 13% ili 61,22 </w:t>
      </w:r>
      <w:r w:rsidR="004611A5" w:rsidRPr="00C5016E">
        <w:t>milijun</w:t>
      </w:r>
      <w:r w:rsidRPr="00C5016E">
        <w:t xml:space="preserve">a KM.  </w:t>
      </w:r>
    </w:p>
    <w:p w:rsidR="00C025DC" w:rsidRPr="00C5016E" w:rsidRDefault="00C025DC" w:rsidP="00C025DC">
      <w:r w:rsidRPr="00C5016E">
        <w:t>Ostvarenje neporeznih prihoda po glavnim kategorijama je:</w:t>
      </w:r>
    </w:p>
    <w:p w:rsidR="00C025DC" w:rsidRPr="00C5016E" w:rsidRDefault="00C025DC" w:rsidP="00C025DC">
      <w:pPr>
        <w:pStyle w:val="ListParagraph"/>
        <w:numPr>
          <w:ilvl w:val="0"/>
          <w:numId w:val="5"/>
        </w:numPr>
        <w:rPr>
          <w:rFonts w:ascii="Arial" w:hAnsi="Arial" w:cs="Arial"/>
          <w:lang w:val="hr-HR"/>
        </w:rPr>
      </w:pPr>
      <w:r w:rsidRPr="00C5016E">
        <w:rPr>
          <w:rFonts w:ascii="Arial" w:hAnsi="Arial" w:cs="Arial"/>
          <w:lang w:val="hr-HR"/>
        </w:rPr>
        <w:t xml:space="preserve">prihodi od poduzetničkih aktivnosti i imovine iznose 237,9 </w:t>
      </w:r>
      <w:r w:rsidR="004611A5" w:rsidRPr="00C5016E">
        <w:rPr>
          <w:rFonts w:ascii="Arial" w:hAnsi="Arial" w:cs="Arial"/>
          <w:lang w:val="hr-HR"/>
        </w:rPr>
        <w:t>milijun</w:t>
      </w:r>
      <w:r w:rsidR="00DE4C92" w:rsidRPr="00C5016E">
        <w:rPr>
          <w:rFonts w:ascii="Arial" w:hAnsi="Arial" w:cs="Arial"/>
          <w:lang w:val="hr-HR"/>
        </w:rPr>
        <w:t>a KM</w:t>
      </w:r>
    </w:p>
    <w:p w:rsidR="00C025DC" w:rsidRPr="00C5016E" w:rsidRDefault="00C025DC" w:rsidP="00C025DC">
      <w:pPr>
        <w:pStyle w:val="ListParagraph"/>
        <w:numPr>
          <w:ilvl w:val="0"/>
          <w:numId w:val="5"/>
        </w:numPr>
        <w:rPr>
          <w:rFonts w:ascii="Arial" w:hAnsi="Arial" w:cs="Arial"/>
          <w:lang w:val="hr-HR"/>
        </w:rPr>
      </w:pPr>
      <w:r w:rsidRPr="00C5016E">
        <w:rPr>
          <w:rFonts w:ascii="Arial" w:hAnsi="Arial" w:cs="Arial"/>
          <w:lang w:val="hr-HR"/>
        </w:rPr>
        <w:t xml:space="preserve">naknade, </w:t>
      </w:r>
      <w:r w:rsidR="00DE4C92" w:rsidRPr="00C5016E">
        <w:rPr>
          <w:rFonts w:ascii="Arial" w:hAnsi="Arial" w:cs="Arial"/>
          <w:lang w:val="hr-HR"/>
        </w:rPr>
        <w:t>pristojbe</w:t>
      </w:r>
      <w:r w:rsidRPr="00C5016E">
        <w:rPr>
          <w:rFonts w:ascii="Arial" w:hAnsi="Arial" w:cs="Arial"/>
          <w:lang w:val="hr-HR"/>
        </w:rPr>
        <w:t xml:space="preserve"> i prihodi od pružanja javnih usluga iznose 148,46 </w:t>
      </w:r>
      <w:r w:rsidR="004611A5" w:rsidRPr="00C5016E">
        <w:rPr>
          <w:rFonts w:ascii="Arial" w:hAnsi="Arial" w:cs="Arial"/>
          <w:lang w:val="hr-HR"/>
        </w:rPr>
        <w:t>milijun</w:t>
      </w:r>
      <w:r w:rsidR="00DE4C92" w:rsidRPr="00C5016E">
        <w:rPr>
          <w:rFonts w:ascii="Arial" w:hAnsi="Arial" w:cs="Arial"/>
          <w:lang w:val="hr-HR"/>
        </w:rPr>
        <w:t>a KM</w:t>
      </w:r>
    </w:p>
    <w:p w:rsidR="00C025DC" w:rsidRPr="00C5016E" w:rsidRDefault="00C025DC" w:rsidP="00C025DC">
      <w:pPr>
        <w:pStyle w:val="ListParagraph"/>
        <w:numPr>
          <w:ilvl w:val="0"/>
          <w:numId w:val="5"/>
        </w:numPr>
        <w:rPr>
          <w:rFonts w:ascii="Arial" w:hAnsi="Arial" w:cs="Arial"/>
          <w:lang w:val="hr-HR"/>
        </w:rPr>
      </w:pPr>
      <w:r w:rsidRPr="00C5016E">
        <w:rPr>
          <w:rFonts w:ascii="Arial" w:hAnsi="Arial" w:cs="Arial"/>
          <w:lang w:val="hr-HR"/>
        </w:rPr>
        <w:t xml:space="preserve">novčane kazne iznose 14,17 </w:t>
      </w:r>
      <w:r w:rsidR="004611A5" w:rsidRPr="00C5016E">
        <w:rPr>
          <w:rFonts w:ascii="Arial" w:hAnsi="Arial" w:cs="Arial"/>
          <w:lang w:val="hr-HR"/>
        </w:rPr>
        <w:t>milijun</w:t>
      </w:r>
      <w:r w:rsidR="00DE4C92" w:rsidRPr="00C5016E">
        <w:rPr>
          <w:rFonts w:ascii="Arial" w:hAnsi="Arial" w:cs="Arial"/>
          <w:lang w:val="hr-HR"/>
        </w:rPr>
        <w:t>a KM.</w:t>
      </w:r>
    </w:p>
    <w:p w:rsidR="00C025DC" w:rsidRPr="00C5016E" w:rsidRDefault="00DE4C92" w:rsidP="00C025DC">
      <w:pPr>
        <w:rPr>
          <w:bCs/>
        </w:rPr>
      </w:pPr>
      <w:r w:rsidRPr="00C5016E">
        <w:rPr>
          <w:bCs/>
        </w:rPr>
        <w:t>Udjel</w:t>
      </w:r>
      <w:r w:rsidR="00C025DC" w:rsidRPr="00C5016E">
        <w:rPr>
          <w:bCs/>
        </w:rPr>
        <w:t xml:space="preserve"> pojedinih stavki prihoda u ukupnim neporeznim prihodima je prikazan u nastavku.</w:t>
      </w:r>
    </w:p>
    <w:p w:rsidR="00C025DC" w:rsidRPr="00C5016E" w:rsidRDefault="00CB0334" w:rsidP="00C025DC">
      <w:pPr>
        <w:spacing w:before="0" w:after="0"/>
        <w:rPr>
          <w:rFonts w:cs="Arial"/>
          <w:bCs/>
          <w:szCs w:val="24"/>
        </w:rPr>
      </w:pPr>
      <w:r>
        <w:rPr>
          <w:noProof/>
          <w:lang w:val="bs-Latn-BA" w:eastAsia="bs-Latn-BA"/>
        </w:rPr>
        <w:lastRenderedPageBreak/>
        <w:drawing>
          <wp:inline distT="0" distB="0" distL="0" distR="0" wp14:anchorId="41B03351" wp14:editId="3E56ABAA">
            <wp:extent cx="5611495" cy="3060700"/>
            <wp:effectExtent l="0" t="0" r="8255" b="63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025DC" w:rsidRPr="00C5016E" w:rsidRDefault="00C025DC" w:rsidP="00C025DC">
      <w:pPr>
        <w:pStyle w:val="Caption"/>
        <w:spacing w:before="0" w:after="0"/>
        <w:rPr>
          <w:rFonts w:ascii="Arial" w:hAnsi="Arial" w:cs="Arial"/>
          <w:b w:val="0"/>
          <w:color w:val="auto"/>
          <w:sz w:val="22"/>
          <w:szCs w:val="24"/>
          <w:lang w:val="hr-HR"/>
        </w:rPr>
      </w:pPr>
      <w:bookmarkStart w:id="50" w:name="_Toc99940821"/>
      <w:r w:rsidRPr="00C5016E">
        <w:rPr>
          <w:rFonts w:ascii="Arial" w:hAnsi="Arial" w:cs="Arial"/>
          <w:color w:val="auto"/>
          <w:sz w:val="22"/>
          <w:szCs w:val="24"/>
          <w:lang w:val="hr-HR"/>
        </w:rPr>
        <w:t xml:space="preserve">Grafikon </w:t>
      </w:r>
      <w:r w:rsidRPr="00C5016E">
        <w:rPr>
          <w:rFonts w:ascii="Arial" w:hAnsi="Arial" w:cs="Arial"/>
          <w:color w:val="auto"/>
          <w:sz w:val="22"/>
          <w:szCs w:val="24"/>
          <w:lang w:val="hr-HR"/>
        </w:rPr>
        <w:fldChar w:fldCharType="begin"/>
      </w:r>
      <w:r w:rsidRPr="00C5016E">
        <w:rPr>
          <w:rFonts w:ascii="Arial" w:hAnsi="Arial" w:cs="Arial"/>
          <w:color w:val="auto"/>
          <w:sz w:val="22"/>
          <w:szCs w:val="24"/>
          <w:lang w:val="hr-HR"/>
        </w:rPr>
        <w:instrText xml:space="preserve"> SEQ Grafikon \* ARABIC </w:instrText>
      </w:r>
      <w:r w:rsidRPr="00C5016E">
        <w:rPr>
          <w:rFonts w:ascii="Arial" w:hAnsi="Arial" w:cs="Arial"/>
          <w:color w:val="auto"/>
          <w:sz w:val="22"/>
          <w:szCs w:val="24"/>
          <w:lang w:val="hr-HR"/>
        </w:rPr>
        <w:fldChar w:fldCharType="separate"/>
      </w:r>
      <w:r w:rsidR="0070505C" w:rsidRPr="00C5016E">
        <w:rPr>
          <w:rFonts w:ascii="Arial" w:hAnsi="Arial" w:cs="Arial"/>
          <w:noProof/>
          <w:color w:val="auto"/>
          <w:sz w:val="22"/>
          <w:szCs w:val="24"/>
          <w:lang w:val="hr-HR"/>
        </w:rPr>
        <w:t>6</w:t>
      </w:r>
      <w:r w:rsidRPr="00C5016E">
        <w:rPr>
          <w:rFonts w:ascii="Arial" w:hAnsi="Arial" w:cs="Arial"/>
          <w:color w:val="auto"/>
          <w:sz w:val="22"/>
          <w:szCs w:val="24"/>
          <w:lang w:val="hr-HR"/>
        </w:rPr>
        <w:fldChar w:fldCharType="end"/>
      </w:r>
      <w:r w:rsidRPr="00C5016E">
        <w:rPr>
          <w:rFonts w:ascii="Arial" w:hAnsi="Arial" w:cs="Arial"/>
          <w:color w:val="auto"/>
          <w:sz w:val="22"/>
          <w:szCs w:val="24"/>
          <w:lang w:val="hr-HR"/>
        </w:rPr>
        <w:t xml:space="preserve">: </w:t>
      </w:r>
      <w:r w:rsidRPr="00C5016E">
        <w:rPr>
          <w:rFonts w:ascii="Arial" w:hAnsi="Arial" w:cs="Arial"/>
          <w:b w:val="0"/>
          <w:color w:val="auto"/>
          <w:sz w:val="22"/>
          <w:szCs w:val="24"/>
          <w:lang w:val="hr-HR"/>
        </w:rPr>
        <w:t>Struktura neporeznih prihoda</w:t>
      </w:r>
      <w:bookmarkEnd w:id="50"/>
    </w:p>
    <w:p w:rsidR="00C025DC" w:rsidRPr="00C5016E" w:rsidRDefault="00C025DC" w:rsidP="00C025DC">
      <w:pPr>
        <w:spacing w:before="100" w:beforeAutospacing="1" w:after="360"/>
      </w:pPr>
      <w:r w:rsidRPr="00C5016E">
        <w:t xml:space="preserve">Na </w:t>
      </w:r>
      <w:r w:rsidR="00DE4C92" w:rsidRPr="00C5016E">
        <w:t>temelju</w:t>
      </w:r>
      <w:r w:rsidRPr="00C5016E">
        <w:t xml:space="preserve"> prethodnog grafikona uočava se da najveć</w:t>
      </w:r>
      <w:r w:rsidR="00DE4C92" w:rsidRPr="00C5016E">
        <w:t>i</w:t>
      </w:r>
      <w:r w:rsidRPr="00C5016E">
        <w:t xml:space="preserve"> u</w:t>
      </w:r>
      <w:r w:rsidR="00DE4C92" w:rsidRPr="00C5016E">
        <w:t>djel</w:t>
      </w:r>
      <w:r w:rsidRPr="00C5016E">
        <w:t xml:space="preserve"> u neporeznim prihodima</w:t>
      </w:r>
      <w:r w:rsidR="00983826" w:rsidRPr="00C5016E">
        <w:t xml:space="preserve"> od 59%</w:t>
      </w:r>
      <w:r w:rsidRPr="00C5016E">
        <w:t xml:space="preserve"> imaju prihodi od poduzetničkih aktivnosti i imovine.</w:t>
      </w:r>
    </w:p>
    <w:p w:rsidR="00C025DC" w:rsidRPr="00C5016E" w:rsidRDefault="00C025DC" w:rsidP="00C025DC">
      <w:pPr>
        <w:pStyle w:val="Heading3"/>
        <w:spacing w:before="100" w:beforeAutospacing="1" w:after="360"/>
        <w:rPr>
          <w:rFonts w:cs="Arial"/>
        </w:rPr>
      </w:pPr>
      <w:bookmarkStart w:id="51" w:name="_Toc131505201"/>
      <w:r w:rsidRPr="00C5016E">
        <w:rPr>
          <w:rFonts w:cs="Arial"/>
        </w:rPr>
        <w:t>Prihodi od poduzetničkih aktivnosti i imovine</w:t>
      </w:r>
      <w:bookmarkEnd w:id="51"/>
      <w:r w:rsidR="00983826" w:rsidRPr="00C5016E">
        <w:rPr>
          <w:rFonts w:cs="Arial"/>
        </w:rPr>
        <w:t xml:space="preserve"> </w:t>
      </w:r>
    </w:p>
    <w:p w:rsidR="00C025DC" w:rsidRPr="00C5016E" w:rsidRDefault="00C025DC" w:rsidP="00C025DC">
      <w:r w:rsidRPr="00C5016E">
        <w:t xml:space="preserve">Prihodi od poduzetničkih aktivnosti i imovine iznose 237,9 </w:t>
      </w:r>
      <w:r w:rsidR="004611A5" w:rsidRPr="00C5016E">
        <w:t>milijun</w:t>
      </w:r>
      <w:r w:rsidRPr="00C5016E">
        <w:t xml:space="preserve">a KM, što je 29% ili 95,54 </w:t>
      </w:r>
      <w:r w:rsidR="004611A5" w:rsidRPr="00C5016E">
        <w:t>milijun</w:t>
      </w:r>
      <w:r w:rsidRPr="00C5016E">
        <w:t xml:space="preserve">a KM manje ostvarenje u odnosu na planirano u Proračunu Federacije BiH i 30% ili 101,47 </w:t>
      </w:r>
      <w:r w:rsidR="004611A5" w:rsidRPr="00C5016E">
        <w:t>milijun</w:t>
      </w:r>
      <w:r w:rsidRPr="00C5016E">
        <w:t xml:space="preserve">a KM manje ostvarenje u odnosu na </w:t>
      </w:r>
      <w:r w:rsidR="00DE4C92" w:rsidRPr="00C5016E">
        <w:t>isto razdoblje</w:t>
      </w:r>
      <w:r w:rsidRPr="00C5016E">
        <w:t xml:space="preserve"> 2021. godine.</w:t>
      </w:r>
    </w:p>
    <w:p w:rsidR="00C025DC" w:rsidRPr="00C5016E" w:rsidRDefault="00C025DC" w:rsidP="00C025DC">
      <w:r w:rsidRPr="00C5016E">
        <w:t>Najznačajnija stavka u okviru neporeznih prihoda s u</w:t>
      </w:r>
      <w:r w:rsidR="005204A3" w:rsidRPr="00C5016E">
        <w:t>djelom</w:t>
      </w:r>
      <w:r w:rsidRPr="00C5016E">
        <w:t xml:space="preserve"> od 48,54% su prihodi od povrata anuiteta (sredstva krajnjih korisnika za otplatu kredita) s ostvarenjem od 194,41 </w:t>
      </w:r>
      <w:r w:rsidR="004611A5" w:rsidRPr="00C5016E">
        <w:t>milijun</w:t>
      </w:r>
      <w:r w:rsidRPr="00C5016E">
        <w:t xml:space="preserve"> KM. </w:t>
      </w:r>
    </w:p>
    <w:p w:rsidR="00C025DC" w:rsidRPr="00C5016E" w:rsidRDefault="00C025DC" w:rsidP="00C025DC">
      <w:r w:rsidRPr="00C5016E">
        <w:t>Značaj</w:t>
      </w:r>
      <w:r w:rsidR="005204A3" w:rsidRPr="00C5016E">
        <w:t>an</w:t>
      </w:r>
      <w:r w:rsidRPr="00C5016E">
        <w:t xml:space="preserve"> u</w:t>
      </w:r>
      <w:r w:rsidR="005204A3" w:rsidRPr="00C5016E">
        <w:t>djel</w:t>
      </w:r>
      <w:r w:rsidRPr="00C5016E">
        <w:t xml:space="preserve"> u neporeznim prihodima zauzimaju prihodi od dividende i u</w:t>
      </w:r>
      <w:r w:rsidR="005204A3" w:rsidRPr="00C5016E">
        <w:t>djela</w:t>
      </w:r>
      <w:r w:rsidRPr="00C5016E">
        <w:t xml:space="preserve"> u profitu javnih p</w:t>
      </w:r>
      <w:r w:rsidR="005204A3" w:rsidRPr="00C5016E">
        <w:t>o</w:t>
      </w:r>
      <w:r w:rsidRPr="00C5016E">
        <w:t xml:space="preserve">duzeća, koji u izvještajnom </w:t>
      </w:r>
      <w:r w:rsidR="005204A3" w:rsidRPr="00C5016E">
        <w:t>razdoblju</w:t>
      </w:r>
      <w:r w:rsidRPr="00C5016E">
        <w:t xml:space="preserve"> iznose 34,09 </w:t>
      </w:r>
      <w:r w:rsidR="004611A5" w:rsidRPr="00C5016E">
        <w:t>milijun</w:t>
      </w:r>
      <w:r w:rsidRPr="00C5016E">
        <w:t>a KM i čine 85% planiranog za tekuću godinu i predstavljaju uplate od:</w:t>
      </w:r>
    </w:p>
    <w:p w:rsidR="00C025DC" w:rsidRPr="00C5016E" w:rsidRDefault="00C025DC" w:rsidP="00C025DC">
      <w:pPr>
        <w:pStyle w:val="ListParagraph"/>
        <w:numPr>
          <w:ilvl w:val="0"/>
          <w:numId w:val="34"/>
        </w:numPr>
        <w:rPr>
          <w:rFonts w:ascii="Arial" w:hAnsi="Arial" w:cs="Arial"/>
          <w:lang w:val="hr-HR"/>
        </w:rPr>
      </w:pPr>
      <w:r w:rsidRPr="00C5016E">
        <w:rPr>
          <w:rFonts w:ascii="Arial" w:hAnsi="Arial" w:cs="Arial"/>
          <w:lang w:val="hr-HR"/>
        </w:rPr>
        <w:t xml:space="preserve">BH Telecom d.d. Sarajevo u iznosu od 31,50 </w:t>
      </w:r>
      <w:r w:rsidR="004611A5" w:rsidRPr="00C5016E">
        <w:rPr>
          <w:rFonts w:ascii="Arial" w:hAnsi="Arial" w:cs="Arial"/>
          <w:lang w:val="hr-HR"/>
        </w:rPr>
        <w:t>milijun</w:t>
      </w:r>
      <w:r w:rsidRPr="00C5016E">
        <w:rPr>
          <w:rFonts w:ascii="Arial" w:hAnsi="Arial" w:cs="Arial"/>
          <w:lang w:val="hr-HR"/>
        </w:rPr>
        <w:t xml:space="preserve">a KM shodno Odluci o obračunu i isplati dividende za 2021. godinu, broj:00.1-03-48190/22-5-4727 i </w:t>
      </w:r>
    </w:p>
    <w:p w:rsidR="00C025DC" w:rsidRPr="00C5016E" w:rsidRDefault="00C025DC" w:rsidP="00C025DC">
      <w:pPr>
        <w:pStyle w:val="ListParagraph"/>
        <w:numPr>
          <w:ilvl w:val="0"/>
          <w:numId w:val="34"/>
        </w:numPr>
        <w:rPr>
          <w:rFonts w:ascii="Arial" w:hAnsi="Arial" w:cs="Arial"/>
          <w:lang w:val="hr-HR"/>
        </w:rPr>
      </w:pPr>
      <w:r w:rsidRPr="00C5016E">
        <w:rPr>
          <w:rFonts w:ascii="Arial" w:hAnsi="Arial" w:cs="Arial"/>
          <w:lang w:val="hr-HR"/>
        </w:rPr>
        <w:t xml:space="preserve">Igman d.d. Konjic u iznosu od 0,51 </w:t>
      </w:r>
      <w:r w:rsidR="004611A5" w:rsidRPr="00C5016E">
        <w:rPr>
          <w:rFonts w:ascii="Arial" w:hAnsi="Arial" w:cs="Arial"/>
          <w:lang w:val="hr-HR"/>
        </w:rPr>
        <w:t>milijun</w:t>
      </w:r>
      <w:r w:rsidRPr="00C5016E">
        <w:rPr>
          <w:rFonts w:ascii="Arial" w:hAnsi="Arial" w:cs="Arial"/>
          <w:lang w:val="hr-HR"/>
        </w:rPr>
        <w:t xml:space="preserve"> KM po Odluci o načinu raspodjele dobiti ostvarene 2021. godine, broj: 06/03-XXX/3-22.</w:t>
      </w:r>
    </w:p>
    <w:p w:rsidR="00C025DC" w:rsidRDefault="00C025DC" w:rsidP="00C025DC">
      <w:pPr>
        <w:pStyle w:val="ListParagraph"/>
        <w:numPr>
          <w:ilvl w:val="0"/>
          <w:numId w:val="34"/>
        </w:numPr>
        <w:rPr>
          <w:rFonts w:ascii="Arial" w:hAnsi="Arial" w:cs="Arial"/>
          <w:lang w:val="hr-HR"/>
        </w:rPr>
      </w:pPr>
      <w:r w:rsidRPr="00C5016E">
        <w:rPr>
          <w:rFonts w:ascii="Arial" w:hAnsi="Arial" w:cs="Arial"/>
          <w:lang w:val="hr-HR"/>
        </w:rPr>
        <w:t xml:space="preserve">JP Elektroprivreda BiH u iznosu od 2,08 </w:t>
      </w:r>
      <w:r w:rsidR="004611A5" w:rsidRPr="00C5016E">
        <w:rPr>
          <w:rFonts w:ascii="Arial" w:hAnsi="Arial" w:cs="Arial"/>
          <w:lang w:val="hr-HR"/>
        </w:rPr>
        <w:t>milijun</w:t>
      </w:r>
      <w:r w:rsidRPr="00C5016E">
        <w:rPr>
          <w:rFonts w:ascii="Arial" w:hAnsi="Arial" w:cs="Arial"/>
          <w:lang w:val="hr-HR"/>
        </w:rPr>
        <w:t>a KM po Odluci o raspodjeli dobiti za 2021. godinu, broj: SD-14956/22/73/3</w:t>
      </w:r>
    </w:p>
    <w:p w:rsidR="00CB0334" w:rsidRPr="00CB0334" w:rsidRDefault="00CB0334" w:rsidP="00CB0334">
      <w:pPr>
        <w:rPr>
          <w:rFonts w:cs="Arial"/>
        </w:rPr>
      </w:pPr>
    </w:p>
    <w:p w:rsidR="00C025DC" w:rsidRPr="00C5016E" w:rsidRDefault="00C025DC" w:rsidP="00C025DC">
      <w:pPr>
        <w:pStyle w:val="Heading3"/>
        <w:rPr>
          <w:rFonts w:cs="Arial"/>
        </w:rPr>
      </w:pPr>
      <w:bookmarkStart w:id="52" w:name="_Toc131505202"/>
      <w:r w:rsidRPr="00C5016E">
        <w:rPr>
          <w:rFonts w:cs="Arial"/>
        </w:rPr>
        <w:lastRenderedPageBreak/>
        <w:t xml:space="preserve">Naknade, </w:t>
      </w:r>
      <w:r w:rsidR="005204A3" w:rsidRPr="00C5016E">
        <w:rPr>
          <w:rFonts w:cs="Arial"/>
        </w:rPr>
        <w:t>pristojbe</w:t>
      </w:r>
      <w:r w:rsidRPr="00C5016E">
        <w:rPr>
          <w:rFonts w:cs="Arial"/>
        </w:rPr>
        <w:t xml:space="preserve"> i prihodi od pružanja javnih usluga</w:t>
      </w:r>
      <w:bookmarkEnd w:id="52"/>
    </w:p>
    <w:p w:rsidR="00C025DC" w:rsidRPr="00C5016E" w:rsidRDefault="00C025DC" w:rsidP="00C025DC">
      <w:r w:rsidRPr="00C5016E">
        <w:rPr>
          <w:rFonts w:cs="Arial"/>
          <w:szCs w:val="24"/>
        </w:rPr>
        <w:t>N</w:t>
      </w:r>
      <w:r w:rsidRPr="00C5016E">
        <w:t xml:space="preserve">aknade, </w:t>
      </w:r>
      <w:r w:rsidR="005204A3" w:rsidRPr="00C5016E">
        <w:t>pristojbe</w:t>
      </w:r>
      <w:r w:rsidRPr="00C5016E">
        <w:t xml:space="preserve"> i prihodi od pružanja javnih usluga iznose 148,46 </w:t>
      </w:r>
      <w:r w:rsidR="004611A5" w:rsidRPr="00C5016E">
        <w:t>milijun</w:t>
      </w:r>
      <w:r w:rsidRPr="00C5016E">
        <w:t xml:space="preserve">a KM što je za 4% veće ostvarenje u odnosu na planirano u Proračunu Federacije BiH ili 5,62 </w:t>
      </w:r>
      <w:r w:rsidR="004611A5" w:rsidRPr="00C5016E">
        <w:t>milijun</w:t>
      </w:r>
      <w:r w:rsidRPr="00C5016E">
        <w:t xml:space="preserve">a KM, a u odnosu na prethodnu godinu ostvarenje je veće za 35% ili 38,35 </w:t>
      </w:r>
      <w:r w:rsidR="004611A5" w:rsidRPr="00C5016E">
        <w:t>milijun</w:t>
      </w:r>
      <w:r w:rsidRPr="00C5016E">
        <w:t>a KM.</w:t>
      </w:r>
    </w:p>
    <w:p w:rsidR="00C025DC" w:rsidRPr="00C5016E" w:rsidRDefault="005204A3" w:rsidP="00C025DC">
      <w:pPr>
        <w:rPr>
          <w:rFonts w:cs="Arial"/>
        </w:rPr>
      </w:pPr>
      <w:r w:rsidRPr="00C5016E">
        <w:t>Promatrano</w:t>
      </w:r>
      <w:r w:rsidR="00C025DC" w:rsidRPr="00C5016E">
        <w:t xml:space="preserve"> analitički, najveć</w:t>
      </w:r>
      <w:r w:rsidRPr="00C5016E">
        <w:t>i</w:t>
      </w:r>
      <w:r w:rsidR="00C025DC" w:rsidRPr="00C5016E">
        <w:t xml:space="preserve"> u</w:t>
      </w:r>
      <w:r w:rsidRPr="00C5016E">
        <w:t>djel</w:t>
      </w:r>
      <w:r w:rsidR="00C025DC" w:rsidRPr="00C5016E">
        <w:t xml:space="preserve"> u n</w:t>
      </w:r>
      <w:r w:rsidR="00C025DC" w:rsidRPr="00C5016E">
        <w:rPr>
          <w:rFonts w:cs="Arial"/>
        </w:rPr>
        <w:t xml:space="preserve">aknadama, </w:t>
      </w:r>
      <w:r w:rsidRPr="00C5016E">
        <w:rPr>
          <w:rFonts w:cs="Arial"/>
        </w:rPr>
        <w:t>pristojbama</w:t>
      </w:r>
      <w:r w:rsidR="00C025DC" w:rsidRPr="00C5016E">
        <w:rPr>
          <w:rFonts w:cs="Arial"/>
        </w:rPr>
        <w:t xml:space="preserve"> i prihodima od pružanja javnih usluga bilježe: </w:t>
      </w:r>
    </w:p>
    <w:p w:rsidR="00C025DC" w:rsidRPr="00C5016E" w:rsidRDefault="00C025DC" w:rsidP="00C025DC">
      <w:pPr>
        <w:pStyle w:val="ListParagraph"/>
        <w:numPr>
          <w:ilvl w:val="0"/>
          <w:numId w:val="6"/>
        </w:numPr>
        <w:rPr>
          <w:rFonts w:ascii="Arial" w:hAnsi="Arial" w:cs="Arial"/>
          <w:szCs w:val="24"/>
          <w:lang w:val="hr-HR"/>
        </w:rPr>
      </w:pPr>
      <w:r w:rsidRPr="00C5016E">
        <w:rPr>
          <w:rFonts w:ascii="Arial" w:hAnsi="Arial" w:cs="Arial"/>
          <w:szCs w:val="24"/>
          <w:lang w:val="hr-HR"/>
        </w:rPr>
        <w:t xml:space="preserve">prihodi od federalnih </w:t>
      </w:r>
      <w:r w:rsidR="005204A3" w:rsidRPr="00C5016E">
        <w:rPr>
          <w:rFonts w:ascii="Arial" w:hAnsi="Arial" w:cs="Arial"/>
          <w:szCs w:val="24"/>
          <w:lang w:val="hr-HR"/>
        </w:rPr>
        <w:t>pristojbi</w:t>
      </w:r>
      <w:r w:rsidRPr="00C5016E">
        <w:rPr>
          <w:rFonts w:ascii="Arial" w:hAnsi="Arial" w:cs="Arial"/>
          <w:szCs w:val="24"/>
          <w:lang w:val="hr-HR"/>
        </w:rPr>
        <w:t xml:space="preserve"> u iznosu od 21,99 </w:t>
      </w:r>
      <w:r w:rsidR="004611A5" w:rsidRPr="00C5016E">
        <w:rPr>
          <w:rFonts w:ascii="Arial" w:hAnsi="Arial" w:cs="Arial"/>
          <w:szCs w:val="24"/>
          <w:lang w:val="hr-HR"/>
        </w:rPr>
        <w:t>milijun</w:t>
      </w:r>
      <w:r w:rsidRPr="00C5016E">
        <w:rPr>
          <w:rFonts w:ascii="Arial" w:hAnsi="Arial" w:cs="Arial"/>
          <w:szCs w:val="24"/>
          <w:lang w:val="hr-HR"/>
        </w:rPr>
        <w:t xml:space="preserve">a KM od čega se najviše odnosi na putničke </w:t>
      </w:r>
      <w:r w:rsidR="005204A3" w:rsidRPr="00C5016E">
        <w:rPr>
          <w:rFonts w:ascii="Arial" w:hAnsi="Arial" w:cs="Arial"/>
          <w:szCs w:val="24"/>
          <w:lang w:val="hr-HR"/>
        </w:rPr>
        <w:t>pristojb</w:t>
      </w:r>
      <w:r w:rsidRPr="00C5016E">
        <w:rPr>
          <w:rFonts w:ascii="Arial" w:hAnsi="Arial" w:cs="Arial"/>
          <w:szCs w:val="24"/>
          <w:lang w:val="hr-HR"/>
        </w:rPr>
        <w:t>e-naknada za unapređenje avio</w:t>
      </w:r>
      <w:r w:rsidR="005204A3" w:rsidRPr="00C5016E">
        <w:rPr>
          <w:rFonts w:ascii="Arial" w:hAnsi="Arial" w:cs="Arial"/>
          <w:szCs w:val="24"/>
          <w:lang w:val="hr-HR"/>
        </w:rPr>
        <w:t>nskog</w:t>
      </w:r>
      <w:r w:rsidRPr="00C5016E">
        <w:rPr>
          <w:rFonts w:ascii="Arial" w:hAnsi="Arial" w:cs="Arial"/>
          <w:szCs w:val="24"/>
          <w:lang w:val="hr-HR"/>
        </w:rPr>
        <w:t xml:space="preserve"> prometa u Federaciji BiH u iznosu od 8 </w:t>
      </w:r>
      <w:r w:rsidR="004611A5" w:rsidRPr="00C5016E">
        <w:rPr>
          <w:rFonts w:ascii="Arial" w:hAnsi="Arial" w:cs="Arial"/>
          <w:szCs w:val="24"/>
          <w:lang w:val="hr-HR"/>
        </w:rPr>
        <w:t>milijun</w:t>
      </w:r>
      <w:r w:rsidRPr="00C5016E">
        <w:rPr>
          <w:rFonts w:ascii="Arial" w:hAnsi="Arial" w:cs="Arial"/>
          <w:szCs w:val="24"/>
          <w:lang w:val="hr-HR"/>
        </w:rPr>
        <w:t xml:space="preserve">a KM i </w:t>
      </w:r>
      <w:r w:rsidR="005204A3" w:rsidRPr="00C5016E">
        <w:rPr>
          <w:rFonts w:ascii="Arial" w:hAnsi="Arial" w:cs="Arial"/>
          <w:szCs w:val="24"/>
          <w:lang w:val="hr-HR"/>
        </w:rPr>
        <w:t>pristojb</w:t>
      </w:r>
      <w:r w:rsidRPr="00C5016E">
        <w:rPr>
          <w:rFonts w:ascii="Arial" w:hAnsi="Arial" w:cs="Arial"/>
          <w:szCs w:val="24"/>
          <w:lang w:val="hr-HR"/>
        </w:rPr>
        <w:t xml:space="preserve">e za uspostavu naftnih derivata 9,86 </w:t>
      </w:r>
      <w:r w:rsidR="004611A5" w:rsidRPr="00C5016E">
        <w:rPr>
          <w:rFonts w:ascii="Arial" w:hAnsi="Arial" w:cs="Arial"/>
          <w:szCs w:val="24"/>
          <w:lang w:val="hr-HR"/>
        </w:rPr>
        <w:t>milijun</w:t>
      </w:r>
      <w:r w:rsidRPr="00C5016E">
        <w:rPr>
          <w:rFonts w:ascii="Arial" w:hAnsi="Arial" w:cs="Arial"/>
          <w:szCs w:val="24"/>
          <w:lang w:val="hr-HR"/>
        </w:rPr>
        <w:t>a KM</w:t>
      </w:r>
      <w:r w:rsidR="005204A3" w:rsidRPr="00C5016E">
        <w:rPr>
          <w:rFonts w:ascii="Arial" w:hAnsi="Arial" w:cs="Arial"/>
          <w:szCs w:val="24"/>
          <w:lang w:val="hr-HR"/>
        </w:rPr>
        <w:t>;</w:t>
      </w:r>
      <w:r w:rsidRPr="00C5016E">
        <w:rPr>
          <w:rFonts w:ascii="Arial" w:hAnsi="Arial" w:cs="Arial"/>
          <w:szCs w:val="24"/>
          <w:lang w:val="hr-HR"/>
        </w:rPr>
        <w:t xml:space="preserve"> </w:t>
      </w:r>
    </w:p>
    <w:p w:rsidR="00C025DC" w:rsidRPr="00C5016E" w:rsidRDefault="00C025DC" w:rsidP="00C025DC">
      <w:pPr>
        <w:pStyle w:val="ListParagraph"/>
        <w:numPr>
          <w:ilvl w:val="0"/>
          <w:numId w:val="6"/>
        </w:numPr>
        <w:rPr>
          <w:rFonts w:ascii="Arial" w:hAnsi="Arial" w:cs="Arial"/>
          <w:szCs w:val="24"/>
          <w:lang w:val="hr-HR"/>
        </w:rPr>
      </w:pPr>
      <w:r w:rsidRPr="00C5016E">
        <w:rPr>
          <w:rFonts w:ascii="Arial" w:hAnsi="Arial" w:cs="Arial"/>
          <w:szCs w:val="24"/>
          <w:lang w:val="hr-HR"/>
        </w:rPr>
        <w:t xml:space="preserve">ostale proračunske naknade u iznosu od 11,69 </w:t>
      </w:r>
      <w:r w:rsidR="004611A5" w:rsidRPr="00C5016E">
        <w:rPr>
          <w:rFonts w:ascii="Arial" w:hAnsi="Arial" w:cs="Arial"/>
          <w:szCs w:val="24"/>
          <w:lang w:val="hr-HR"/>
        </w:rPr>
        <w:t>milijun</w:t>
      </w:r>
      <w:r w:rsidRPr="00C5016E">
        <w:rPr>
          <w:rFonts w:ascii="Arial" w:hAnsi="Arial" w:cs="Arial"/>
          <w:szCs w:val="24"/>
          <w:lang w:val="hr-HR"/>
        </w:rPr>
        <w:t xml:space="preserve">a KM od čega se najviše odnosi na naknade za privređivanje igara na sreću koje pripadaju Proračunu Federacije BiH u iznosu od 8,00 </w:t>
      </w:r>
      <w:r w:rsidR="004611A5" w:rsidRPr="00C5016E">
        <w:rPr>
          <w:rFonts w:ascii="Arial" w:hAnsi="Arial" w:cs="Arial"/>
          <w:szCs w:val="24"/>
          <w:lang w:val="hr-HR"/>
        </w:rPr>
        <w:t>milijun</w:t>
      </w:r>
      <w:r w:rsidRPr="00C5016E">
        <w:rPr>
          <w:rFonts w:ascii="Arial" w:hAnsi="Arial" w:cs="Arial"/>
          <w:szCs w:val="24"/>
          <w:lang w:val="hr-HR"/>
        </w:rPr>
        <w:t>a KM</w:t>
      </w:r>
      <w:r w:rsidR="005204A3" w:rsidRPr="00C5016E">
        <w:rPr>
          <w:rFonts w:ascii="Arial" w:hAnsi="Arial" w:cs="Arial"/>
          <w:szCs w:val="24"/>
          <w:lang w:val="hr-HR"/>
        </w:rPr>
        <w:t>;</w:t>
      </w:r>
    </w:p>
    <w:p w:rsidR="00C025DC" w:rsidRPr="00C5016E" w:rsidRDefault="00C025DC" w:rsidP="00C025DC">
      <w:pPr>
        <w:pStyle w:val="ListParagraph"/>
        <w:numPr>
          <w:ilvl w:val="0"/>
          <w:numId w:val="6"/>
        </w:numPr>
        <w:rPr>
          <w:rFonts w:ascii="Arial" w:hAnsi="Arial" w:cs="Arial"/>
          <w:szCs w:val="24"/>
          <w:lang w:val="hr-HR"/>
        </w:rPr>
      </w:pPr>
      <w:r w:rsidRPr="00C5016E">
        <w:rPr>
          <w:rFonts w:ascii="Arial" w:hAnsi="Arial" w:cs="Arial"/>
          <w:szCs w:val="24"/>
          <w:lang w:val="hr-HR"/>
        </w:rPr>
        <w:t xml:space="preserve">posebne naknade i </w:t>
      </w:r>
      <w:r w:rsidR="005204A3" w:rsidRPr="00C5016E">
        <w:rPr>
          <w:rFonts w:ascii="Arial" w:hAnsi="Arial" w:cs="Arial"/>
          <w:szCs w:val="24"/>
          <w:lang w:val="hr-HR"/>
        </w:rPr>
        <w:t>pristojb</w:t>
      </w:r>
      <w:r w:rsidRPr="00C5016E">
        <w:rPr>
          <w:rFonts w:ascii="Arial" w:hAnsi="Arial" w:cs="Arial"/>
          <w:szCs w:val="24"/>
          <w:lang w:val="hr-HR"/>
        </w:rPr>
        <w:t xml:space="preserve">e u ukupnom iznosu od 26,6 </w:t>
      </w:r>
      <w:r w:rsidR="004611A5" w:rsidRPr="00C5016E">
        <w:rPr>
          <w:rFonts w:ascii="Arial" w:hAnsi="Arial" w:cs="Arial"/>
          <w:szCs w:val="24"/>
          <w:lang w:val="hr-HR"/>
        </w:rPr>
        <w:t>milijun</w:t>
      </w:r>
      <w:r w:rsidRPr="00C5016E">
        <w:rPr>
          <w:rFonts w:ascii="Arial" w:hAnsi="Arial" w:cs="Arial"/>
          <w:szCs w:val="24"/>
          <w:lang w:val="hr-HR"/>
        </w:rPr>
        <w:t>a KM od čega se najviše odnosi na mjesečne naknade za priređivanje igara na sreću klađenja (kladionice automati, kasina</w:t>
      </w:r>
      <w:r w:rsidR="005204A3" w:rsidRPr="00C5016E">
        <w:rPr>
          <w:rFonts w:ascii="Arial" w:hAnsi="Arial" w:cs="Arial"/>
          <w:szCs w:val="24"/>
          <w:lang w:val="hr-HR"/>
        </w:rPr>
        <w:t>,</w:t>
      </w:r>
      <w:r w:rsidRPr="00C5016E">
        <w:rPr>
          <w:rFonts w:ascii="Arial" w:hAnsi="Arial" w:cs="Arial"/>
          <w:szCs w:val="24"/>
          <w:lang w:val="hr-HR"/>
        </w:rPr>
        <w:t xml:space="preserve"> internet igre) i naknade za postavljanje ure</w:t>
      </w:r>
      <w:r w:rsidR="005204A3" w:rsidRPr="00C5016E">
        <w:rPr>
          <w:rFonts w:ascii="Arial" w:hAnsi="Arial" w:cs="Arial"/>
          <w:szCs w:val="24"/>
          <w:lang w:val="hr-HR"/>
        </w:rPr>
        <w:t>đaja za priređivanje klađenja s</w:t>
      </w:r>
      <w:r w:rsidRPr="00C5016E">
        <w:rPr>
          <w:rFonts w:ascii="Arial" w:hAnsi="Arial" w:cs="Arial"/>
          <w:szCs w:val="24"/>
          <w:lang w:val="hr-HR"/>
        </w:rPr>
        <w:t xml:space="preserve"> ostvarenjem od 19,24 </w:t>
      </w:r>
      <w:r w:rsidR="004611A5" w:rsidRPr="00C5016E">
        <w:rPr>
          <w:rFonts w:ascii="Arial" w:hAnsi="Arial" w:cs="Arial"/>
          <w:szCs w:val="24"/>
          <w:lang w:val="hr-HR"/>
        </w:rPr>
        <w:t>milijun</w:t>
      </w:r>
      <w:r w:rsidRPr="00C5016E">
        <w:rPr>
          <w:rFonts w:ascii="Arial" w:hAnsi="Arial" w:cs="Arial"/>
          <w:szCs w:val="24"/>
          <w:lang w:val="hr-HR"/>
        </w:rPr>
        <w:t>a KM</w:t>
      </w:r>
      <w:r w:rsidR="005204A3" w:rsidRPr="00C5016E">
        <w:rPr>
          <w:rFonts w:ascii="Arial" w:hAnsi="Arial" w:cs="Arial"/>
          <w:szCs w:val="24"/>
          <w:lang w:val="hr-HR"/>
        </w:rPr>
        <w:t>;</w:t>
      </w:r>
    </w:p>
    <w:p w:rsidR="00C025DC" w:rsidRPr="00C5016E" w:rsidRDefault="00C025DC" w:rsidP="00C025DC">
      <w:pPr>
        <w:pStyle w:val="ListParagraph"/>
        <w:numPr>
          <w:ilvl w:val="0"/>
          <w:numId w:val="6"/>
        </w:numPr>
        <w:rPr>
          <w:rFonts w:ascii="Arial" w:hAnsi="Arial" w:cs="Arial"/>
          <w:szCs w:val="24"/>
          <w:lang w:val="hr-HR"/>
        </w:rPr>
      </w:pPr>
      <w:r w:rsidRPr="00C5016E">
        <w:rPr>
          <w:rFonts w:ascii="Arial" w:hAnsi="Arial" w:cs="Arial"/>
          <w:bCs/>
          <w:szCs w:val="24"/>
          <w:lang w:val="hr-HR"/>
        </w:rPr>
        <w:t xml:space="preserve">prihodi od vlastitih djelatnosti korisnika proračuna i vlastiti prihodi u iznosu od 21,11 </w:t>
      </w:r>
      <w:r w:rsidR="004611A5" w:rsidRPr="00C5016E">
        <w:rPr>
          <w:rFonts w:ascii="Arial" w:hAnsi="Arial" w:cs="Arial"/>
          <w:bCs/>
          <w:szCs w:val="24"/>
          <w:lang w:val="hr-HR"/>
        </w:rPr>
        <w:t>milijun</w:t>
      </w:r>
      <w:r w:rsidRPr="00C5016E">
        <w:rPr>
          <w:rFonts w:ascii="Arial" w:hAnsi="Arial" w:cs="Arial"/>
          <w:bCs/>
          <w:szCs w:val="24"/>
          <w:lang w:val="hr-HR"/>
        </w:rPr>
        <w:t xml:space="preserve">a KM, </w:t>
      </w:r>
      <w:r w:rsidRPr="00C5016E">
        <w:rPr>
          <w:rFonts w:ascii="Arial" w:hAnsi="Arial" w:cs="Arial"/>
          <w:szCs w:val="24"/>
          <w:lang w:val="hr-HR"/>
        </w:rPr>
        <w:t xml:space="preserve">od čega se najviše odnosi na </w:t>
      </w:r>
      <w:r w:rsidRPr="00C5016E">
        <w:rPr>
          <w:rFonts w:ascii="Arial" w:hAnsi="Arial" w:cs="Arial"/>
          <w:bCs/>
          <w:szCs w:val="24"/>
          <w:lang w:val="hr-HR"/>
        </w:rPr>
        <w:t>prihode</w:t>
      </w:r>
      <w:r w:rsidR="005204A3" w:rsidRPr="00C5016E">
        <w:rPr>
          <w:rFonts w:ascii="Arial" w:hAnsi="Arial" w:cs="Arial"/>
          <w:bCs/>
          <w:szCs w:val="24"/>
          <w:lang w:val="hr-HR"/>
        </w:rPr>
        <w:t xml:space="preserve"> od pružanja usluga građanima s</w:t>
      </w:r>
      <w:r w:rsidRPr="00C5016E">
        <w:rPr>
          <w:rFonts w:ascii="Arial" w:hAnsi="Arial" w:cs="Arial"/>
          <w:bCs/>
          <w:szCs w:val="24"/>
          <w:lang w:val="hr-HR"/>
        </w:rPr>
        <w:t xml:space="preserve"> ostvarenjem od 6,55 </w:t>
      </w:r>
      <w:r w:rsidR="004611A5" w:rsidRPr="00C5016E">
        <w:rPr>
          <w:rFonts w:ascii="Arial" w:hAnsi="Arial" w:cs="Arial"/>
          <w:bCs/>
          <w:szCs w:val="24"/>
          <w:lang w:val="hr-HR"/>
        </w:rPr>
        <w:t>milijun</w:t>
      </w:r>
      <w:r w:rsidRPr="00C5016E">
        <w:rPr>
          <w:rFonts w:ascii="Arial" w:hAnsi="Arial" w:cs="Arial"/>
          <w:bCs/>
          <w:szCs w:val="24"/>
          <w:lang w:val="hr-HR"/>
        </w:rPr>
        <w:t xml:space="preserve">a KM i prihodi od pružanja usluga drugim </w:t>
      </w:r>
      <w:r w:rsidR="005204A3" w:rsidRPr="00C5016E">
        <w:rPr>
          <w:rFonts w:ascii="Arial" w:hAnsi="Arial" w:cs="Arial"/>
          <w:bCs/>
          <w:szCs w:val="24"/>
          <w:lang w:val="hr-HR"/>
        </w:rPr>
        <w:t>razinama</w:t>
      </w:r>
      <w:r w:rsidRPr="00C5016E">
        <w:rPr>
          <w:rFonts w:ascii="Arial" w:hAnsi="Arial" w:cs="Arial"/>
          <w:bCs/>
          <w:szCs w:val="24"/>
          <w:lang w:val="hr-HR"/>
        </w:rPr>
        <w:t xml:space="preserve"> vlasti - pritvoren</w:t>
      </w:r>
      <w:r w:rsidR="005204A3" w:rsidRPr="00C5016E">
        <w:rPr>
          <w:rFonts w:ascii="Arial" w:hAnsi="Arial" w:cs="Arial"/>
          <w:bCs/>
          <w:szCs w:val="24"/>
          <w:lang w:val="hr-HR"/>
        </w:rPr>
        <w:t>e osobe</w:t>
      </w:r>
      <w:r w:rsidRPr="00C5016E">
        <w:rPr>
          <w:rFonts w:ascii="Arial" w:hAnsi="Arial" w:cs="Arial"/>
          <w:bCs/>
          <w:szCs w:val="24"/>
          <w:lang w:val="hr-HR"/>
        </w:rPr>
        <w:t xml:space="preserve"> u iznosu od 5,32 </w:t>
      </w:r>
      <w:r w:rsidR="004611A5" w:rsidRPr="00C5016E">
        <w:rPr>
          <w:rFonts w:ascii="Arial" w:hAnsi="Arial" w:cs="Arial"/>
          <w:bCs/>
          <w:szCs w:val="24"/>
          <w:lang w:val="hr-HR"/>
        </w:rPr>
        <w:t>milijun</w:t>
      </w:r>
      <w:r w:rsidR="005204A3" w:rsidRPr="00C5016E">
        <w:rPr>
          <w:rFonts w:ascii="Arial" w:hAnsi="Arial" w:cs="Arial"/>
          <w:bCs/>
          <w:szCs w:val="24"/>
          <w:lang w:val="hr-HR"/>
        </w:rPr>
        <w:t>a KM;</w:t>
      </w:r>
    </w:p>
    <w:p w:rsidR="00CB0334" w:rsidRPr="00CB0334" w:rsidRDefault="00C025DC" w:rsidP="00CB0334">
      <w:pPr>
        <w:pStyle w:val="ListParagraph"/>
        <w:numPr>
          <w:ilvl w:val="0"/>
          <w:numId w:val="6"/>
        </w:numPr>
        <w:rPr>
          <w:rFonts w:ascii="Arial" w:hAnsi="Arial" w:cs="Arial"/>
          <w:szCs w:val="24"/>
          <w:lang w:val="hr-HR"/>
        </w:rPr>
      </w:pPr>
      <w:r w:rsidRPr="00C5016E">
        <w:rPr>
          <w:rFonts w:ascii="Arial" w:hAnsi="Arial" w:cs="Arial"/>
          <w:bCs/>
          <w:szCs w:val="24"/>
          <w:lang w:val="hr-HR"/>
        </w:rPr>
        <w:t xml:space="preserve">neplanirane uplate u iznosu od 66,90 </w:t>
      </w:r>
      <w:r w:rsidR="004611A5" w:rsidRPr="00C5016E">
        <w:rPr>
          <w:rFonts w:ascii="Arial" w:hAnsi="Arial" w:cs="Arial"/>
          <w:bCs/>
          <w:szCs w:val="24"/>
          <w:lang w:val="hr-HR"/>
        </w:rPr>
        <w:t>milijun</w:t>
      </w:r>
      <w:bookmarkStart w:id="53" w:name="_Toc131505203"/>
      <w:r w:rsidR="00CB0334">
        <w:rPr>
          <w:rFonts w:ascii="Arial" w:hAnsi="Arial" w:cs="Arial"/>
          <w:bCs/>
          <w:szCs w:val="24"/>
          <w:lang w:val="hr-HR"/>
        </w:rPr>
        <w:t>a KM.</w:t>
      </w:r>
    </w:p>
    <w:p w:rsidR="00C025DC" w:rsidRPr="00CB0334" w:rsidRDefault="00C025DC" w:rsidP="00CB0334">
      <w:pPr>
        <w:pStyle w:val="Heading3"/>
        <w:rPr>
          <w:szCs w:val="24"/>
        </w:rPr>
      </w:pPr>
      <w:r w:rsidRPr="00CB0334">
        <w:t>Novčane kazne</w:t>
      </w:r>
      <w:bookmarkEnd w:id="53"/>
    </w:p>
    <w:p w:rsidR="00C025DC" w:rsidRPr="00C5016E" w:rsidRDefault="00C025DC" w:rsidP="00C025DC">
      <w:pPr>
        <w:rPr>
          <w:szCs w:val="24"/>
        </w:rPr>
      </w:pPr>
      <w:r w:rsidRPr="00C5016E">
        <w:rPr>
          <w:szCs w:val="24"/>
        </w:rPr>
        <w:t xml:space="preserve">Novčane kazne iznose 14,17 </w:t>
      </w:r>
      <w:r w:rsidR="004611A5" w:rsidRPr="00C5016E">
        <w:rPr>
          <w:szCs w:val="24"/>
        </w:rPr>
        <w:t>milijun</w:t>
      </w:r>
      <w:r w:rsidRPr="00C5016E">
        <w:rPr>
          <w:szCs w:val="24"/>
        </w:rPr>
        <w:t xml:space="preserve">a KM što je veće ostvarenje u odnosu na planirani Proračun Federacije BiH za 20% ili za 2,31 </w:t>
      </w:r>
      <w:r w:rsidR="004611A5" w:rsidRPr="00C5016E">
        <w:rPr>
          <w:szCs w:val="24"/>
        </w:rPr>
        <w:t>milijun</w:t>
      </w:r>
      <w:r w:rsidRPr="00C5016E">
        <w:rPr>
          <w:szCs w:val="24"/>
        </w:rPr>
        <w:t xml:space="preserve"> KM, a u odnosu na prethodnu godinu za 15% ili  za 1,90 </w:t>
      </w:r>
      <w:r w:rsidR="004611A5" w:rsidRPr="00C5016E">
        <w:rPr>
          <w:szCs w:val="24"/>
        </w:rPr>
        <w:t>milijun</w:t>
      </w:r>
      <w:r w:rsidRPr="00C5016E">
        <w:rPr>
          <w:szCs w:val="24"/>
        </w:rPr>
        <w:t>a KM.</w:t>
      </w:r>
    </w:p>
    <w:p w:rsidR="00C025DC" w:rsidRPr="00C5016E" w:rsidRDefault="00C025DC" w:rsidP="00C025DC">
      <w:pPr>
        <w:rPr>
          <w:rFonts w:cs="Arial"/>
          <w:szCs w:val="24"/>
        </w:rPr>
      </w:pPr>
      <w:r w:rsidRPr="00C5016E">
        <w:rPr>
          <w:szCs w:val="24"/>
        </w:rPr>
        <w:t>Najveć</w:t>
      </w:r>
      <w:r w:rsidR="005D5929" w:rsidRPr="00C5016E">
        <w:rPr>
          <w:szCs w:val="24"/>
        </w:rPr>
        <w:t>i</w:t>
      </w:r>
      <w:r w:rsidRPr="00C5016E">
        <w:rPr>
          <w:szCs w:val="24"/>
        </w:rPr>
        <w:t xml:space="preserve"> u</w:t>
      </w:r>
      <w:r w:rsidR="005D5929" w:rsidRPr="00C5016E">
        <w:rPr>
          <w:szCs w:val="24"/>
        </w:rPr>
        <w:t>djel</w:t>
      </w:r>
      <w:r w:rsidRPr="00C5016E">
        <w:rPr>
          <w:szCs w:val="24"/>
        </w:rPr>
        <w:t xml:space="preserve"> u novčanim kaznama </w:t>
      </w:r>
      <w:r w:rsidRPr="00C5016E">
        <w:rPr>
          <w:rFonts w:cs="Arial"/>
          <w:szCs w:val="24"/>
        </w:rPr>
        <w:t xml:space="preserve">bilježe novčane kazne za prekršaje koje izriču federalni organi uprave u iznosu od 4,25 </w:t>
      </w:r>
      <w:r w:rsidR="004611A5" w:rsidRPr="00C5016E">
        <w:rPr>
          <w:rFonts w:cs="Arial"/>
          <w:szCs w:val="24"/>
        </w:rPr>
        <w:t>milijun</w:t>
      </w:r>
      <w:r w:rsidRPr="00C5016E">
        <w:rPr>
          <w:rFonts w:cs="Arial"/>
          <w:szCs w:val="24"/>
        </w:rPr>
        <w:t xml:space="preserve">a KM, novčane kazne za prekršaje koje su </w:t>
      </w:r>
      <w:r w:rsidR="005D5929" w:rsidRPr="00C5016E">
        <w:rPr>
          <w:rFonts w:cs="Arial"/>
          <w:szCs w:val="24"/>
        </w:rPr>
        <w:t>registrirane</w:t>
      </w:r>
      <w:r w:rsidRPr="00C5016E">
        <w:rPr>
          <w:rFonts w:cs="Arial"/>
          <w:szCs w:val="24"/>
        </w:rPr>
        <w:t xml:space="preserve"> u registru novčanih kazni i troškovi prekršajnog postupka u iznosu od 8,95 </w:t>
      </w:r>
      <w:r w:rsidR="004611A5" w:rsidRPr="00C5016E">
        <w:rPr>
          <w:rFonts w:cs="Arial"/>
          <w:szCs w:val="24"/>
        </w:rPr>
        <w:t>milijun</w:t>
      </w:r>
      <w:r w:rsidRPr="00C5016E">
        <w:rPr>
          <w:rFonts w:cs="Arial"/>
          <w:szCs w:val="24"/>
        </w:rPr>
        <w:t>a KM.</w:t>
      </w:r>
    </w:p>
    <w:p w:rsidR="00C025DC" w:rsidRPr="00C5016E" w:rsidRDefault="00C025DC" w:rsidP="00C025DC">
      <w:pPr>
        <w:pStyle w:val="Heading2"/>
        <w:rPr>
          <w:rFonts w:ascii="Arial" w:hAnsi="Arial" w:cs="Arial"/>
        </w:rPr>
      </w:pPr>
      <w:bookmarkStart w:id="54" w:name="_Toc131505204"/>
      <w:r w:rsidRPr="00C5016E">
        <w:rPr>
          <w:rFonts w:ascii="Arial" w:hAnsi="Arial" w:cs="Arial"/>
        </w:rPr>
        <w:t>Primljeni tekući transferi i donacije</w:t>
      </w:r>
      <w:bookmarkEnd w:id="54"/>
    </w:p>
    <w:p w:rsidR="00C025DC" w:rsidRPr="00C5016E" w:rsidRDefault="00C025DC" w:rsidP="00C025DC">
      <w:r w:rsidRPr="00C5016E">
        <w:t xml:space="preserve">Primljeni tekući transferi i donacije ostvareni su u iznosu od 27,51 </w:t>
      </w:r>
      <w:r w:rsidR="004611A5" w:rsidRPr="00C5016E">
        <w:t>milijun</w:t>
      </w:r>
      <w:r w:rsidRPr="00C5016E">
        <w:t xml:space="preserve">a KM, a odnose se na: </w:t>
      </w:r>
    </w:p>
    <w:p w:rsidR="00C025DC" w:rsidRPr="00C5016E" w:rsidRDefault="00C025DC" w:rsidP="00C025DC">
      <w:pPr>
        <w:pStyle w:val="ListParagraph"/>
        <w:numPr>
          <w:ilvl w:val="0"/>
          <w:numId w:val="35"/>
        </w:numPr>
        <w:rPr>
          <w:rFonts w:ascii="Arial" w:hAnsi="Arial" w:cs="Arial"/>
          <w:lang w:val="hr-HR"/>
        </w:rPr>
      </w:pPr>
      <w:r w:rsidRPr="00C5016E">
        <w:rPr>
          <w:rFonts w:ascii="Arial" w:hAnsi="Arial" w:cs="Arial"/>
          <w:lang w:val="hr-HR"/>
        </w:rPr>
        <w:t xml:space="preserve">primljeni tekući transfer od Federalnog ministarstva rada i socijalne politike za pokriće dijela </w:t>
      </w:r>
      <w:r w:rsidR="005D5929" w:rsidRPr="00C5016E">
        <w:rPr>
          <w:rFonts w:ascii="Arial" w:hAnsi="Arial" w:cs="Arial"/>
          <w:lang w:val="hr-HR"/>
        </w:rPr>
        <w:t>mirovina</w:t>
      </w:r>
      <w:r w:rsidRPr="00C5016E">
        <w:rPr>
          <w:rFonts w:ascii="Arial" w:hAnsi="Arial" w:cs="Arial"/>
          <w:lang w:val="hr-HR"/>
        </w:rPr>
        <w:t xml:space="preserve"> na ime verificiranog duga Federacije BiH u iznosu od </w:t>
      </w:r>
      <w:r w:rsidRPr="00C5016E">
        <w:rPr>
          <w:rFonts w:ascii="Arial" w:hAnsi="Arial" w:cs="Arial"/>
          <w:lang w:val="hr-HR"/>
        </w:rPr>
        <w:lastRenderedPageBreak/>
        <w:t xml:space="preserve">27,32 </w:t>
      </w:r>
      <w:r w:rsidR="004611A5" w:rsidRPr="00C5016E">
        <w:rPr>
          <w:rFonts w:ascii="Arial" w:hAnsi="Arial" w:cs="Arial"/>
          <w:lang w:val="hr-HR"/>
        </w:rPr>
        <w:t>milijun</w:t>
      </w:r>
      <w:r w:rsidRPr="00C5016E">
        <w:rPr>
          <w:rFonts w:ascii="Arial" w:hAnsi="Arial" w:cs="Arial"/>
          <w:lang w:val="hr-HR"/>
        </w:rPr>
        <w:t xml:space="preserve">a KM. Navedeni transfer je </w:t>
      </w:r>
      <w:r w:rsidR="005204A3" w:rsidRPr="00C5016E">
        <w:rPr>
          <w:rFonts w:ascii="Arial" w:hAnsi="Arial" w:cs="Arial"/>
          <w:lang w:val="hr-HR"/>
        </w:rPr>
        <w:t>realiziran</w:t>
      </w:r>
      <w:r w:rsidRPr="00C5016E">
        <w:rPr>
          <w:rFonts w:ascii="Arial" w:hAnsi="Arial" w:cs="Arial"/>
          <w:lang w:val="hr-HR"/>
        </w:rPr>
        <w:t xml:space="preserve"> u okviru Jedinstvenog računa </w:t>
      </w:r>
      <w:r w:rsidR="005D5929" w:rsidRPr="00C5016E">
        <w:rPr>
          <w:rFonts w:ascii="Arial" w:hAnsi="Arial" w:cs="Arial"/>
          <w:lang w:val="hr-HR"/>
        </w:rPr>
        <w:t>Riznice;</w:t>
      </w:r>
    </w:p>
    <w:p w:rsidR="00C025DC" w:rsidRPr="00C5016E" w:rsidRDefault="00C025DC" w:rsidP="00C025DC">
      <w:pPr>
        <w:pStyle w:val="ListParagraph"/>
        <w:numPr>
          <w:ilvl w:val="0"/>
          <w:numId w:val="35"/>
        </w:numPr>
        <w:rPr>
          <w:rFonts w:ascii="Arial" w:hAnsi="Arial" w:cs="Arial"/>
          <w:lang w:val="hr-HR"/>
        </w:rPr>
      </w:pPr>
      <w:r w:rsidRPr="00C5016E">
        <w:rPr>
          <w:rFonts w:ascii="Arial" w:hAnsi="Arial" w:cs="Arial"/>
          <w:lang w:val="hr-HR"/>
        </w:rPr>
        <w:t xml:space="preserve">primljeni tekući transfer od kantona u iznosu od 0,15 </w:t>
      </w:r>
      <w:r w:rsidR="004611A5" w:rsidRPr="00C5016E">
        <w:rPr>
          <w:rFonts w:ascii="Arial" w:hAnsi="Arial" w:cs="Arial"/>
          <w:lang w:val="hr-HR"/>
        </w:rPr>
        <w:t>milijun</w:t>
      </w:r>
      <w:r w:rsidR="005D5929" w:rsidRPr="00C5016E">
        <w:rPr>
          <w:rFonts w:ascii="Arial" w:hAnsi="Arial" w:cs="Arial"/>
          <w:lang w:val="hr-HR"/>
        </w:rPr>
        <w:t>a KM;</w:t>
      </w:r>
      <w:r w:rsidRPr="00C5016E">
        <w:rPr>
          <w:rFonts w:ascii="Arial" w:hAnsi="Arial" w:cs="Arial"/>
          <w:lang w:val="hr-HR"/>
        </w:rPr>
        <w:t xml:space="preserve"> </w:t>
      </w:r>
    </w:p>
    <w:p w:rsidR="00C025DC" w:rsidRPr="00C5016E" w:rsidRDefault="00C025DC" w:rsidP="00C025DC">
      <w:pPr>
        <w:pStyle w:val="ListParagraph"/>
        <w:numPr>
          <w:ilvl w:val="0"/>
          <w:numId w:val="35"/>
        </w:numPr>
        <w:rPr>
          <w:rFonts w:ascii="Arial" w:hAnsi="Arial" w:cs="Arial"/>
          <w:lang w:val="hr-HR"/>
        </w:rPr>
      </w:pPr>
      <w:r w:rsidRPr="00C5016E">
        <w:rPr>
          <w:rFonts w:ascii="Arial" w:hAnsi="Arial" w:cs="Arial"/>
          <w:lang w:val="hr-HR"/>
        </w:rPr>
        <w:t xml:space="preserve">primljeni namjenski transfer za obrazovanje u iznosu od 0,04 </w:t>
      </w:r>
      <w:r w:rsidR="004611A5" w:rsidRPr="00C5016E">
        <w:rPr>
          <w:rFonts w:ascii="Arial" w:hAnsi="Arial" w:cs="Arial"/>
          <w:lang w:val="hr-HR"/>
        </w:rPr>
        <w:t>milijun</w:t>
      </w:r>
      <w:r w:rsidRPr="00C5016E">
        <w:rPr>
          <w:rFonts w:ascii="Arial" w:hAnsi="Arial" w:cs="Arial"/>
          <w:lang w:val="hr-HR"/>
        </w:rPr>
        <w:t>a KM  za projekte koji se provode preko ADS-a.</w:t>
      </w:r>
    </w:p>
    <w:p w:rsidR="00C025DC" w:rsidRPr="00C5016E" w:rsidRDefault="00C025DC" w:rsidP="00C025DC">
      <w:pPr>
        <w:pStyle w:val="Heading2"/>
        <w:rPr>
          <w:rFonts w:ascii="Arial" w:hAnsi="Arial" w:cs="Arial"/>
        </w:rPr>
      </w:pPr>
      <w:bookmarkStart w:id="55" w:name="_Toc131505205"/>
      <w:r w:rsidRPr="00C5016E">
        <w:rPr>
          <w:rFonts w:ascii="Arial" w:hAnsi="Arial" w:cs="Arial"/>
        </w:rPr>
        <w:t>Račun financiranja</w:t>
      </w:r>
      <w:bookmarkEnd w:id="55"/>
    </w:p>
    <w:p w:rsidR="00C025DC" w:rsidRPr="00C5016E" w:rsidRDefault="00C025DC" w:rsidP="00C025DC">
      <w:pPr>
        <w:tabs>
          <w:tab w:val="left" w:pos="709"/>
        </w:tabs>
        <w:spacing w:before="0" w:after="0"/>
      </w:pPr>
      <w:bookmarkStart w:id="56" w:name="_Toc99940042"/>
      <w:r w:rsidRPr="00C5016E">
        <w:rPr>
          <w:rFonts w:cs="Arial"/>
          <w:szCs w:val="24"/>
        </w:rPr>
        <w:t>Po osnov</w:t>
      </w:r>
      <w:r w:rsidR="005D5929" w:rsidRPr="00C5016E">
        <w:rPr>
          <w:rFonts w:cs="Arial"/>
          <w:szCs w:val="24"/>
        </w:rPr>
        <w:t>i</w:t>
      </w:r>
      <w:r w:rsidRPr="00C5016E">
        <w:rPr>
          <w:rFonts w:cs="Arial"/>
          <w:szCs w:val="24"/>
        </w:rPr>
        <w:t xml:space="preserve"> financiranja Proračuna Federacije BiH, na Jedinstveni račun </w:t>
      </w:r>
      <w:r w:rsidR="005D5929" w:rsidRPr="00C5016E">
        <w:rPr>
          <w:rFonts w:cs="Arial"/>
          <w:szCs w:val="24"/>
        </w:rPr>
        <w:t>Riznice</w:t>
      </w:r>
      <w:r w:rsidRPr="00C5016E">
        <w:rPr>
          <w:rFonts w:cs="Arial"/>
          <w:szCs w:val="24"/>
        </w:rPr>
        <w:t xml:space="preserve"> doznačena su sredstva u iznosu od 508,01 </w:t>
      </w:r>
      <w:r w:rsidR="004611A5" w:rsidRPr="00C5016E">
        <w:rPr>
          <w:rFonts w:cs="Arial"/>
          <w:szCs w:val="24"/>
        </w:rPr>
        <w:t>milijun</w:t>
      </w:r>
      <w:r w:rsidRPr="00C5016E">
        <w:rPr>
          <w:rFonts w:cs="Arial"/>
          <w:szCs w:val="24"/>
        </w:rPr>
        <w:t xml:space="preserve"> KM, što je 55% planiranog u Proračunu Federacije BiH za 2022. godinu.</w:t>
      </w:r>
      <w:r w:rsidRPr="00C5016E">
        <w:t xml:space="preserve"> </w:t>
      </w:r>
    </w:p>
    <w:p w:rsidR="00C025DC" w:rsidRPr="00C5016E" w:rsidRDefault="00C025DC" w:rsidP="00C025DC">
      <w:pPr>
        <w:tabs>
          <w:tab w:val="left" w:pos="709"/>
        </w:tabs>
        <w:spacing w:before="0" w:after="0"/>
        <w:rPr>
          <w:rFonts w:cs="Arial"/>
          <w:szCs w:val="24"/>
        </w:rPr>
      </w:pPr>
      <w:r w:rsidRPr="00C5016E">
        <w:t>P</w:t>
      </w:r>
      <w:r w:rsidR="005D5929" w:rsidRPr="00C5016E">
        <w:t>ostotak</w:t>
      </w:r>
      <w:r w:rsidRPr="00C5016E">
        <w:t xml:space="preserve"> izvršenja u odnosu na prethodnu godinu veći je za 9% </w:t>
      </w:r>
      <w:r w:rsidRPr="00C5016E">
        <w:rPr>
          <w:rFonts w:cs="Arial"/>
          <w:szCs w:val="24"/>
        </w:rPr>
        <w:t xml:space="preserve">ili za 41,70 </w:t>
      </w:r>
      <w:r w:rsidR="004611A5" w:rsidRPr="00C5016E">
        <w:rPr>
          <w:rFonts w:cs="Arial"/>
          <w:szCs w:val="24"/>
        </w:rPr>
        <w:t>milijun</w:t>
      </w:r>
      <w:r w:rsidRPr="00C5016E">
        <w:rPr>
          <w:rFonts w:cs="Arial"/>
          <w:szCs w:val="24"/>
        </w:rPr>
        <w:t>a KM i odnosi se na:</w:t>
      </w:r>
    </w:p>
    <w:p w:rsidR="00E608A5" w:rsidRPr="00C5016E" w:rsidRDefault="00E608A5" w:rsidP="00C025DC">
      <w:pPr>
        <w:tabs>
          <w:tab w:val="left" w:pos="709"/>
        </w:tabs>
        <w:spacing w:before="0" w:after="0"/>
        <w:rPr>
          <w:rFonts w:cs="Arial"/>
          <w:szCs w:val="24"/>
        </w:rPr>
      </w:pPr>
    </w:p>
    <w:p w:rsidR="00C025DC" w:rsidRPr="00C5016E" w:rsidRDefault="00C025DC" w:rsidP="00C025DC">
      <w:pPr>
        <w:pStyle w:val="ListParagraph"/>
        <w:numPr>
          <w:ilvl w:val="0"/>
          <w:numId w:val="3"/>
        </w:numPr>
        <w:tabs>
          <w:tab w:val="left" w:pos="709"/>
        </w:tabs>
        <w:spacing w:before="0" w:after="0"/>
        <w:rPr>
          <w:rFonts w:ascii="Arial" w:hAnsi="Arial" w:cs="Arial"/>
          <w:szCs w:val="24"/>
          <w:lang w:val="hr-HR"/>
        </w:rPr>
      </w:pPr>
      <w:r w:rsidRPr="00C5016E">
        <w:rPr>
          <w:rFonts w:ascii="Arial" w:hAnsi="Arial" w:cs="Arial"/>
          <w:szCs w:val="24"/>
          <w:lang w:val="hr-HR"/>
        </w:rPr>
        <w:t xml:space="preserve">primitke od nefinancijske imovine 171,00 </w:t>
      </w:r>
      <w:r w:rsidR="004611A5" w:rsidRPr="00C5016E">
        <w:rPr>
          <w:rFonts w:ascii="Arial" w:hAnsi="Arial" w:cs="Arial"/>
          <w:szCs w:val="24"/>
          <w:lang w:val="hr-HR"/>
        </w:rPr>
        <w:t>milijun</w:t>
      </w:r>
      <w:r w:rsidRPr="00C5016E">
        <w:rPr>
          <w:rFonts w:ascii="Arial" w:hAnsi="Arial" w:cs="Arial"/>
          <w:szCs w:val="24"/>
          <w:lang w:val="hr-HR"/>
        </w:rPr>
        <w:t xml:space="preserve"> i to: </w:t>
      </w:r>
    </w:p>
    <w:p w:rsidR="00E608A5" w:rsidRPr="00C5016E" w:rsidRDefault="00E608A5" w:rsidP="00E608A5">
      <w:pPr>
        <w:pStyle w:val="ListParagraph"/>
        <w:tabs>
          <w:tab w:val="left" w:pos="709"/>
        </w:tabs>
        <w:spacing w:before="0" w:after="0"/>
        <w:rPr>
          <w:rFonts w:ascii="Arial" w:hAnsi="Arial" w:cs="Arial"/>
          <w:szCs w:val="24"/>
          <w:lang w:val="hr-HR"/>
        </w:rPr>
      </w:pPr>
    </w:p>
    <w:p w:rsidR="00C025DC" w:rsidRPr="00C5016E" w:rsidRDefault="00C025DC" w:rsidP="00C025DC">
      <w:pPr>
        <w:pStyle w:val="ListParagraph"/>
        <w:numPr>
          <w:ilvl w:val="0"/>
          <w:numId w:val="36"/>
        </w:numPr>
        <w:tabs>
          <w:tab w:val="left" w:pos="709"/>
        </w:tabs>
        <w:spacing w:before="0" w:after="0"/>
        <w:rPr>
          <w:rFonts w:ascii="Arial" w:hAnsi="Arial" w:cs="Arial"/>
          <w:szCs w:val="24"/>
          <w:lang w:val="hr-HR"/>
        </w:rPr>
      </w:pPr>
      <w:r w:rsidRPr="00C5016E">
        <w:rPr>
          <w:rFonts w:ascii="Arial" w:hAnsi="Arial" w:cs="Arial"/>
          <w:szCs w:val="24"/>
          <w:lang w:val="hr-HR"/>
        </w:rPr>
        <w:t>ostalih kapitalnih primitaka, koja se odnose na sredstva po osnov</w:t>
      </w:r>
      <w:r w:rsidR="005D5929" w:rsidRPr="00C5016E">
        <w:rPr>
          <w:rFonts w:ascii="Arial" w:hAnsi="Arial" w:cs="Arial"/>
          <w:szCs w:val="24"/>
          <w:lang w:val="hr-HR"/>
        </w:rPr>
        <w:t>i</w:t>
      </w:r>
      <w:r w:rsidRPr="00C5016E">
        <w:rPr>
          <w:rFonts w:ascii="Arial" w:hAnsi="Arial" w:cs="Arial"/>
          <w:szCs w:val="24"/>
          <w:lang w:val="hr-HR"/>
        </w:rPr>
        <w:t xml:space="preserve"> alokacije SDR (specijalnih prava </w:t>
      </w:r>
      <w:r w:rsidR="005D5929" w:rsidRPr="00C5016E">
        <w:rPr>
          <w:rFonts w:ascii="Arial" w:hAnsi="Arial" w:cs="Arial"/>
          <w:szCs w:val="24"/>
          <w:lang w:val="hr-HR"/>
        </w:rPr>
        <w:t>vučenja</w:t>
      </w:r>
      <w:r w:rsidRPr="00C5016E">
        <w:rPr>
          <w:rFonts w:ascii="Arial" w:hAnsi="Arial" w:cs="Arial"/>
          <w:szCs w:val="24"/>
          <w:lang w:val="hr-HR"/>
        </w:rPr>
        <w:t xml:space="preserve">) u iznosu od 151,69 </w:t>
      </w:r>
      <w:r w:rsidR="004611A5" w:rsidRPr="00C5016E">
        <w:rPr>
          <w:rFonts w:ascii="Arial" w:hAnsi="Arial" w:cs="Arial"/>
          <w:szCs w:val="24"/>
          <w:lang w:val="hr-HR"/>
        </w:rPr>
        <w:t>milijun</w:t>
      </w:r>
      <w:r w:rsidRPr="00C5016E">
        <w:rPr>
          <w:rFonts w:ascii="Arial" w:hAnsi="Arial" w:cs="Arial"/>
          <w:szCs w:val="24"/>
          <w:lang w:val="hr-HR"/>
        </w:rPr>
        <w:t xml:space="preserve">a KM. </w:t>
      </w:r>
    </w:p>
    <w:p w:rsidR="00C025DC" w:rsidRPr="00C5016E" w:rsidRDefault="00C025DC" w:rsidP="00C025DC">
      <w:pPr>
        <w:pStyle w:val="ListParagraph"/>
        <w:tabs>
          <w:tab w:val="left" w:pos="709"/>
        </w:tabs>
        <w:spacing w:before="0" w:after="0"/>
        <w:ind w:left="1070"/>
        <w:rPr>
          <w:rFonts w:ascii="Arial" w:hAnsi="Arial" w:cs="Arial"/>
          <w:szCs w:val="24"/>
          <w:lang w:val="hr-HR"/>
        </w:rPr>
      </w:pPr>
      <w:r w:rsidRPr="00C5016E">
        <w:rPr>
          <w:rFonts w:ascii="Arial" w:hAnsi="Arial" w:cs="Arial"/>
          <w:szCs w:val="24"/>
          <w:lang w:val="hr-HR"/>
        </w:rPr>
        <w:t>Napominjemo da je Bosna i Hercegovina kao nasljednica bivše SFR</w:t>
      </w:r>
      <w:r w:rsidR="00600F1F" w:rsidRPr="00C5016E">
        <w:rPr>
          <w:rFonts w:ascii="Arial" w:hAnsi="Arial" w:cs="Arial"/>
          <w:szCs w:val="24"/>
          <w:lang w:val="hr-HR"/>
        </w:rPr>
        <w:t>J naslijedila sva prava i obveze iz članstva u MMF. Ob</w:t>
      </w:r>
      <w:r w:rsidRPr="00C5016E">
        <w:rPr>
          <w:rFonts w:ascii="Arial" w:hAnsi="Arial" w:cs="Arial"/>
          <w:szCs w:val="24"/>
          <w:lang w:val="hr-HR"/>
        </w:rPr>
        <w:t>vezu snose entitetska ministarstva financi</w:t>
      </w:r>
      <w:r w:rsidR="00600F1F" w:rsidRPr="00C5016E">
        <w:rPr>
          <w:rFonts w:ascii="Arial" w:hAnsi="Arial" w:cs="Arial"/>
          <w:szCs w:val="24"/>
          <w:lang w:val="hr-HR"/>
        </w:rPr>
        <w:t xml:space="preserve">ja, a koordinaciju izvršenja obveze </w:t>
      </w:r>
      <w:r w:rsidRPr="00C5016E">
        <w:rPr>
          <w:rFonts w:ascii="Arial" w:hAnsi="Arial" w:cs="Arial"/>
          <w:szCs w:val="24"/>
          <w:lang w:val="hr-HR"/>
        </w:rPr>
        <w:t>provodi Ministarstvo financija i trezora BiH i Centralna banka kao fiskalni agent za člans</w:t>
      </w:r>
      <w:r w:rsidR="00600F1F" w:rsidRPr="00C5016E">
        <w:rPr>
          <w:rFonts w:ascii="Arial" w:hAnsi="Arial" w:cs="Arial"/>
          <w:szCs w:val="24"/>
          <w:lang w:val="hr-HR"/>
        </w:rPr>
        <w:t>tvo i odnose BiH sa MMF. Ova ob</w:t>
      </w:r>
      <w:r w:rsidRPr="00C5016E">
        <w:rPr>
          <w:rFonts w:ascii="Arial" w:hAnsi="Arial" w:cs="Arial"/>
          <w:szCs w:val="24"/>
          <w:lang w:val="hr-HR"/>
        </w:rPr>
        <w:t>veza traje sve dok je BiH članica MMF i sve dok postoji važeći Statut MMF</w:t>
      </w:r>
      <w:r w:rsidR="00600F1F" w:rsidRPr="00C5016E">
        <w:rPr>
          <w:rFonts w:ascii="Arial" w:hAnsi="Arial" w:cs="Arial"/>
          <w:szCs w:val="24"/>
          <w:lang w:val="hr-HR"/>
        </w:rPr>
        <w:t>;</w:t>
      </w:r>
    </w:p>
    <w:p w:rsidR="00C025DC" w:rsidRPr="00C5016E" w:rsidRDefault="00C025DC" w:rsidP="00C025DC">
      <w:pPr>
        <w:pStyle w:val="ListParagraph"/>
        <w:numPr>
          <w:ilvl w:val="0"/>
          <w:numId w:val="36"/>
        </w:numPr>
        <w:tabs>
          <w:tab w:val="left" w:pos="709"/>
        </w:tabs>
        <w:spacing w:before="0" w:after="0"/>
        <w:rPr>
          <w:rFonts w:ascii="Arial" w:hAnsi="Arial" w:cs="Arial"/>
          <w:szCs w:val="24"/>
          <w:lang w:val="hr-HR"/>
        </w:rPr>
      </w:pPr>
      <w:r w:rsidRPr="00C5016E">
        <w:rPr>
          <w:rFonts w:ascii="Arial" w:hAnsi="Arial" w:cs="Arial"/>
          <w:szCs w:val="24"/>
          <w:lang w:val="hr-HR"/>
        </w:rPr>
        <w:t xml:space="preserve">primitaka od prodaje zemljišta 19,06 </w:t>
      </w:r>
      <w:r w:rsidR="004611A5" w:rsidRPr="00C5016E">
        <w:rPr>
          <w:rFonts w:ascii="Arial" w:hAnsi="Arial" w:cs="Arial"/>
          <w:szCs w:val="24"/>
          <w:lang w:val="hr-HR"/>
        </w:rPr>
        <w:t>milijun</w:t>
      </w:r>
      <w:r w:rsidRPr="00C5016E">
        <w:rPr>
          <w:rFonts w:ascii="Arial" w:hAnsi="Arial" w:cs="Arial"/>
          <w:szCs w:val="24"/>
          <w:lang w:val="hr-HR"/>
        </w:rPr>
        <w:t>a KM odnosi se na Federalni zavod za mirovinsko/</w:t>
      </w:r>
      <w:r w:rsidR="00600F1F" w:rsidRPr="00C5016E">
        <w:rPr>
          <w:rFonts w:ascii="Arial" w:hAnsi="Arial" w:cs="Arial"/>
          <w:szCs w:val="24"/>
          <w:lang w:val="hr-HR"/>
        </w:rPr>
        <w:t>penzijsko</w:t>
      </w:r>
      <w:r w:rsidRPr="00C5016E">
        <w:rPr>
          <w:rFonts w:ascii="Arial" w:hAnsi="Arial" w:cs="Arial"/>
          <w:szCs w:val="24"/>
          <w:lang w:val="hr-HR"/>
        </w:rPr>
        <w:t xml:space="preserve"> i i</w:t>
      </w:r>
      <w:r w:rsidR="00600F1F" w:rsidRPr="00C5016E">
        <w:rPr>
          <w:rFonts w:ascii="Arial" w:hAnsi="Arial" w:cs="Arial"/>
          <w:szCs w:val="24"/>
          <w:lang w:val="hr-HR"/>
        </w:rPr>
        <w:t xml:space="preserve">nvalidsko osiguranje u skladu s </w:t>
      </w:r>
      <w:r w:rsidRPr="00C5016E">
        <w:rPr>
          <w:rFonts w:ascii="Arial" w:hAnsi="Arial" w:cs="Arial"/>
          <w:szCs w:val="24"/>
          <w:lang w:val="hr-HR"/>
        </w:rPr>
        <w:t xml:space="preserve">Odlukom o davanju </w:t>
      </w:r>
      <w:r w:rsidR="00600F1F" w:rsidRPr="00C5016E">
        <w:rPr>
          <w:rFonts w:ascii="Arial" w:hAnsi="Arial" w:cs="Arial"/>
          <w:szCs w:val="24"/>
          <w:lang w:val="hr-HR"/>
        </w:rPr>
        <w:t>suglasnosti</w:t>
      </w:r>
      <w:r w:rsidRPr="00C5016E">
        <w:rPr>
          <w:rFonts w:ascii="Arial" w:hAnsi="Arial" w:cs="Arial"/>
          <w:szCs w:val="24"/>
          <w:lang w:val="hr-HR"/>
        </w:rPr>
        <w:t xml:space="preserve"> za provođenje postupka prodaje nekretnine Dom </w:t>
      </w:r>
      <w:r w:rsidR="00600F1F" w:rsidRPr="00C5016E">
        <w:rPr>
          <w:rFonts w:ascii="Arial" w:hAnsi="Arial" w:cs="Arial"/>
          <w:szCs w:val="24"/>
          <w:lang w:val="hr-HR"/>
        </w:rPr>
        <w:t>umirovljenika</w:t>
      </w:r>
      <w:r w:rsidRPr="00C5016E">
        <w:rPr>
          <w:rFonts w:ascii="Arial" w:hAnsi="Arial" w:cs="Arial"/>
          <w:szCs w:val="24"/>
          <w:lang w:val="hr-HR"/>
        </w:rPr>
        <w:t xml:space="preserve"> „Nedžarići“, ulica Bulevar Meše Selimovića, </w:t>
      </w:r>
      <w:r w:rsidR="00600F1F" w:rsidRPr="00C5016E">
        <w:rPr>
          <w:rFonts w:ascii="Arial" w:hAnsi="Arial" w:cs="Arial"/>
          <w:szCs w:val="24"/>
          <w:lang w:val="hr-HR"/>
        </w:rPr>
        <w:t xml:space="preserve">Sarajevo, V. broj: 740/2021 od </w:t>
      </w:r>
      <w:r w:rsidRPr="00C5016E">
        <w:rPr>
          <w:rFonts w:ascii="Arial" w:hAnsi="Arial" w:cs="Arial"/>
          <w:szCs w:val="24"/>
          <w:lang w:val="hr-HR"/>
        </w:rPr>
        <w:t xml:space="preserve">6. </w:t>
      </w:r>
      <w:r w:rsidR="00600F1F" w:rsidRPr="00C5016E">
        <w:rPr>
          <w:rFonts w:ascii="Arial" w:hAnsi="Arial" w:cs="Arial"/>
          <w:szCs w:val="24"/>
          <w:lang w:val="hr-HR"/>
        </w:rPr>
        <w:t>svibnja</w:t>
      </w:r>
      <w:r w:rsidRPr="00C5016E">
        <w:rPr>
          <w:rFonts w:ascii="Arial" w:hAnsi="Arial" w:cs="Arial"/>
          <w:szCs w:val="24"/>
          <w:lang w:val="hr-HR"/>
        </w:rPr>
        <w:t xml:space="preserve"> 2021. i Ugovora o kupoprodaji nekretnine OPU-IP:</w:t>
      </w:r>
      <w:r w:rsidR="00600F1F" w:rsidRPr="00C5016E">
        <w:rPr>
          <w:rFonts w:ascii="Arial" w:hAnsi="Arial" w:cs="Arial"/>
          <w:szCs w:val="24"/>
          <w:lang w:val="hr-HR"/>
        </w:rPr>
        <w:t xml:space="preserve"> </w:t>
      </w:r>
      <w:r w:rsidRPr="00C5016E">
        <w:rPr>
          <w:rFonts w:ascii="Arial" w:hAnsi="Arial" w:cs="Arial"/>
          <w:szCs w:val="24"/>
          <w:lang w:val="hr-HR"/>
        </w:rPr>
        <w:t>24/2022 sklopljenog između Federalnog zavoda za mirovinsko/</w:t>
      </w:r>
      <w:r w:rsidR="00600F1F" w:rsidRPr="00C5016E">
        <w:rPr>
          <w:rFonts w:ascii="Arial" w:hAnsi="Arial" w:cs="Arial"/>
          <w:szCs w:val="24"/>
          <w:lang w:val="hr-HR"/>
        </w:rPr>
        <w:t xml:space="preserve"> penzijsko</w:t>
      </w:r>
      <w:r w:rsidRPr="00C5016E">
        <w:rPr>
          <w:rFonts w:ascii="Arial" w:hAnsi="Arial" w:cs="Arial"/>
          <w:szCs w:val="24"/>
          <w:lang w:val="hr-HR"/>
        </w:rPr>
        <w:t xml:space="preserve"> i invalidsko osiguranje i „Mont Ing“ d.o.o. Visoko</w:t>
      </w:r>
      <w:r w:rsidR="00600F1F" w:rsidRPr="00C5016E">
        <w:rPr>
          <w:rFonts w:ascii="Arial" w:hAnsi="Arial" w:cs="Arial"/>
          <w:szCs w:val="24"/>
          <w:lang w:val="hr-HR"/>
        </w:rPr>
        <w:t>;</w:t>
      </w:r>
      <w:r w:rsidRPr="00C5016E">
        <w:rPr>
          <w:rFonts w:ascii="Arial" w:hAnsi="Arial" w:cs="Arial"/>
          <w:szCs w:val="24"/>
          <w:lang w:val="hr-HR"/>
        </w:rPr>
        <w:t xml:space="preserve"> </w:t>
      </w:r>
    </w:p>
    <w:p w:rsidR="00C025DC" w:rsidRPr="00C5016E" w:rsidRDefault="00C025DC" w:rsidP="00C025DC">
      <w:pPr>
        <w:pStyle w:val="ListParagraph"/>
        <w:numPr>
          <w:ilvl w:val="0"/>
          <w:numId w:val="36"/>
        </w:numPr>
        <w:tabs>
          <w:tab w:val="left" w:pos="709"/>
        </w:tabs>
        <w:spacing w:before="0" w:after="0"/>
        <w:rPr>
          <w:rFonts w:ascii="Arial" w:hAnsi="Arial" w:cs="Arial"/>
          <w:szCs w:val="24"/>
          <w:lang w:val="hr-HR"/>
        </w:rPr>
      </w:pPr>
      <w:r w:rsidRPr="00C5016E">
        <w:rPr>
          <w:rFonts w:ascii="Arial" w:hAnsi="Arial" w:cs="Arial"/>
          <w:szCs w:val="24"/>
          <w:lang w:val="hr-HR"/>
        </w:rPr>
        <w:t xml:space="preserve">primitaka od prodaje zgrada i stambenih objekata 0,05 </w:t>
      </w:r>
      <w:r w:rsidR="004611A5" w:rsidRPr="00C5016E">
        <w:rPr>
          <w:rFonts w:ascii="Arial" w:hAnsi="Arial" w:cs="Arial"/>
          <w:szCs w:val="24"/>
          <w:lang w:val="hr-HR"/>
        </w:rPr>
        <w:t>milijun</w:t>
      </w:r>
      <w:r w:rsidR="00600F1F" w:rsidRPr="00C5016E">
        <w:rPr>
          <w:rFonts w:ascii="Arial" w:hAnsi="Arial" w:cs="Arial"/>
          <w:szCs w:val="24"/>
          <w:lang w:val="hr-HR"/>
        </w:rPr>
        <w:t>a KM;</w:t>
      </w:r>
    </w:p>
    <w:p w:rsidR="00C025DC" w:rsidRPr="00C5016E" w:rsidRDefault="00C025DC" w:rsidP="00C025DC">
      <w:pPr>
        <w:pStyle w:val="ListParagraph"/>
        <w:numPr>
          <w:ilvl w:val="0"/>
          <w:numId w:val="36"/>
        </w:numPr>
        <w:tabs>
          <w:tab w:val="left" w:pos="709"/>
        </w:tabs>
        <w:spacing w:before="0" w:after="0"/>
        <w:rPr>
          <w:rFonts w:ascii="Arial" w:hAnsi="Arial" w:cs="Arial"/>
          <w:szCs w:val="24"/>
          <w:lang w:val="hr-HR"/>
        </w:rPr>
      </w:pPr>
      <w:r w:rsidRPr="00C5016E">
        <w:rPr>
          <w:rFonts w:ascii="Arial" w:hAnsi="Arial" w:cs="Arial"/>
          <w:szCs w:val="24"/>
          <w:lang w:val="hr-HR"/>
        </w:rPr>
        <w:t xml:space="preserve">primitke od prodaje prometnih vozila 0,20 </w:t>
      </w:r>
      <w:r w:rsidR="004611A5" w:rsidRPr="00C5016E">
        <w:rPr>
          <w:rFonts w:ascii="Arial" w:hAnsi="Arial" w:cs="Arial"/>
          <w:szCs w:val="24"/>
          <w:lang w:val="hr-HR"/>
        </w:rPr>
        <w:t>milijun</w:t>
      </w:r>
      <w:r w:rsidRPr="00C5016E">
        <w:rPr>
          <w:rFonts w:ascii="Arial" w:hAnsi="Arial" w:cs="Arial"/>
          <w:szCs w:val="24"/>
          <w:lang w:val="hr-HR"/>
        </w:rPr>
        <w:t>a KM.</w:t>
      </w:r>
      <w:r w:rsidR="00600F1F" w:rsidRPr="00C5016E">
        <w:rPr>
          <w:rFonts w:ascii="Arial" w:hAnsi="Arial" w:cs="Arial"/>
          <w:szCs w:val="24"/>
          <w:lang w:val="hr-HR"/>
        </w:rPr>
        <w:t xml:space="preserve"> </w:t>
      </w:r>
    </w:p>
    <w:p w:rsidR="00C025DC" w:rsidRPr="00C5016E" w:rsidRDefault="00C025DC" w:rsidP="00C025DC">
      <w:pPr>
        <w:pStyle w:val="ListParagraph"/>
        <w:numPr>
          <w:ilvl w:val="0"/>
          <w:numId w:val="3"/>
        </w:numPr>
        <w:tabs>
          <w:tab w:val="left" w:pos="709"/>
        </w:tabs>
        <w:spacing w:before="0" w:after="0"/>
        <w:rPr>
          <w:rFonts w:ascii="Arial" w:hAnsi="Arial" w:cs="Arial"/>
          <w:szCs w:val="24"/>
          <w:lang w:val="hr-HR"/>
        </w:rPr>
      </w:pPr>
      <w:r w:rsidRPr="00C5016E">
        <w:rPr>
          <w:rFonts w:ascii="Arial" w:hAnsi="Arial" w:cs="Arial"/>
          <w:szCs w:val="24"/>
          <w:lang w:val="hr-HR"/>
        </w:rPr>
        <w:t xml:space="preserve">IBRD kredit u iznosu od 7,62 </w:t>
      </w:r>
      <w:r w:rsidR="004611A5" w:rsidRPr="00C5016E">
        <w:rPr>
          <w:rFonts w:ascii="Arial" w:hAnsi="Arial" w:cs="Arial"/>
          <w:szCs w:val="24"/>
          <w:lang w:val="hr-HR"/>
        </w:rPr>
        <w:t>milijun</w:t>
      </w:r>
      <w:r w:rsidR="00600F1F" w:rsidRPr="00C5016E">
        <w:rPr>
          <w:rFonts w:ascii="Arial" w:hAnsi="Arial" w:cs="Arial"/>
          <w:szCs w:val="24"/>
          <w:lang w:val="hr-HR"/>
        </w:rPr>
        <w:t>a KM za projek</w:t>
      </w:r>
      <w:r w:rsidRPr="00C5016E">
        <w:rPr>
          <w:rFonts w:ascii="Arial" w:hAnsi="Arial" w:cs="Arial"/>
          <w:szCs w:val="24"/>
          <w:lang w:val="hr-HR"/>
        </w:rPr>
        <w:t>t podrške zapošljavanju,</w:t>
      </w:r>
      <w:r w:rsidR="006229C5" w:rsidRPr="00C5016E">
        <w:rPr>
          <w:rFonts w:ascii="Arial" w:hAnsi="Arial" w:cs="Arial"/>
          <w:szCs w:val="24"/>
          <w:lang w:val="hr-HR"/>
        </w:rPr>
        <w:t xml:space="preserve"> </w:t>
      </w:r>
      <w:r w:rsidRPr="00C5016E">
        <w:rPr>
          <w:rFonts w:ascii="Arial" w:hAnsi="Arial" w:cs="Arial"/>
          <w:szCs w:val="24"/>
          <w:lang w:val="hr-HR"/>
        </w:rPr>
        <w:t xml:space="preserve">kreditna tranša u okviru Makrofinancijske pomoći Bosni i Hercegovini prema Sporazumu o kreditnoj liniji između Europske unije i Bosne i Hercegovine u iznosu od 149,51 </w:t>
      </w:r>
      <w:r w:rsidR="004611A5" w:rsidRPr="00C5016E">
        <w:rPr>
          <w:rFonts w:ascii="Arial" w:hAnsi="Arial" w:cs="Arial"/>
          <w:szCs w:val="24"/>
          <w:lang w:val="hr-HR"/>
        </w:rPr>
        <w:t>milijun</w:t>
      </w:r>
      <w:r w:rsidRPr="00C5016E">
        <w:rPr>
          <w:rFonts w:ascii="Arial" w:hAnsi="Arial" w:cs="Arial"/>
          <w:szCs w:val="24"/>
          <w:lang w:val="hr-HR"/>
        </w:rPr>
        <w:t xml:space="preserve"> KM,</w:t>
      </w:r>
    </w:p>
    <w:p w:rsidR="00C025DC" w:rsidRPr="00C5016E" w:rsidRDefault="00C025DC" w:rsidP="00C025DC">
      <w:pPr>
        <w:pStyle w:val="ListParagraph"/>
        <w:numPr>
          <w:ilvl w:val="0"/>
          <w:numId w:val="3"/>
        </w:numPr>
        <w:tabs>
          <w:tab w:val="left" w:pos="709"/>
        </w:tabs>
        <w:spacing w:before="0" w:after="0"/>
        <w:rPr>
          <w:rFonts w:ascii="Arial" w:hAnsi="Arial" w:cs="Arial"/>
          <w:szCs w:val="24"/>
          <w:lang w:val="hr-HR"/>
        </w:rPr>
      </w:pPr>
      <w:r w:rsidRPr="00C5016E">
        <w:rPr>
          <w:rFonts w:ascii="Arial" w:hAnsi="Arial" w:cs="Arial"/>
          <w:szCs w:val="24"/>
          <w:lang w:val="hr-HR"/>
        </w:rPr>
        <w:t xml:space="preserve">zaduženje putem emisije dugoročnih obveznica u iznosu od 129,87 </w:t>
      </w:r>
      <w:r w:rsidR="004611A5" w:rsidRPr="00C5016E">
        <w:rPr>
          <w:rFonts w:ascii="Arial" w:hAnsi="Arial" w:cs="Arial"/>
          <w:szCs w:val="24"/>
          <w:lang w:val="hr-HR"/>
        </w:rPr>
        <w:t>milijun</w:t>
      </w:r>
      <w:r w:rsidRPr="00C5016E">
        <w:rPr>
          <w:rFonts w:ascii="Arial" w:hAnsi="Arial" w:cs="Arial"/>
          <w:szCs w:val="24"/>
          <w:lang w:val="hr-HR"/>
        </w:rPr>
        <w:t xml:space="preserve">a KM u skladu sa sljedećim odlukama: </w:t>
      </w:r>
    </w:p>
    <w:p w:rsidR="00E608A5" w:rsidRPr="00C5016E" w:rsidRDefault="00E608A5" w:rsidP="00E608A5">
      <w:pPr>
        <w:pStyle w:val="ListParagraph"/>
        <w:tabs>
          <w:tab w:val="left" w:pos="709"/>
        </w:tabs>
        <w:spacing w:before="0" w:after="0"/>
        <w:rPr>
          <w:rFonts w:ascii="Arial" w:hAnsi="Arial" w:cs="Arial"/>
          <w:szCs w:val="24"/>
          <w:lang w:val="hr-HR"/>
        </w:rPr>
      </w:pPr>
    </w:p>
    <w:p w:rsidR="00C025DC" w:rsidRPr="00C5016E" w:rsidRDefault="00C025DC" w:rsidP="00C025DC">
      <w:pPr>
        <w:pStyle w:val="ListParagraph"/>
        <w:numPr>
          <w:ilvl w:val="1"/>
          <w:numId w:val="3"/>
        </w:numPr>
        <w:tabs>
          <w:tab w:val="left" w:pos="709"/>
        </w:tabs>
        <w:spacing w:before="0" w:after="0"/>
        <w:ind w:left="1070"/>
        <w:rPr>
          <w:rFonts w:ascii="Arial" w:hAnsi="Arial" w:cs="Arial"/>
          <w:szCs w:val="24"/>
          <w:lang w:val="hr-HR"/>
        </w:rPr>
      </w:pPr>
      <w:r w:rsidRPr="00C5016E">
        <w:rPr>
          <w:rFonts w:ascii="Arial" w:hAnsi="Arial" w:cs="Arial"/>
          <w:szCs w:val="24"/>
          <w:lang w:val="hr-HR"/>
        </w:rPr>
        <w:t xml:space="preserve">Odlukom o zaduženju Federacije Bosne i Hercegovine putem emisije obveznica (10Y) Federacije Bosne i Hercegovine, V. broj: 690/2022 od 12. </w:t>
      </w:r>
      <w:r w:rsidR="006229C5" w:rsidRPr="00C5016E">
        <w:rPr>
          <w:rFonts w:ascii="Arial" w:hAnsi="Arial" w:cs="Arial"/>
          <w:szCs w:val="24"/>
          <w:lang w:val="hr-HR"/>
        </w:rPr>
        <w:t>svibnja</w:t>
      </w:r>
      <w:r w:rsidRPr="00C5016E">
        <w:rPr>
          <w:rFonts w:ascii="Arial" w:hAnsi="Arial" w:cs="Arial"/>
          <w:szCs w:val="24"/>
          <w:lang w:val="hr-HR"/>
        </w:rPr>
        <w:t xml:space="preserve"> 2022. („Službene novine Federacije BiH“, broj: 37/22) 29,94 </w:t>
      </w:r>
      <w:r w:rsidR="004611A5" w:rsidRPr="00C5016E">
        <w:rPr>
          <w:rFonts w:ascii="Arial" w:hAnsi="Arial" w:cs="Arial"/>
          <w:szCs w:val="24"/>
          <w:lang w:val="hr-HR"/>
        </w:rPr>
        <w:t>milijun</w:t>
      </w:r>
      <w:r w:rsidR="006229C5" w:rsidRPr="00C5016E">
        <w:rPr>
          <w:rFonts w:ascii="Arial" w:hAnsi="Arial" w:cs="Arial"/>
          <w:szCs w:val="24"/>
          <w:lang w:val="hr-HR"/>
        </w:rPr>
        <w:t>a KM</w:t>
      </w:r>
    </w:p>
    <w:p w:rsidR="00C025DC" w:rsidRPr="00C5016E" w:rsidRDefault="00C025DC" w:rsidP="00C025DC">
      <w:pPr>
        <w:pStyle w:val="ListParagraph"/>
        <w:numPr>
          <w:ilvl w:val="1"/>
          <w:numId w:val="3"/>
        </w:numPr>
        <w:tabs>
          <w:tab w:val="left" w:pos="709"/>
        </w:tabs>
        <w:spacing w:before="0" w:after="0"/>
        <w:ind w:left="1070"/>
        <w:rPr>
          <w:rFonts w:ascii="Arial" w:hAnsi="Arial" w:cs="Arial"/>
          <w:szCs w:val="24"/>
          <w:lang w:val="hr-HR"/>
        </w:rPr>
      </w:pPr>
      <w:r w:rsidRPr="00C5016E">
        <w:rPr>
          <w:rFonts w:ascii="Arial" w:hAnsi="Arial" w:cs="Arial"/>
          <w:szCs w:val="24"/>
          <w:lang w:val="hr-HR"/>
        </w:rPr>
        <w:lastRenderedPageBreak/>
        <w:t xml:space="preserve">Odlukom o zaduženju Federacije Bosne i Hercegovine putem emisije obveznica (6Y) Federacije Bosne i Hercegovine, V. broj: 688/2022 od 12. </w:t>
      </w:r>
      <w:r w:rsidR="006229C5" w:rsidRPr="00C5016E">
        <w:rPr>
          <w:rFonts w:ascii="Arial" w:hAnsi="Arial" w:cs="Arial"/>
          <w:szCs w:val="24"/>
          <w:lang w:val="hr-HR"/>
        </w:rPr>
        <w:t>svibnja</w:t>
      </w:r>
      <w:r w:rsidRPr="00C5016E">
        <w:rPr>
          <w:rFonts w:ascii="Arial" w:hAnsi="Arial" w:cs="Arial"/>
          <w:szCs w:val="24"/>
          <w:lang w:val="hr-HR"/>
        </w:rPr>
        <w:t xml:space="preserve"> 2022. („Službene novin</w:t>
      </w:r>
      <w:r w:rsidR="006229C5" w:rsidRPr="00C5016E">
        <w:rPr>
          <w:rFonts w:ascii="Arial" w:hAnsi="Arial" w:cs="Arial"/>
          <w:szCs w:val="24"/>
          <w:lang w:val="hr-HR"/>
        </w:rPr>
        <w:t>e Federacije BiH“, broj: 37/22)</w:t>
      </w:r>
      <w:r w:rsidRPr="00C5016E">
        <w:rPr>
          <w:rFonts w:ascii="Arial" w:hAnsi="Arial" w:cs="Arial"/>
          <w:szCs w:val="24"/>
          <w:lang w:val="hr-HR"/>
        </w:rPr>
        <w:t xml:space="preserve"> 29,96 </w:t>
      </w:r>
      <w:r w:rsidR="004611A5" w:rsidRPr="00C5016E">
        <w:rPr>
          <w:rFonts w:ascii="Arial" w:hAnsi="Arial" w:cs="Arial"/>
          <w:szCs w:val="24"/>
          <w:lang w:val="hr-HR"/>
        </w:rPr>
        <w:t>milijun</w:t>
      </w:r>
      <w:r w:rsidR="006229C5" w:rsidRPr="00C5016E">
        <w:rPr>
          <w:rFonts w:ascii="Arial" w:hAnsi="Arial" w:cs="Arial"/>
          <w:szCs w:val="24"/>
          <w:lang w:val="hr-HR"/>
        </w:rPr>
        <w:t>a KM</w:t>
      </w:r>
    </w:p>
    <w:p w:rsidR="00C025DC" w:rsidRPr="00C5016E" w:rsidRDefault="00C025DC" w:rsidP="00C025DC">
      <w:pPr>
        <w:pStyle w:val="ListParagraph"/>
        <w:numPr>
          <w:ilvl w:val="1"/>
          <w:numId w:val="3"/>
        </w:numPr>
        <w:tabs>
          <w:tab w:val="left" w:pos="709"/>
        </w:tabs>
        <w:spacing w:before="0" w:after="0"/>
        <w:ind w:left="1070"/>
        <w:rPr>
          <w:rFonts w:ascii="Arial" w:hAnsi="Arial" w:cs="Arial"/>
          <w:szCs w:val="24"/>
          <w:lang w:val="hr-HR"/>
        </w:rPr>
      </w:pPr>
      <w:r w:rsidRPr="00C5016E">
        <w:rPr>
          <w:rFonts w:ascii="Arial" w:hAnsi="Arial" w:cs="Arial"/>
          <w:szCs w:val="24"/>
          <w:lang w:val="hr-HR"/>
        </w:rPr>
        <w:t xml:space="preserve">Odlukom o zaduženju Federacije Bosne i Hercegovine putem emisije obveznica (7Y) Federacije Bosne i Hercegovine, V. broj: 689/2022 od 12. </w:t>
      </w:r>
      <w:r w:rsidR="006229C5" w:rsidRPr="00C5016E">
        <w:rPr>
          <w:rFonts w:ascii="Arial" w:hAnsi="Arial" w:cs="Arial"/>
          <w:szCs w:val="24"/>
          <w:lang w:val="hr-HR"/>
        </w:rPr>
        <w:t>svibnja</w:t>
      </w:r>
      <w:r w:rsidRPr="00C5016E">
        <w:rPr>
          <w:rFonts w:ascii="Arial" w:hAnsi="Arial" w:cs="Arial"/>
          <w:szCs w:val="24"/>
          <w:lang w:val="hr-HR"/>
        </w:rPr>
        <w:t xml:space="preserve"> 2022. („Službene novine Federacije BiH“, broj: 37/22) 29,98 </w:t>
      </w:r>
      <w:r w:rsidR="004611A5" w:rsidRPr="00C5016E">
        <w:rPr>
          <w:rFonts w:ascii="Arial" w:hAnsi="Arial" w:cs="Arial"/>
          <w:szCs w:val="24"/>
          <w:lang w:val="hr-HR"/>
        </w:rPr>
        <w:t>milijun</w:t>
      </w:r>
      <w:r w:rsidR="006229C5" w:rsidRPr="00C5016E">
        <w:rPr>
          <w:rFonts w:ascii="Arial" w:hAnsi="Arial" w:cs="Arial"/>
          <w:szCs w:val="24"/>
          <w:lang w:val="hr-HR"/>
        </w:rPr>
        <w:t xml:space="preserve">a KM </w:t>
      </w:r>
    </w:p>
    <w:p w:rsidR="00C025DC" w:rsidRPr="00C5016E" w:rsidRDefault="00C025DC" w:rsidP="00C025DC">
      <w:pPr>
        <w:pStyle w:val="ListParagraph"/>
        <w:numPr>
          <w:ilvl w:val="1"/>
          <w:numId w:val="3"/>
        </w:numPr>
        <w:tabs>
          <w:tab w:val="left" w:pos="709"/>
        </w:tabs>
        <w:spacing w:before="0" w:after="0"/>
        <w:ind w:left="1070"/>
        <w:rPr>
          <w:rFonts w:ascii="Arial" w:hAnsi="Arial" w:cs="Arial"/>
          <w:szCs w:val="24"/>
          <w:lang w:val="hr-HR"/>
        </w:rPr>
      </w:pPr>
      <w:r w:rsidRPr="00C5016E">
        <w:rPr>
          <w:rFonts w:ascii="Arial" w:hAnsi="Arial" w:cs="Arial"/>
          <w:szCs w:val="24"/>
          <w:lang w:val="hr-HR"/>
        </w:rPr>
        <w:t xml:space="preserve">Odlukom o zaduženju Federacije Bosne i Hercegovine putem emisije obveznica (2Y) Federacije Bosne i Hercegovine, V. broj: 686/2022 od 12. </w:t>
      </w:r>
      <w:r w:rsidR="006229C5" w:rsidRPr="00C5016E">
        <w:rPr>
          <w:rFonts w:ascii="Arial" w:hAnsi="Arial" w:cs="Arial"/>
          <w:szCs w:val="24"/>
          <w:lang w:val="hr-HR"/>
        </w:rPr>
        <w:t xml:space="preserve">svibnja </w:t>
      </w:r>
      <w:r w:rsidRPr="00C5016E">
        <w:rPr>
          <w:rFonts w:ascii="Arial" w:hAnsi="Arial" w:cs="Arial"/>
          <w:szCs w:val="24"/>
          <w:lang w:val="hr-HR"/>
        </w:rPr>
        <w:t xml:space="preserve">2022. („Službene novine Federacije BiH“, broj: 37/22) 39,99 </w:t>
      </w:r>
      <w:r w:rsidR="004611A5" w:rsidRPr="00C5016E">
        <w:rPr>
          <w:rFonts w:ascii="Arial" w:hAnsi="Arial" w:cs="Arial"/>
          <w:szCs w:val="24"/>
          <w:lang w:val="hr-HR"/>
        </w:rPr>
        <w:t>milijun</w:t>
      </w:r>
      <w:r w:rsidRPr="00C5016E">
        <w:rPr>
          <w:rFonts w:ascii="Arial" w:hAnsi="Arial" w:cs="Arial"/>
          <w:szCs w:val="24"/>
          <w:lang w:val="hr-HR"/>
        </w:rPr>
        <w:t>a KM</w:t>
      </w:r>
    </w:p>
    <w:p w:rsidR="00C025DC" w:rsidRPr="00C5016E" w:rsidRDefault="00C025DC" w:rsidP="00C025DC">
      <w:pPr>
        <w:pStyle w:val="ListParagraph"/>
        <w:numPr>
          <w:ilvl w:val="0"/>
          <w:numId w:val="3"/>
        </w:numPr>
        <w:tabs>
          <w:tab w:val="left" w:pos="709"/>
        </w:tabs>
        <w:spacing w:before="0" w:after="0"/>
        <w:rPr>
          <w:rFonts w:ascii="Arial" w:hAnsi="Arial" w:cs="Arial"/>
          <w:szCs w:val="24"/>
          <w:lang w:val="hr-HR"/>
        </w:rPr>
      </w:pPr>
      <w:r w:rsidRPr="00C5016E">
        <w:rPr>
          <w:rFonts w:ascii="Arial" w:hAnsi="Arial" w:cs="Arial"/>
          <w:szCs w:val="24"/>
          <w:lang w:val="hr-HR"/>
        </w:rPr>
        <w:t>zaduženje po osnov</w:t>
      </w:r>
      <w:r w:rsidR="006229C5" w:rsidRPr="00C5016E">
        <w:rPr>
          <w:rFonts w:ascii="Arial" w:hAnsi="Arial" w:cs="Arial"/>
          <w:szCs w:val="24"/>
          <w:lang w:val="hr-HR"/>
        </w:rPr>
        <w:t>i</w:t>
      </w:r>
      <w:r w:rsidRPr="00C5016E">
        <w:rPr>
          <w:rFonts w:ascii="Arial" w:hAnsi="Arial" w:cs="Arial"/>
          <w:szCs w:val="24"/>
          <w:lang w:val="hr-HR"/>
        </w:rPr>
        <w:t xml:space="preserve"> emisije trezorskih zapisa u iznosu od 50,0 </w:t>
      </w:r>
      <w:r w:rsidR="004611A5" w:rsidRPr="00C5016E">
        <w:rPr>
          <w:rFonts w:ascii="Arial" w:hAnsi="Arial" w:cs="Arial"/>
          <w:szCs w:val="24"/>
          <w:lang w:val="hr-HR"/>
        </w:rPr>
        <w:t>milijun</w:t>
      </w:r>
      <w:r w:rsidR="006229C5" w:rsidRPr="00C5016E">
        <w:rPr>
          <w:rFonts w:ascii="Arial" w:hAnsi="Arial" w:cs="Arial"/>
          <w:szCs w:val="24"/>
          <w:lang w:val="hr-HR"/>
        </w:rPr>
        <w:t>a KM u skladu s</w:t>
      </w:r>
      <w:r w:rsidRPr="00C5016E">
        <w:rPr>
          <w:rFonts w:ascii="Arial" w:hAnsi="Arial" w:cs="Arial"/>
          <w:szCs w:val="24"/>
          <w:lang w:val="hr-HR"/>
        </w:rPr>
        <w:t xml:space="preserve"> Odlukom o zaduženju Federacije Bosne i Hercegovine putem emisije trezorskih zapisa (9M) Federacije Bosne i Hercegovine, V. broj: 674/2022 od 12. </w:t>
      </w:r>
      <w:r w:rsidR="006229C5" w:rsidRPr="00C5016E">
        <w:rPr>
          <w:rFonts w:ascii="Arial" w:hAnsi="Arial" w:cs="Arial"/>
          <w:szCs w:val="24"/>
          <w:lang w:val="hr-HR"/>
        </w:rPr>
        <w:t xml:space="preserve">svibnja </w:t>
      </w:r>
      <w:r w:rsidRPr="00C5016E">
        <w:rPr>
          <w:rFonts w:ascii="Arial" w:hAnsi="Arial" w:cs="Arial"/>
          <w:szCs w:val="24"/>
          <w:lang w:val="hr-HR"/>
        </w:rPr>
        <w:t>2022. („Službene novine Federacije BiH“, broj: 37/22).</w:t>
      </w:r>
    </w:p>
    <w:p w:rsidR="00C025DC" w:rsidRPr="00C5016E" w:rsidRDefault="00C025DC" w:rsidP="00C025DC">
      <w:pPr>
        <w:tabs>
          <w:tab w:val="left" w:pos="709"/>
        </w:tabs>
        <w:spacing w:before="0" w:after="0"/>
        <w:rPr>
          <w:rFonts w:cs="Arial"/>
          <w:szCs w:val="24"/>
        </w:rPr>
      </w:pPr>
    </w:p>
    <w:p w:rsidR="00C025DC" w:rsidRPr="00C5016E" w:rsidRDefault="006229C5" w:rsidP="00C025DC">
      <w:pPr>
        <w:tabs>
          <w:tab w:val="left" w:pos="709"/>
        </w:tabs>
        <w:spacing w:before="0" w:after="0"/>
        <w:rPr>
          <w:rFonts w:cs="Arial"/>
          <w:szCs w:val="24"/>
        </w:rPr>
      </w:pPr>
      <w:r w:rsidRPr="00C5016E">
        <w:rPr>
          <w:rFonts w:cs="Arial"/>
          <w:szCs w:val="24"/>
        </w:rPr>
        <w:t>Zbog zadovoljavajuće</w:t>
      </w:r>
      <w:r w:rsidR="00C025DC" w:rsidRPr="00C5016E">
        <w:rPr>
          <w:rFonts w:cs="Arial"/>
          <w:szCs w:val="24"/>
        </w:rPr>
        <w:t xml:space="preserve"> </w:t>
      </w:r>
      <w:r w:rsidRPr="00C5016E">
        <w:rPr>
          <w:rFonts w:cs="Arial"/>
          <w:szCs w:val="24"/>
        </w:rPr>
        <w:t>razine</w:t>
      </w:r>
      <w:r w:rsidR="00C025DC" w:rsidRPr="00C5016E">
        <w:rPr>
          <w:rFonts w:cs="Arial"/>
          <w:szCs w:val="24"/>
        </w:rPr>
        <w:t xml:space="preserve"> likvidnosti u 2022. godini Federacija BiH je odustala od značajnog dijela </w:t>
      </w:r>
      <w:r w:rsidRPr="00C5016E">
        <w:rPr>
          <w:rFonts w:cs="Arial"/>
          <w:szCs w:val="24"/>
        </w:rPr>
        <w:t>emitiranja</w:t>
      </w:r>
      <w:r w:rsidR="00C025DC" w:rsidRPr="00C5016E">
        <w:rPr>
          <w:rFonts w:cs="Arial"/>
          <w:szCs w:val="24"/>
        </w:rPr>
        <w:t xml:space="preserve"> vrijednosnih papira (obveznica i trezorskih zapisa) na domaćem tržištu.</w:t>
      </w:r>
    </w:p>
    <w:p w:rsidR="00C025DC" w:rsidRPr="00C5016E" w:rsidRDefault="00C025DC" w:rsidP="00C025DC">
      <w:pPr>
        <w:pStyle w:val="Heading2"/>
        <w:rPr>
          <w:rFonts w:ascii="Arial" w:hAnsi="Arial" w:cs="Arial"/>
          <w:bCs/>
        </w:rPr>
      </w:pPr>
      <w:bookmarkStart w:id="57" w:name="_Toc131505206"/>
      <w:r w:rsidRPr="00C5016E">
        <w:rPr>
          <w:rFonts w:ascii="Arial" w:hAnsi="Arial" w:cs="Arial"/>
        </w:rPr>
        <w:t>Odstupanja između prihoda planiranih Proračunom Federacije BiH za 2022. godinu i ostvarenih u 2022. godini</w:t>
      </w:r>
      <w:bookmarkEnd w:id="57"/>
    </w:p>
    <w:p w:rsidR="00E608A5" w:rsidRPr="00C5016E" w:rsidRDefault="00C025DC" w:rsidP="00E608A5">
      <w:pPr>
        <w:spacing w:before="0" w:after="0"/>
        <w:rPr>
          <w:rFonts w:cs="Arial"/>
        </w:rPr>
      </w:pPr>
      <w:r w:rsidRPr="00C5016E">
        <w:rPr>
          <w:rFonts w:cs="Arial"/>
        </w:rPr>
        <w:t xml:space="preserve">Sektor za poreznu politiku, javne prihode i igre na sreću, </w:t>
      </w:r>
      <w:r w:rsidR="006229C5" w:rsidRPr="00C5016E">
        <w:rPr>
          <w:rFonts w:cs="Arial"/>
        </w:rPr>
        <w:t>sukladno</w:t>
      </w:r>
      <w:r w:rsidRPr="00C5016E">
        <w:rPr>
          <w:rFonts w:cs="Arial"/>
        </w:rPr>
        <w:t xml:space="preserve"> svojim nadležnostima, </w:t>
      </w:r>
      <w:r w:rsidR="006229C5" w:rsidRPr="00C5016E">
        <w:rPr>
          <w:rFonts w:cs="Arial"/>
        </w:rPr>
        <w:t>izrađuje</w:t>
      </w:r>
      <w:r w:rsidRPr="00C5016E">
        <w:rPr>
          <w:rFonts w:cs="Arial"/>
        </w:rPr>
        <w:t xml:space="preserve"> projekcij</w:t>
      </w:r>
      <w:r w:rsidR="006229C5" w:rsidRPr="00C5016E">
        <w:rPr>
          <w:rFonts w:cs="Arial"/>
        </w:rPr>
        <w:t>e</w:t>
      </w:r>
      <w:r w:rsidRPr="00C5016E">
        <w:rPr>
          <w:rFonts w:cs="Arial"/>
        </w:rPr>
        <w:t xml:space="preserve"> javnih prihoda, te iste dostavlja Sektoru za proračun</w:t>
      </w:r>
      <w:r w:rsidR="006229C5" w:rsidRPr="00C5016E">
        <w:rPr>
          <w:rFonts w:cs="Arial"/>
        </w:rPr>
        <w:t xml:space="preserve"> i javne rashode</w:t>
      </w:r>
      <w:r w:rsidRPr="00C5016E">
        <w:rPr>
          <w:rFonts w:cs="Arial"/>
        </w:rPr>
        <w:t xml:space="preserve"> radi pripreme plana prihoda Proračuna Federacije BiH. Izrada projekcija vrši se u skladu s rokovima Proračunskog kalendara, propisanog Zakonom o proračunima u Federaciji Bosne i Hercegovine („Službene novine Federacije BiH“, br. 102/13, 9/14, 13/14, 8/15, 91/15, 102/15, 104/16,</w:t>
      </w:r>
      <w:r w:rsidR="00E608A5" w:rsidRPr="00C5016E">
        <w:rPr>
          <w:rFonts w:cs="Arial"/>
        </w:rPr>
        <w:t xml:space="preserve"> 5/18, 11/19, 99/19 i 25a/22). </w:t>
      </w:r>
    </w:p>
    <w:p w:rsidR="00E608A5" w:rsidRPr="00C5016E" w:rsidRDefault="00E608A5" w:rsidP="00E608A5">
      <w:pPr>
        <w:spacing w:before="0" w:after="0"/>
      </w:pPr>
    </w:p>
    <w:p w:rsidR="00E608A5" w:rsidRPr="00C5016E" w:rsidRDefault="00C025DC" w:rsidP="00E608A5">
      <w:pPr>
        <w:spacing w:before="0" w:after="0"/>
        <w:rPr>
          <w:rFonts w:cs="Arial"/>
        </w:rPr>
      </w:pPr>
      <w:r w:rsidRPr="00C5016E">
        <w:t xml:space="preserve">Navedene projekcije zasnovane su na makroekonomskim prognozama Direkcije za ekonomsko planiranje BiH (DEP) iz </w:t>
      </w:r>
      <w:r w:rsidR="006229C5" w:rsidRPr="00C5016E">
        <w:t>rujna</w:t>
      </w:r>
      <w:r w:rsidRPr="00C5016E">
        <w:t xml:space="preserve"> 2021. godine, koje su pratile zabilježeni oporavak ekonomije nakon negativnog utjecaja pandemije virusa COVID-19, ali sa značajnom opreznošću i konzervativnošću u planiranju, ipak imajući u vidu još uvijek prisutnu neizvjesnost krajnjeg ishoda pandemije i njenog u</w:t>
      </w:r>
      <w:r w:rsidR="00E608A5" w:rsidRPr="00C5016E">
        <w:t xml:space="preserve">tjecaja na ekonomska kretanja. </w:t>
      </w:r>
    </w:p>
    <w:p w:rsidR="00C025DC" w:rsidRPr="00C5016E" w:rsidRDefault="00C025DC" w:rsidP="00C025DC">
      <w:r w:rsidRPr="00C5016E">
        <w:t xml:space="preserve">Nadalje, projekcije prihoda od neizravnih poreza, bazirane su na planu ukupnih prihoda na Jedinstvenom računu, koji je u </w:t>
      </w:r>
      <w:r w:rsidR="006229C5" w:rsidRPr="00C5016E">
        <w:t>listopadu</w:t>
      </w:r>
      <w:r w:rsidRPr="00C5016E">
        <w:t xml:space="preserve"> 2021. godine dostavilo Odjeljenje za makroekonomsku analizu Upravnog odbora Uprave za </w:t>
      </w:r>
      <w:r w:rsidR="006229C5" w:rsidRPr="00C5016E">
        <w:t>neizravno</w:t>
      </w:r>
      <w:r w:rsidRPr="00C5016E">
        <w:t xml:space="preserve"> oporezivanje (OMA), dok su podaci o planiranoj otplati vanjskog duga, koji se planiraju u Proračunu Federacije BiH, a ujedno ut</w:t>
      </w:r>
      <w:r w:rsidR="006229C5" w:rsidRPr="00C5016E">
        <w:t>je</w:t>
      </w:r>
      <w:r w:rsidRPr="00C5016E">
        <w:t xml:space="preserve">ču i na visinu pripadajućeg, </w:t>
      </w:r>
      <w:r w:rsidRPr="00C5016E">
        <w:lastRenderedPageBreak/>
        <w:t>raspoloživog dijela neizravnih poreza, preuzeti od nadležnog Sektora za upravljanje dugom. Također, plan naplate prihoda od krajnjih korisnika za otplaćene anuitete preuzet je od nadležnog Sektora za upravljanje dugom.</w:t>
      </w:r>
    </w:p>
    <w:p w:rsidR="00C025DC" w:rsidRPr="00C5016E" w:rsidRDefault="00C025DC" w:rsidP="00C025DC">
      <w:r w:rsidRPr="00C5016E">
        <w:t xml:space="preserve">Ostvarenje prihoda u 2022. godini za 7% je veće u odnosu na plan prihoda Proračuna Federacije BiH za 2022. godinu. </w:t>
      </w:r>
    </w:p>
    <w:p w:rsidR="00C025DC" w:rsidRPr="00C5016E" w:rsidRDefault="00C025DC" w:rsidP="00C025DC">
      <w:r w:rsidRPr="00C5016E">
        <w:t xml:space="preserve">Ostvarenje raspoloživih prihoda od neizravnih poreza veće je za 12% u odnosu </w:t>
      </w:r>
      <w:r w:rsidRPr="00C5016E">
        <w:rPr>
          <w:rFonts w:cs="Arial"/>
        </w:rPr>
        <w:t>na prihode planirane Proračun</w:t>
      </w:r>
      <w:r w:rsidR="006229C5" w:rsidRPr="00C5016E">
        <w:rPr>
          <w:rFonts w:cs="Arial"/>
        </w:rPr>
        <w:t xml:space="preserve">om Federacije BiH </w:t>
      </w:r>
      <w:r w:rsidRPr="00C5016E">
        <w:rPr>
          <w:rFonts w:cs="Arial"/>
        </w:rPr>
        <w:t>za 2022. godinu</w:t>
      </w:r>
      <w:r w:rsidRPr="00C5016E">
        <w:t xml:space="preserve">. </w:t>
      </w:r>
      <w:r w:rsidRPr="00C5016E">
        <w:rPr>
          <w:iCs/>
        </w:rPr>
        <w:t>Razlog za navedeno je razvoj jakih inflatornih šokova t</w:t>
      </w:r>
      <w:r w:rsidR="006229C5" w:rsidRPr="00C5016E">
        <w:rPr>
          <w:iCs/>
        </w:rPr>
        <w:t>ije</w:t>
      </w:r>
      <w:r w:rsidRPr="00C5016E">
        <w:rPr>
          <w:iCs/>
        </w:rPr>
        <w:t xml:space="preserve">kom 2022. godine, koji su utjecali na povećanje osnovice za obračun i naplatu neizravnih poreza, prvenstveno poreza na dodanu vrijednost. Prognozirana stopa inflacije od strane DEP-a u </w:t>
      </w:r>
      <w:r w:rsidR="006229C5" w:rsidRPr="00C5016E">
        <w:rPr>
          <w:iCs/>
        </w:rPr>
        <w:t>rujnu</w:t>
      </w:r>
      <w:r w:rsidRPr="00C5016E">
        <w:rPr>
          <w:iCs/>
        </w:rPr>
        <w:t xml:space="preserve"> 2021. godine bila je znatno niža, jer nije uključivala utjecaj rata u Ukrajini na</w:t>
      </w:r>
      <w:r w:rsidR="006229C5" w:rsidRPr="00C5016E">
        <w:rPr>
          <w:iCs/>
        </w:rPr>
        <w:t xml:space="preserve"> ekonomiju, koji je nastupio u veljači</w:t>
      </w:r>
      <w:r w:rsidRPr="00C5016E">
        <w:rPr>
          <w:iCs/>
        </w:rPr>
        <w:t xml:space="preserve"> 2022. godine. </w:t>
      </w:r>
    </w:p>
    <w:p w:rsidR="00C025DC" w:rsidRPr="00C5016E" w:rsidRDefault="00C025DC" w:rsidP="00C025DC">
      <w:pPr>
        <w:rPr>
          <w:rFonts w:cs="Arial"/>
        </w:rPr>
      </w:pPr>
      <w:r w:rsidRPr="00C5016E">
        <w:rPr>
          <w:rFonts w:cs="Arial"/>
        </w:rPr>
        <w:t>Nadalje, prihodi od poreza na dobit ostvareni su za 33% više u odnosu na prihode planirane Proračun</w:t>
      </w:r>
      <w:r w:rsidR="006229C5" w:rsidRPr="00C5016E">
        <w:rPr>
          <w:rFonts w:cs="Arial"/>
        </w:rPr>
        <w:t>om Federacije BiH</w:t>
      </w:r>
      <w:r w:rsidRPr="00C5016E">
        <w:rPr>
          <w:rFonts w:cs="Arial"/>
        </w:rPr>
        <w:t xml:space="preserve"> za 2022. godinu. Navedeni rezultat je </w:t>
      </w:r>
      <w:r w:rsidR="006229C5" w:rsidRPr="00C5016E">
        <w:rPr>
          <w:rFonts w:cs="Arial"/>
        </w:rPr>
        <w:t>generiran</w:t>
      </w:r>
      <w:r w:rsidRPr="00C5016E">
        <w:rPr>
          <w:rFonts w:cs="Arial"/>
        </w:rPr>
        <w:t xml:space="preserve"> neočekivanim rastom uplata od strane banaka i drugih financijskih institucija, koje su u prethodnom </w:t>
      </w:r>
      <w:r w:rsidR="006229C5" w:rsidRPr="00C5016E">
        <w:rPr>
          <w:rFonts w:cs="Arial"/>
        </w:rPr>
        <w:t>razdoblju</w:t>
      </w:r>
      <w:r w:rsidRPr="00C5016E">
        <w:rPr>
          <w:rFonts w:cs="Arial"/>
        </w:rPr>
        <w:t xml:space="preserve">, za vrijeme negativnih utjecaja pandemije, bilježile značajno smanjenje dobiti, kao i značajnim neočekivanim rastom uplata od strane pravnih </w:t>
      </w:r>
      <w:r w:rsidR="006229C5" w:rsidRPr="00C5016E">
        <w:rPr>
          <w:rFonts w:cs="Arial"/>
        </w:rPr>
        <w:t>osoba</w:t>
      </w:r>
      <w:r w:rsidRPr="00C5016E">
        <w:rPr>
          <w:rFonts w:cs="Arial"/>
        </w:rPr>
        <w:t xml:space="preserve"> iz oblasti elektroprivrede. </w:t>
      </w:r>
    </w:p>
    <w:p w:rsidR="00C025DC" w:rsidRPr="00C5016E" w:rsidRDefault="00C025DC" w:rsidP="00C025DC">
      <w:pPr>
        <w:rPr>
          <w:rFonts w:cs="Arial"/>
        </w:rPr>
      </w:pPr>
      <w:r w:rsidRPr="00C5016E">
        <w:rPr>
          <w:rFonts w:cs="Arial"/>
        </w:rPr>
        <w:t>Ukupno izvršenje prihoda od doprinosa za mirovinsko i invalidsko osiguranje u                   2022. godini je za 11% veće u odnosu na prihode planirane Proračunom Federacije BiH  za 2022. godinu uslijed promjena u realizaciji makroekonomskih pokazatelja vezanih za tržište rada. Razvoj inflatornih šokova t</w:t>
      </w:r>
      <w:r w:rsidR="006229C5" w:rsidRPr="00C5016E">
        <w:rPr>
          <w:rFonts w:cs="Arial"/>
        </w:rPr>
        <w:t>ije</w:t>
      </w:r>
      <w:r w:rsidRPr="00C5016E">
        <w:rPr>
          <w:rFonts w:cs="Arial"/>
        </w:rPr>
        <w:t>kom 2022. godine doveo je i do značajnijeg rasta pla</w:t>
      </w:r>
      <w:r w:rsidR="006229C5" w:rsidRPr="00C5016E">
        <w:rPr>
          <w:rFonts w:cs="Arial"/>
        </w:rPr>
        <w:t>ć</w:t>
      </w:r>
      <w:r w:rsidRPr="00C5016E">
        <w:rPr>
          <w:rFonts w:cs="Arial"/>
        </w:rPr>
        <w:t xml:space="preserve">a, koje su pratile rast inflacije. </w:t>
      </w:r>
    </w:p>
    <w:p w:rsidR="00C025DC" w:rsidRPr="00C5016E" w:rsidRDefault="00C025DC" w:rsidP="00C025DC">
      <w:pPr>
        <w:rPr>
          <w:rFonts w:cs="Arial"/>
        </w:rPr>
      </w:pPr>
      <w:r w:rsidRPr="00C5016E">
        <w:rPr>
          <w:rFonts w:cs="Arial"/>
        </w:rPr>
        <w:t>Kada je riječ o neporeznim prihodima, ukupno izvršenje istih je za 18% manje u odnosu na plan prihoda za 2022. godinu. Navedeno je prvenstveno rezultat značajno manje naplate prihoda krajnjih korisnika za otplatu dospjelih anuiteta otplate vanjskog duga u odnosu na prvobitni plan.</w:t>
      </w:r>
    </w:p>
    <w:p w:rsidR="00C025DC" w:rsidRPr="00C5016E" w:rsidRDefault="00C025DC" w:rsidP="00C025DC">
      <w:pPr>
        <w:pStyle w:val="Heading2"/>
        <w:numPr>
          <w:ilvl w:val="0"/>
          <w:numId w:val="0"/>
        </w:numPr>
        <w:rPr>
          <w:rFonts w:ascii="Arial" w:hAnsi="Arial" w:cs="Arial"/>
          <w:bCs/>
        </w:rPr>
      </w:pPr>
    </w:p>
    <w:p w:rsidR="00C025DC" w:rsidRPr="00C5016E" w:rsidRDefault="00C025DC" w:rsidP="00C025DC">
      <w:pPr>
        <w:tabs>
          <w:tab w:val="left" w:pos="709"/>
        </w:tabs>
        <w:spacing w:before="0" w:after="0"/>
        <w:ind w:left="360"/>
        <w:rPr>
          <w:rFonts w:cs="Arial"/>
          <w:szCs w:val="24"/>
        </w:rPr>
      </w:pPr>
    </w:p>
    <w:bookmarkEnd w:id="56"/>
    <w:p w:rsidR="00C025DC" w:rsidRPr="00C5016E" w:rsidRDefault="00C025DC" w:rsidP="00C025DC">
      <w:pPr>
        <w:spacing w:before="0" w:after="160" w:line="259" w:lineRule="auto"/>
        <w:jc w:val="left"/>
      </w:pPr>
      <w:r w:rsidRPr="00C5016E">
        <w:br w:type="page"/>
      </w:r>
    </w:p>
    <w:p w:rsidR="00C025DC" w:rsidRPr="00C5016E" w:rsidRDefault="00C025DC" w:rsidP="00C025DC">
      <w:pPr>
        <w:pStyle w:val="Heading1"/>
        <w:rPr>
          <w:rFonts w:ascii="Arial" w:hAnsi="Arial" w:cs="Arial"/>
          <w:lang w:val="hr-HR"/>
        </w:rPr>
      </w:pPr>
      <w:bookmarkStart w:id="58" w:name="_Toc131505207"/>
      <w:r w:rsidRPr="00C5016E">
        <w:rPr>
          <w:rFonts w:ascii="Arial" w:hAnsi="Arial" w:cs="Arial"/>
          <w:lang w:val="hr-HR"/>
        </w:rPr>
        <w:lastRenderedPageBreak/>
        <w:t>RASHODI I IZDACI</w:t>
      </w:r>
      <w:bookmarkEnd w:id="58"/>
    </w:p>
    <w:p w:rsidR="00C025DC" w:rsidRPr="00C5016E" w:rsidRDefault="00C025DC" w:rsidP="00C025DC">
      <w:r w:rsidRPr="00C5016E">
        <w:t xml:space="preserve">Ukupno obračunati rashodi i izdaci za </w:t>
      </w:r>
      <w:r w:rsidR="006229C5" w:rsidRPr="00C5016E">
        <w:t>izvještajno razdoblje</w:t>
      </w:r>
      <w:r w:rsidRPr="00C5016E">
        <w:t xml:space="preserve"> iznose 5.100,5 </w:t>
      </w:r>
      <w:r w:rsidR="004611A5" w:rsidRPr="00C5016E">
        <w:t>milijun</w:t>
      </w:r>
      <w:r w:rsidRPr="00C5016E">
        <w:t xml:space="preserve">a KM, što je 91% u odnosu na planirani Proračun Federacije BiH za 2022. godinu. Rashodi i izdaci na gotovinskoj osnovi iznose 4.879.4 </w:t>
      </w:r>
      <w:r w:rsidR="004611A5" w:rsidRPr="00C5016E">
        <w:t>milijun</w:t>
      </w:r>
      <w:r w:rsidRPr="00C5016E">
        <w:t xml:space="preserve">a KM, što je 96% ukupno obračunatih rashoda i izdataka u tekućem </w:t>
      </w:r>
      <w:r w:rsidR="00394009" w:rsidRPr="00C5016E">
        <w:t>razdoblju</w:t>
      </w:r>
      <w:r w:rsidRPr="00C5016E">
        <w:t xml:space="preserve">. U odnosu na </w:t>
      </w:r>
      <w:r w:rsidR="00394009" w:rsidRPr="00C5016E">
        <w:t>razdoblje</w:t>
      </w:r>
      <w:r w:rsidRPr="00C5016E">
        <w:t xml:space="preserve"> </w:t>
      </w:r>
      <w:r w:rsidR="00394009" w:rsidRPr="00C5016E">
        <w:t>siječanj - prosinac</w:t>
      </w:r>
      <w:r w:rsidRPr="00C5016E">
        <w:t xml:space="preserve"> prethodne godine, rashodi i izdaci su veći za 7%, odnosno za 334,9 </w:t>
      </w:r>
      <w:r w:rsidR="004611A5" w:rsidRPr="00C5016E">
        <w:t>milijun</w:t>
      </w:r>
      <w:r w:rsidRPr="00C5016E">
        <w:t>a KM.</w:t>
      </w:r>
    </w:p>
    <w:p w:rsidR="00C025DC" w:rsidRPr="00C5016E" w:rsidRDefault="00C025DC" w:rsidP="00C025DC">
      <w:r w:rsidRPr="00C5016E">
        <w:t>Grafički prikaz ostvarenih rashoda i izdataka ostvarenih u 2022. godini u odnosu na Proračun Federacije BiH za 2022. godine te u odnosu na prethodnu godinu je prikazan u nastavku:</w:t>
      </w:r>
      <w:r w:rsidRPr="00C5016E">
        <w:rPr>
          <w:rFonts w:cs="Arial"/>
          <w:szCs w:val="24"/>
        </w:rPr>
        <w:tab/>
      </w:r>
    </w:p>
    <w:p w:rsidR="00C025DC" w:rsidRPr="00C5016E" w:rsidRDefault="006B115E" w:rsidP="00C025DC">
      <w:pPr>
        <w:spacing w:before="0" w:after="0"/>
        <w:jc w:val="left"/>
        <w:rPr>
          <w:szCs w:val="24"/>
          <w:lang w:eastAsia="bs-Latn-BA"/>
        </w:rPr>
      </w:pPr>
      <w:r>
        <w:rPr>
          <w:noProof/>
          <w:lang w:val="bs-Latn-BA" w:eastAsia="bs-Latn-BA"/>
        </w:rPr>
        <w:drawing>
          <wp:inline distT="0" distB="0" distL="0" distR="0" wp14:anchorId="65B72264" wp14:editId="20C0FB98">
            <wp:extent cx="5611495" cy="3077155"/>
            <wp:effectExtent l="0" t="0" r="825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025DC" w:rsidRPr="00C5016E" w:rsidRDefault="00C025DC" w:rsidP="00C025DC">
      <w:pPr>
        <w:pStyle w:val="Caption"/>
        <w:spacing w:before="0" w:after="0"/>
        <w:rPr>
          <w:rFonts w:ascii="Arial" w:hAnsi="Arial" w:cs="Arial"/>
          <w:color w:val="auto"/>
          <w:sz w:val="16"/>
          <w:szCs w:val="24"/>
          <w:lang w:val="hr-HR"/>
        </w:rPr>
      </w:pPr>
      <w:bookmarkStart w:id="59" w:name="_Toc99940822"/>
      <w:r w:rsidRPr="00C5016E">
        <w:rPr>
          <w:rFonts w:ascii="Arial" w:hAnsi="Arial" w:cs="Arial"/>
          <w:color w:val="auto"/>
          <w:sz w:val="22"/>
          <w:szCs w:val="24"/>
          <w:lang w:val="hr-HR"/>
        </w:rPr>
        <w:t xml:space="preserve">Grafikon </w:t>
      </w:r>
      <w:r w:rsidRPr="00C5016E">
        <w:rPr>
          <w:rFonts w:ascii="Arial" w:hAnsi="Arial" w:cs="Arial"/>
          <w:color w:val="auto"/>
          <w:sz w:val="22"/>
          <w:szCs w:val="24"/>
          <w:lang w:val="hr-HR"/>
        </w:rPr>
        <w:fldChar w:fldCharType="begin"/>
      </w:r>
      <w:r w:rsidRPr="00C5016E">
        <w:rPr>
          <w:rFonts w:ascii="Arial" w:hAnsi="Arial" w:cs="Arial"/>
          <w:color w:val="auto"/>
          <w:sz w:val="22"/>
          <w:szCs w:val="24"/>
          <w:lang w:val="hr-HR"/>
        </w:rPr>
        <w:instrText xml:space="preserve"> SEQ Grafikon \* ARABIC </w:instrText>
      </w:r>
      <w:r w:rsidRPr="00C5016E">
        <w:rPr>
          <w:rFonts w:ascii="Arial" w:hAnsi="Arial" w:cs="Arial"/>
          <w:color w:val="auto"/>
          <w:sz w:val="22"/>
          <w:szCs w:val="24"/>
          <w:lang w:val="hr-HR"/>
        </w:rPr>
        <w:fldChar w:fldCharType="separate"/>
      </w:r>
      <w:r w:rsidR="0070505C" w:rsidRPr="00C5016E">
        <w:rPr>
          <w:rFonts w:ascii="Arial" w:hAnsi="Arial" w:cs="Arial"/>
          <w:noProof/>
          <w:color w:val="auto"/>
          <w:sz w:val="22"/>
          <w:szCs w:val="24"/>
          <w:lang w:val="hr-HR"/>
        </w:rPr>
        <w:t>7</w:t>
      </w:r>
      <w:r w:rsidRPr="00C5016E">
        <w:rPr>
          <w:rFonts w:ascii="Arial" w:hAnsi="Arial" w:cs="Arial"/>
          <w:color w:val="auto"/>
          <w:sz w:val="22"/>
          <w:szCs w:val="24"/>
          <w:lang w:val="hr-HR"/>
        </w:rPr>
        <w:fldChar w:fldCharType="end"/>
      </w:r>
      <w:r w:rsidRPr="00C5016E">
        <w:rPr>
          <w:rFonts w:ascii="Arial" w:hAnsi="Arial" w:cs="Arial"/>
          <w:b w:val="0"/>
          <w:color w:val="auto"/>
          <w:sz w:val="22"/>
          <w:szCs w:val="24"/>
          <w:lang w:val="hr-HR"/>
        </w:rPr>
        <w:t>: Ukupni rashodi i izdaci planirani Proračunom FBiH za 2022. i ostvareni u 2021. i 2022.</w:t>
      </w:r>
      <w:bookmarkEnd w:id="59"/>
      <w:r w:rsidRPr="00C5016E">
        <w:rPr>
          <w:rFonts w:ascii="Arial" w:hAnsi="Arial" w:cs="Arial"/>
          <w:b w:val="0"/>
          <w:color w:val="auto"/>
          <w:sz w:val="22"/>
          <w:szCs w:val="24"/>
          <w:lang w:val="hr-HR"/>
        </w:rPr>
        <w:t>godini</w:t>
      </w:r>
    </w:p>
    <w:p w:rsidR="00C025DC" w:rsidRPr="00C5016E" w:rsidRDefault="00C025DC" w:rsidP="00C025DC">
      <w:r w:rsidRPr="00C5016E">
        <w:t>Izvršenje rashoda i izdataka po glavnim kategorijama je kako slijedi:</w:t>
      </w:r>
    </w:p>
    <w:p w:rsidR="00C025DC" w:rsidRPr="00C5016E" w:rsidRDefault="00C025DC" w:rsidP="00C025DC">
      <w:pPr>
        <w:pStyle w:val="ListParagraph"/>
        <w:numPr>
          <w:ilvl w:val="0"/>
          <w:numId w:val="7"/>
        </w:numPr>
        <w:rPr>
          <w:rFonts w:ascii="Arial" w:hAnsi="Arial" w:cs="Arial"/>
          <w:lang w:val="hr-HR"/>
        </w:rPr>
      </w:pPr>
      <w:r w:rsidRPr="00C5016E">
        <w:rPr>
          <w:rFonts w:ascii="Arial" w:hAnsi="Arial" w:cs="Arial"/>
          <w:lang w:val="hr-HR"/>
        </w:rPr>
        <w:t xml:space="preserve">tekući rashodi (plaće i naknade, doprinosi, materijalni izdaci, tekući transferi, izdaci za kamate) 4.200,2 </w:t>
      </w:r>
      <w:r w:rsidR="004611A5" w:rsidRPr="00C5016E">
        <w:rPr>
          <w:rFonts w:ascii="Arial" w:hAnsi="Arial" w:cs="Arial"/>
          <w:lang w:val="hr-HR"/>
        </w:rPr>
        <w:t>milijun</w:t>
      </w:r>
      <w:r w:rsidR="00394009" w:rsidRPr="00C5016E">
        <w:rPr>
          <w:rFonts w:ascii="Arial" w:hAnsi="Arial" w:cs="Arial"/>
          <w:lang w:val="hr-HR"/>
        </w:rPr>
        <w:t>a KM</w:t>
      </w:r>
    </w:p>
    <w:p w:rsidR="00C025DC" w:rsidRPr="00C5016E" w:rsidRDefault="00C025DC" w:rsidP="00C025DC">
      <w:pPr>
        <w:pStyle w:val="ListParagraph"/>
        <w:numPr>
          <w:ilvl w:val="0"/>
          <w:numId w:val="7"/>
        </w:numPr>
        <w:rPr>
          <w:rFonts w:ascii="Arial" w:hAnsi="Arial" w:cs="Arial"/>
          <w:lang w:val="hr-HR"/>
        </w:rPr>
      </w:pPr>
      <w:r w:rsidRPr="00C5016E">
        <w:rPr>
          <w:rFonts w:ascii="Arial" w:hAnsi="Arial" w:cs="Arial"/>
          <w:lang w:val="hr-HR"/>
        </w:rPr>
        <w:t>ukupni ka</w:t>
      </w:r>
      <w:r w:rsidR="00394009" w:rsidRPr="00C5016E">
        <w:rPr>
          <w:rFonts w:ascii="Arial" w:hAnsi="Arial" w:cs="Arial"/>
          <w:lang w:val="hr-HR"/>
        </w:rPr>
        <w:t>pitalni izdaci (izdaci za nabav</w:t>
      </w:r>
      <w:r w:rsidRPr="00C5016E">
        <w:rPr>
          <w:rFonts w:ascii="Arial" w:hAnsi="Arial" w:cs="Arial"/>
          <w:lang w:val="hr-HR"/>
        </w:rPr>
        <w:t xml:space="preserve">u stalnih sredstava i kapitalni transferi) 151,3 </w:t>
      </w:r>
      <w:r w:rsidR="004611A5" w:rsidRPr="00C5016E">
        <w:rPr>
          <w:rFonts w:ascii="Arial" w:hAnsi="Arial" w:cs="Arial"/>
          <w:lang w:val="hr-HR"/>
        </w:rPr>
        <w:t>milijun</w:t>
      </w:r>
      <w:r w:rsidR="00394009" w:rsidRPr="00C5016E">
        <w:rPr>
          <w:rFonts w:ascii="Arial" w:hAnsi="Arial" w:cs="Arial"/>
          <w:lang w:val="hr-HR"/>
        </w:rPr>
        <w:t>a KM</w:t>
      </w:r>
    </w:p>
    <w:p w:rsidR="00C025DC" w:rsidRPr="00C5016E" w:rsidRDefault="00C025DC" w:rsidP="00C025DC">
      <w:pPr>
        <w:pStyle w:val="ListParagraph"/>
        <w:numPr>
          <w:ilvl w:val="0"/>
          <w:numId w:val="7"/>
        </w:numPr>
        <w:rPr>
          <w:rFonts w:ascii="Arial" w:hAnsi="Arial" w:cs="Arial"/>
          <w:lang w:val="hr-HR"/>
        </w:rPr>
      </w:pPr>
      <w:r w:rsidRPr="00C5016E">
        <w:rPr>
          <w:rFonts w:ascii="Arial" w:hAnsi="Arial" w:cs="Arial"/>
          <w:lang w:val="hr-HR"/>
        </w:rPr>
        <w:t xml:space="preserve">izdaci za financijsku imovinu 18,5 </w:t>
      </w:r>
      <w:r w:rsidR="004611A5" w:rsidRPr="00C5016E">
        <w:rPr>
          <w:rFonts w:ascii="Arial" w:hAnsi="Arial" w:cs="Arial"/>
          <w:lang w:val="hr-HR"/>
        </w:rPr>
        <w:t>milijun</w:t>
      </w:r>
      <w:r w:rsidR="00394009" w:rsidRPr="00C5016E">
        <w:rPr>
          <w:rFonts w:ascii="Arial" w:hAnsi="Arial" w:cs="Arial"/>
          <w:lang w:val="hr-HR"/>
        </w:rPr>
        <w:t>a KM</w:t>
      </w:r>
    </w:p>
    <w:p w:rsidR="00C025DC" w:rsidRPr="00C5016E" w:rsidRDefault="00C025DC" w:rsidP="00C025DC">
      <w:pPr>
        <w:pStyle w:val="ListParagraph"/>
        <w:numPr>
          <w:ilvl w:val="0"/>
          <w:numId w:val="7"/>
        </w:numPr>
        <w:rPr>
          <w:rFonts w:ascii="Arial" w:hAnsi="Arial" w:cs="Arial"/>
          <w:lang w:val="hr-HR"/>
        </w:rPr>
      </w:pPr>
      <w:r w:rsidRPr="00C5016E">
        <w:rPr>
          <w:rFonts w:ascii="Arial" w:hAnsi="Arial" w:cs="Arial"/>
          <w:lang w:val="hr-HR"/>
        </w:rPr>
        <w:t xml:space="preserve">izdaci za otplate dugova 730,5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r w:rsidRPr="00C5016E">
        <w:t>U narednoj tab</w:t>
      </w:r>
      <w:r w:rsidR="00394009" w:rsidRPr="00C5016E">
        <w:t>lici</w:t>
      </w:r>
      <w:r w:rsidRPr="00C5016E">
        <w:t xml:space="preserve"> da</w:t>
      </w:r>
      <w:r w:rsidR="00394009" w:rsidRPr="00C5016E">
        <w:t>n</w:t>
      </w:r>
      <w:r w:rsidRPr="00C5016E">
        <w:t xml:space="preserve">a je struktura ostvarenih rashoda i izdataka s indeksom ostvarenja istih u odnosu na prethodnu godinu, te realizacija u odnosu na Proračun Federacije BiH za 2022. godinu: </w:t>
      </w:r>
      <w:r w:rsidR="00394009" w:rsidRPr="00C5016E">
        <w:t xml:space="preserve"> </w:t>
      </w:r>
    </w:p>
    <w:p w:rsidR="00C025DC" w:rsidRPr="00C5016E" w:rsidRDefault="00C025DC" w:rsidP="00C025DC">
      <w:pPr>
        <w:spacing w:before="0" w:after="0"/>
        <w:jc w:val="right"/>
        <w:rPr>
          <w:rFonts w:cs="Arial"/>
          <w:b/>
          <w:szCs w:val="24"/>
        </w:rPr>
      </w:pPr>
      <w:bookmarkStart w:id="60" w:name="_Toc99939227"/>
      <w:r w:rsidRPr="00C5016E">
        <w:rPr>
          <w:rFonts w:cs="Arial"/>
          <w:b/>
          <w:szCs w:val="24"/>
        </w:rPr>
        <w:lastRenderedPageBreak/>
        <w:tab/>
        <w:t xml:space="preserve">   (u </w:t>
      </w:r>
      <w:smartTag w:uri="urn:schemas-microsoft-com:office:smarttags" w:element="metricconverter">
        <w:smartTagPr>
          <w:attr w:name="ProductID" w:val="000 KM"/>
        </w:smartTagPr>
        <w:r w:rsidRPr="00C5016E">
          <w:rPr>
            <w:rFonts w:cs="Arial"/>
            <w:b/>
            <w:szCs w:val="24"/>
          </w:rPr>
          <w:t>000 KM</w:t>
        </w:r>
      </w:smartTag>
      <w:r w:rsidRPr="00C5016E">
        <w:rPr>
          <w:rFonts w:cs="Arial"/>
          <w:b/>
          <w:szCs w:val="24"/>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183"/>
        <w:gridCol w:w="1275"/>
        <w:gridCol w:w="1276"/>
        <w:gridCol w:w="939"/>
        <w:gridCol w:w="992"/>
      </w:tblGrid>
      <w:tr w:rsidR="00C5016E" w:rsidRPr="00C5016E" w:rsidTr="00C025DC">
        <w:trPr>
          <w:trHeight w:val="681"/>
          <w:jc w:val="center"/>
        </w:trPr>
        <w:tc>
          <w:tcPr>
            <w:tcW w:w="3119" w:type="dxa"/>
            <w:shd w:val="clear" w:color="auto" w:fill="D9D9D9"/>
            <w:vAlign w:val="center"/>
          </w:tcPr>
          <w:p w:rsidR="00C025DC" w:rsidRPr="00C5016E" w:rsidRDefault="00C025DC" w:rsidP="00C025DC">
            <w:pPr>
              <w:spacing w:before="0" w:after="0"/>
              <w:jc w:val="center"/>
              <w:rPr>
                <w:rFonts w:cs="Arial"/>
                <w:b/>
                <w:bCs/>
                <w:sz w:val="21"/>
                <w:szCs w:val="21"/>
              </w:rPr>
            </w:pPr>
            <w:r w:rsidRPr="00C5016E">
              <w:rPr>
                <w:rFonts w:cs="Arial"/>
                <w:b/>
                <w:bCs/>
                <w:sz w:val="21"/>
                <w:szCs w:val="21"/>
              </w:rPr>
              <w:t>Naziv</w:t>
            </w:r>
          </w:p>
        </w:tc>
        <w:tc>
          <w:tcPr>
            <w:tcW w:w="1183" w:type="dxa"/>
            <w:shd w:val="clear" w:color="auto" w:fill="D9D9D9"/>
            <w:vAlign w:val="center"/>
          </w:tcPr>
          <w:p w:rsidR="00C025DC" w:rsidRPr="00C5016E" w:rsidRDefault="00C025DC" w:rsidP="00C025DC">
            <w:pPr>
              <w:spacing w:before="0" w:after="0"/>
              <w:jc w:val="center"/>
              <w:rPr>
                <w:rFonts w:cs="Arial"/>
                <w:b/>
                <w:bCs/>
                <w:sz w:val="21"/>
                <w:szCs w:val="21"/>
              </w:rPr>
            </w:pPr>
            <w:r w:rsidRPr="00C5016E">
              <w:rPr>
                <w:rFonts w:cs="Arial"/>
                <w:b/>
                <w:bCs/>
                <w:sz w:val="21"/>
                <w:szCs w:val="21"/>
              </w:rPr>
              <w:t>Proračun FBiH za</w:t>
            </w:r>
          </w:p>
          <w:p w:rsidR="00C025DC" w:rsidRPr="00C5016E" w:rsidRDefault="00C025DC" w:rsidP="00C025DC">
            <w:pPr>
              <w:spacing w:before="0" w:after="0"/>
              <w:jc w:val="center"/>
              <w:rPr>
                <w:rFonts w:cs="Arial"/>
                <w:b/>
                <w:bCs/>
                <w:sz w:val="21"/>
                <w:szCs w:val="21"/>
              </w:rPr>
            </w:pPr>
            <w:r w:rsidRPr="00C5016E">
              <w:rPr>
                <w:rFonts w:cs="Arial"/>
                <w:b/>
                <w:bCs/>
                <w:sz w:val="21"/>
                <w:szCs w:val="21"/>
              </w:rPr>
              <w:t>2022.</w:t>
            </w:r>
          </w:p>
        </w:tc>
        <w:tc>
          <w:tcPr>
            <w:tcW w:w="1275" w:type="dxa"/>
            <w:shd w:val="clear" w:color="auto" w:fill="D9D9D9"/>
            <w:vAlign w:val="center"/>
          </w:tcPr>
          <w:p w:rsidR="00C025DC" w:rsidRPr="00C5016E" w:rsidRDefault="00C025DC" w:rsidP="00C025DC">
            <w:pPr>
              <w:spacing w:before="0" w:after="0"/>
              <w:jc w:val="center"/>
              <w:rPr>
                <w:rFonts w:cs="Arial"/>
                <w:b/>
                <w:bCs/>
                <w:sz w:val="21"/>
                <w:szCs w:val="21"/>
              </w:rPr>
            </w:pPr>
            <w:r w:rsidRPr="00C5016E">
              <w:rPr>
                <w:rFonts w:cs="Arial"/>
                <w:b/>
                <w:bCs/>
                <w:sz w:val="21"/>
                <w:szCs w:val="21"/>
              </w:rPr>
              <w:t>Rashodi      I – XII</w:t>
            </w:r>
          </w:p>
          <w:p w:rsidR="00C025DC" w:rsidRPr="00C5016E" w:rsidRDefault="00C025DC" w:rsidP="00C025DC">
            <w:pPr>
              <w:spacing w:before="0" w:after="0"/>
              <w:jc w:val="center"/>
              <w:rPr>
                <w:rFonts w:cs="Arial"/>
                <w:b/>
                <w:bCs/>
                <w:sz w:val="21"/>
                <w:szCs w:val="21"/>
              </w:rPr>
            </w:pPr>
            <w:r w:rsidRPr="00C5016E">
              <w:rPr>
                <w:rFonts w:cs="Arial"/>
                <w:b/>
                <w:bCs/>
                <w:sz w:val="21"/>
                <w:szCs w:val="21"/>
              </w:rPr>
              <w:t>2022.</w:t>
            </w:r>
          </w:p>
        </w:tc>
        <w:tc>
          <w:tcPr>
            <w:tcW w:w="1276" w:type="dxa"/>
            <w:shd w:val="clear" w:color="auto" w:fill="D9D9D9"/>
            <w:vAlign w:val="center"/>
          </w:tcPr>
          <w:p w:rsidR="00C025DC" w:rsidRPr="00C5016E" w:rsidRDefault="00C025DC" w:rsidP="00C025DC">
            <w:pPr>
              <w:spacing w:before="0" w:after="0"/>
              <w:jc w:val="center"/>
              <w:rPr>
                <w:rFonts w:cs="Arial"/>
                <w:b/>
                <w:bCs/>
                <w:sz w:val="21"/>
                <w:szCs w:val="21"/>
              </w:rPr>
            </w:pPr>
            <w:r w:rsidRPr="00C5016E">
              <w:rPr>
                <w:rFonts w:cs="Arial"/>
                <w:b/>
                <w:bCs/>
                <w:sz w:val="21"/>
                <w:szCs w:val="21"/>
              </w:rPr>
              <w:t>Rashodi</w:t>
            </w:r>
          </w:p>
          <w:p w:rsidR="00C025DC" w:rsidRPr="00C5016E" w:rsidRDefault="00C025DC" w:rsidP="00C025DC">
            <w:pPr>
              <w:spacing w:before="0" w:after="0"/>
              <w:jc w:val="center"/>
              <w:rPr>
                <w:rFonts w:cs="Arial"/>
                <w:b/>
                <w:bCs/>
                <w:sz w:val="21"/>
                <w:szCs w:val="21"/>
              </w:rPr>
            </w:pPr>
            <w:r w:rsidRPr="00C5016E">
              <w:rPr>
                <w:rFonts w:cs="Arial"/>
                <w:b/>
                <w:bCs/>
                <w:sz w:val="21"/>
                <w:szCs w:val="21"/>
              </w:rPr>
              <w:t>I – XII</w:t>
            </w:r>
          </w:p>
          <w:p w:rsidR="00C025DC" w:rsidRPr="00C5016E" w:rsidRDefault="00C025DC" w:rsidP="00C025DC">
            <w:pPr>
              <w:spacing w:before="0" w:after="0"/>
              <w:jc w:val="center"/>
              <w:rPr>
                <w:rFonts w:cs="Arial"/>
                <w:b/>
                <w:bCs/>
                <w:sz w:val="21"/>
                <w:szCs w:val="21"/>
              </w:rPr>
            </w:pPr>
            <w:r w:rsidRPr="00C5016E">
              <w:rPr>
                <w:rFonts w:cs="Arial"/>
                <w:b/>
                <w:bCs/>
                <w:sz w:val="21"/>
                <w:szCs w:val="21"/>
              </w:rPr>
              <w:t>2021.</w:t>
            </w:r>
          </w:p>
        </w:tc>
        <w:tc>
          <w:tcPr>
            <w:tcW w:w="939" w:type="dxa"/>
            <w:shd w:val="clear" w:color="auto" w:fill="D9D9D9"/>
            <w:vAlign w:val="center"/>
          </w:tcPr>
          <w:p w:rsidR="00C025DC" w:rsidRPr="00C5016E" w:rsidRDefault="00C025DC" w:rsidP="00C025DC">
            <w:pPr>
              <w:spacing w:before="0" w:after="0"/>
              <w:jc w:val="center"/>
              <w:rPr>
                <w:rFonts w:cs="Arial"/>
                <w:b/>
                <w:bCs/>
                <w:sz w:val="21"/>
                <w:szCs w:val="21"/>
              </w:rPr>
            </w:pPr>
            <w:r w:rsidRPr="00C5016E">
              <w:rPr>
                <w:rFonts w:cs="Arial"/>
                <w:b/>
                <w:bCs/>
                <w:sz w:val="21"/>
                <w:szCs w:val="21"/>
              </w:rPr>
              <w:t>Index</w:t>
            </w:r>
          </w:p>
          <w:p w:rsidR="00C025DC" w:rsidRPr="00C5016E" w:rsidRDefault="00C025DC" w:rsidP="00C025DC">
            <w:pPr>
              <w:spacing w:before="0" w:after="0"/>
              <w:jc w:val="center"/>
              <w:rPr>
                <w:rFonts w:cs="Arial"/>
                <w:b/>
                <w:bCs/>
                <w:sz w:val="21"/>
                <w:szCs w:val="21"/>
              </w:rPr>
            </w:pPr>
            <w:r w:rsidRPr="00C5016E">
              <w:rPr>
                <w:rFonts w:cs="Arial"/>
                <w:b/>
                <w:bCs/>
                <w:sz w:val="21"/>
                <w:szCs w:val="21"/>
              </w:rPr>
              <w:t>3/2</w:t>
            </w:r>
          </w:p>
        </w:tc>
        <w:tc>
          <w:tcPr>
            <w:tcW w:w="992" w:type="dxa"/>
            <w:shd w:val="clear" w:color="auto" w:fill="D9D9D9"/>
            <w:vAlign w:val="center"/>
          </w:tcPr>
          <w:p w:rsidR="00C025DC" w:rsidRPr="00C5016E" w:rsidRDefault="00C025DC" w:rsidP="00C025DC">
            <w:pPr>
              <w:spacing w:before="0" w:after="0"/>
              <w:jc w:val="center"/>
              <w:rPr>
                <w:rFonts w:cs="Arial"/>
                <w:b/>
                <w:bCs/>
                <w:sz w:val="21"/>
                <w:szCs w:val="21"/>
              </w:rPr>
            </w:pPr>
            <w:r w:rsidRPr="00C5016E">
              <w:rPr>
                <w:rFonts w:cs="Arial"/>
                <w:b/>
                <w:bCs/>
                <w:sz w:val="21"/>
                <w:szCs w:val="21"/>
              </w:rPr>
              <w:t>Index  3/4</w:t>
            </w:r>
          </w:p>
        </w:tc>
      </w:tr>
      <w:tr w:rsidR="00C5016E" w:rsidRPr="00C5016E" w:rsidTr="00C025DC">
        <w:trPr>
          <w:jc w:val="center"/>
        </w:trPr>
        <w:tc>
          <w:tcPr>
            <w:tcW w:w="3119" w:type="dxa"/>
            <w:shd w:val="clear" w:color="auto" w:fill="D9D9D9"/>
          </w:tcPr>
          <w:p w:rsidR="00C025DC" w:rsidRPr="00C5016E" w:rsidRDefault="00C025DC" w:rsidP="00C025DC">
            <w:pPr>
              <w:spacing w:before="0" w:after="0"/>
              <w:jc w:val="center"/>
              <w:rPr>
                <w:rFonts w:cs="Arial"/>
                <w:b/>
                <w:bCs/>
                <w:sz w:val="21"/>
                <w:szCs w:val="21"/>
              </w:rPr>
            </w:pPr>
            <w:r w:rsidRPr="00C5016E">
              <w:rPr>
                <w:rFonts w:cs="Arial"/>
                <w:b/>
                <w:bCs/>
                <w:sz w:val="21"/>
                <w:szCs w:val="21"/>
              </w:rPr>
              <w:t>1</w:t>
            </w:r>
          </w:p>
        </w:tc>
        <w:tc>
          <w:tcPr>
            <w:tcW w:w="1183" w:type="dxa"/>
            <w:shd w:val="clear" w:color="auto" w:fill="D9D9D9"/>
          </w:tcPr>
          <w:p w:rsidR="00C025DC" w:rsidRPr="00C5016E" w:rsidRDefault="00C025DC" w:rsidP="00C025DC">
            <w:pPr>
              <w:spacing w:before="0" w:after="0"/>
              <w:jc w:val="center"/>
              <w:rPr>
                <w:rFonts w:cs="Arial"/>
                <w:b/>
                <w:bCs/>
                <w:sz w:val="21"/>
                <w:szCs w:val="21"/>
              </w:rPr>
            </w:pPr>
            <w:r w:rsidRPr="00C5016E">
              <w:rPr>
                <w:rFonts w:cs="Arial"/>
                <w:b/>
                <w:bCs/>
                <w:sz w:val="21"/>
                <w:szCs w:val="21"/>
              </w:rPr>
              <w:t>2</w:t>
            </w:r>
          </w:p>
        </w:tc>
        <w:tc>
          <w:tcPr>
            <w:tcW w:w="1275" w:type="dxa"/>
            <w:shd w:val="clear" w:color="auto" w:fill="D9D9D9"/>
          </w:tcPr>
          <w:p w:rsidR="00C025DC" w:rsidRPr="00C5016E" w:rsidRDefault="00C025DC" w:rsidP="00C025DC">
            <w:pPr>
              <w:spacing w:before="0" w:after="0"/>
              <w:jc w:val="center"/>
              <w:rPr>
                <w:rFonts w:cs="Arial"/>
                <w:b/>
                <w:bCs/>
                <w:sz w:val="21"/>
                <w:szCs w:val="21"/>
              </w:rPr>
            </w:pPr>
            <w:r w:rsidRPr="00C5016E">
              <w:rPr>
                <w:rFonts w:cs="Arial"/>
                <w:b/>
                <w:bCs/>
                <w:sz w:val="21"/>
                <w:szCs w:val="21"/>
              </w:rPr>
              <w:t>3</w:t>
            </w:r>
          </w:p>
        </w:tc>
        <w:tc>
          <w:tcPr>
            <w:tcW w:w="1276" w:type="dxa"/>
            <w:shd w:val="clear" w:color="auto" w:fill="D9D9D9"/>
          </w:tcPr>
          <w:p w:rsidR="00C025DC" w:rsidRPr="00C5016E" w:rsidRDefault="00C025DC" w:rsidP="00C025DC">
            <w:pPr>
              <w:spacing w:before="0" w:after="0"/>
              <w:jc w:val="center"/>
              <w:rPr>
                <w:rFonts w:cs="Arial"/>
                <w:b/>
                <w:bCs/>
                <w:sz w:val="21"/>
                <w:szCs w:val="21"/>
              </w:rPr>
            </w:pPr>
            <w:r w:rsidRPr="00C5016E">
              <w:rPr>
                <w:rFonts w:cs="Arial"/>
                <w:b/>
                <w:bCs/>
                <w:sz w:val="21"/>
                <w:szCs w:val="21"/>
              </w:rPr>
              <w:t>4</w:t>
            </w:r>
          </w:p>
        </w:tc>
        <w:tc>
          <w:tcPr>
            <w:tcW w:w="939" w:type="dxa"/>
            <w:shd w:val="clear" w:color="auto" w:fill="D9D9D9"/>
          </w:tcPr>
          <w:p w:rsidR="00C025DC" w:rsidRPr="00C5016E" w:rsidRDefault="00C025DC" w:rsidP="00C025DC">
            <w:pPr>
              <w:spacing w:before="0" w:after="0"/>
              <w:jc w:val="center"/>
              <w:rPr>
                <w:rFonts w:cs="Arial"/>
                <w:b/>
                <w:bCs/>
                <w:sz w:val="21"/>
                <w:szCs w:val="21"/>
              </w:rPr>
            </w:pPr>
            <w:r w:rsidRPr="00C5016E">
              <w:rPr>
                <w:rFonts w:cs="Arial"/>
                <w:b/>
                <w:bCs/>
                <w:sz w:val="21"/>
                <w:szCs w:val="21"/>
              </w:rPr>
              <w:t>5</w:t>
            </w:r>
          </w:p>
        </w:tc>
        <w:tc>
          <w:tcPr>
            <w:tcW w:w="992" w:type="dxa"/>
            <w:shd w:val="clear" w:color="auto" w:fill="D9D9D9"/>
          </w:tcPr>
          <w:p w:rsidR="00C025DC" w:rsidRPr="00C5016E" w:rsidRDefault="00C025DC" w:rsidP="00C025DC">
            <w:pPr>
              <w:spacing w:before="0" w:after="0"/>
              <w:jc w:val="center"/>
              <w:rPr>
                <w:rFonts w:cs="Arial"/>
                <w:b/>
                <w:bCs/>
                <w:sz w:val="21"/>
                <w:szCs w:val="21"/>
              </w:rPr>
            </w:pPr>
            <w:r w:rsidRPr="00C5016E">
              <w:rPr>
                <w:rFonts w:cs="Arial"/>
                <w:b/>
                <w:bCs/>
                <w:sz w:val="21"/>
                <w:szCs w:val="21"/>
              </w:rPr>
              <w:t>6</w:t>
            </w:r>
          </w:p>
        </w:tc>
      </w:tr>
      <w:tr w:rsidR="00C5016E" w:rsidRPr="00C5016E" w:rsidTr="00C025DC">
        <w:trPr>
          <w:trHeight w:val="487"/>
          <w:jc w:val="center"/>
        </w:trPr>
        <w:tc>
          <w:tcPr>
            <w:tcW w:w="3119" w:type="dxa"/>
            <w:vAlign w:val="center"/>
          </w:tcPr>
          <w:p w:rsidR="00C025DC" w:rsidRPr="00C5016E" w:rsidRDefault="00C025DC" w:rsidP="00C025DC">
            <w:pPr>
              <w:spacing w:before="0" w:after="0"/>
              <w:jc w:val="left"/>
              <w:rPr>
                <w:rFonts w:cs="Arial"/>
                <w:b/>
                <w:bCs/>
                <w:sz w:val="21"/>
                <w:szCs w:val="21"/>
              </w:rPr>
            </w:pPr>
            <w:r w:rsidRPr="00C5016E">
              <w:rPr>
                <w:rFonts w:cs="Arial"/>
                <w:b/>
                <w:bCs/>
                <w:sz w:val="21"/>
                <w:szCs w:val="21"/>
              </w:rPr>
              <w:t>1. Tekući rashodi</w:t>
            </w:r>
          </w:p>
          <w:p w:rsidR="00C025DC" w:rsidRPr="00C5016E" w:rsidRDefault="00C025DC" w:rsidP="00C025DC">
            <w:pPr>
              <w:spacing w:before="0" w:after="0"/>
              <w:jc w:val="left"/>
              <w:rPr>
                <w:rFonts w:cs="Arial"/>
                <w:b/>
                <w:bCs/>
                <w:sz w:val="21"/>
                <w:szCs w:val="21"/>
              </w:rPr>
            </w:pPr>
            <w:r w:rsidRPr="00C5016E">
              <w:rPr>
                <w:rFonts w:cs="Arial"/>
                <w:b/>
                <w:bCs/>
                <w:sz w:val="21"/>
                <w:szCs w:val="21"/>
              </w:rPr>
              <w:t>(1.1+1.2+1.3+1.4+1.5)</w:t>
            </w:r>
          </w:p>
        </w:tc>
        <w:tc>
          <w:tcPr>
            <w:tcW w:w="1183" w:type="dxa"/>
            <w:vAlign w:val="center"/>
          </w:tcPr>
          <w:p w:rsidR="00C025DC" w:rsidRPr="00C5016E" w:rsidRDefault="00C025DC" w:rsidP="00C025DC">
            <w:pPr>
              <w:tabs>
                <w:tab w:val="left" w:pos="526"/>
              </w:tabs>
              <w:spacing w:before="0" w:after="0"/>
              <w:jc w:val="right"/>
              <w:rPr>
                <w:rFonts w:cs="Arial"/>
                <w:b/>
                <w:bCs/>
                <w:sz w:val="21"/>
                <w:szCs w:val="21"/>
              </w:rPr>
            </w:pPr>
            <w:r w:rsidRPr="00C5016E">
              <w:rPr>
                <w:rFonts w:cs="Arial"/>
                <w:b/>
                <w:bCs/>
                <w:sz w:val="21"/>
                <w:szCs w:val="21"/>
              </w:rPr>
              <w:t>4.287.135</w:t>
            </w:r>
          </w:p>
        </w:tc>
        <w:tc>
          <w:tcPr>
            <w:tcW w:w="1275"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4.200.153</w:t>
            </w:r>
          </w:p>
        </w:tc>
        <w:tc>
          <w:tcPr>
            <w:tcW w:w="1276"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3.903.403</w:t>
            </w:r>
          </w:p>
        </w:tc>
        <w:tc>
          <w:tcPr>
            <w:tcW w:w="939"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98</w:t>
            </w:r>
          </w:p>
        </w:tc>
        <w:tc>
          <w:tcPr>
            <w:tcW w:w="992"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108</w:t>
            </w:r>
          </w:p>
        </w:tc>
      </w:tr>
      <w:tr w:rsidR="00C5016E" w:rsidRPr="00C5016E" w:rsidTr="00C025DC">
        <w:trPr>
          <w:trHeight w:val="395"/>
          <w:jc w:val="center"/>
        </w:trPr>
        <w:tc>
          <w:tcPr>
            <w:tcW w:w="3119" w:type="dxa"/>
            <w:vAlign w:val="center"/>
          </w:tcPr>
          <w:p w:rsidR="00C025DC" w:rsidRPr="00C5016E" w:rsidRDefault="00C025DC" w:rsidP="00C025DC">
            <w:pPr>
              <w:spacing w:before="0" w:after="0"/>
              <w:jc w:val="left"/>
              <w:rPr>
                <w:rFonts w:cs="Arial"/>
                <w:sz w:val="21"/>
                <w:szCs w:val="21"/>
              </w:rPr>
            </w:pPr>
            <w:r w:rsidRPr="00C5016E">
              <w:rPr>
                <w:rFonts w:cs="Arial"/>
                <w:sz w:val="21"/>
                <w:szCs w:val="21"/>
              </w:rPr>
              <w:t>1.1 Plaće i naknade troškova zaposlenih</w:t>
            </w:r>
          </w:p>
        </w:tc>
        <w:tc>
          <w:tcPr>
            <w:tcW w:w="1183" w:type="dxa"/>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271.332</w:t>
            </w:r>
          </w:p>
        </w:tc>
        <w:tc>
          <w:tcPr>
            <w:tcW w:w="1275" w:type="dxa"/>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260.897</w:t>
            </w:r>
          </w:p>
        </w:tc>
        <w:tc>
          <w:tcPr>
            <w:tcW w:w="1276" w:type="dxa"/>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240.125</w:t>
            </w:r>
          </w:p>
        </w:tc>
        <w:tc>
          <w:tcPr>
            <w:tcW w:w="939" w:type="dxa"/>
            <w:vAlign w:val="center"/>
          </w:tcPr>
          <w:p w:rsidR="00C025DC" w:rsidRPr="00C5016E" w:rsidRDefault="00C025DC" w:rsidP="00C025DC">
            <w:pPr>
              <w:tabs>
                <w:tab w:val="left" w:pos="249"/>
              </w:tabs>
              <w:spacing w:before="0" w:after="0"/>
              <w:jc w:val="right"/>
              <w:rPr>
                <w:rFonts w:cs="Arial"/>
                <w:bCs/>
                <w:sz w:val="21"/>
                <w:szCs w:val="21"/>
              </w:rPr>
            </w:pPr>
            <w:r w:rsidRPr="00C5016E">
              <w:rPr>
                <w:rFonts w:cs="Arial"/>
                <w:bCs/>
                <w:sz w:val="21"/>
                <w:szCs w:val="21"/>
              </w:rPr>
              <w:t>96</w:t>
            </w:r>
          </w:p>
        </w:tc>
        <w:tc>
          <w:tcPr>
            <w:tcW w:w="992" w:type="dxa"/>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109</w:t>
            </w:r>
          </w:p>
        </w:tc>
      </w:tr>
      <w:tr w:rsidR="00C5016E" w:rsidRPr="00C5016E" w:rsidTr="00C025DC">
        <w:trPr>
          <w:jc w:val="center"/>
        </w:trPr>
        <w:tc>
          <w:tcPr>
            <w:tcW w:w="3119" w:type="dxa"/>
            <w:vAlign w:val="center"/>
          </w:tcPr>
          <w:p w:rsidR="00C025DC" w:rsidRPr="00C5016E" w:rsidRDefault="00C025DC" w:rsidP="00C025DC">
            <w:pPr>
              <w:spacing w:before="0" w:after="0"/>
              <w:jc w:val="left"/>
              <w:rPr>
                <w:rFonts w:cs="Arial"/>
                <w:sz w:val="21"/>
                <w:szCs w:val="21"/>
              </w:rPr>
            </w:pPr>
            <w:r w:rsidRPr="00C5016E">
              <w:rPr>
                <w:rFonts w:cs="Arial"/>
                <w:sz w:val="21"/>
                <w:szCs w:val="21"/>
              </w:rPr>
              <w:t>1.2 Doprinosi poslodavca i ostali doprinosi</w:t>
            </w:r>
          </w:p>
        </w:tc>
        <w:tc>
          <w:tcPr>
            <w:tcW w:w="1183"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29.091</w:t>
            </w:r>
          </w:p>
        </w:tc>
        <w:tc>
          <w:tcPr>
            <w:tcW w:w="1275"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26.714</w:t>
            </w:r>
          </w:p>
        </w:tc>
        <w:tc>
          <w:tcPr>
            <w:tcW w:w="1276"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25.644</w:t>
            </w:r>
          </w:p>
        </w:tc>
        <w:tc>
          <w:tcPr>
            <w:tcW w:w="939" w:type="dxa"/>
            <w:vAlign w:val="center"/>
          </w:tcPr>
          <w:p w:rsidR="00C025DC" w:rsidRPr="00C5016E" w:rsidRDefault="00C025DC" w:rsidP="00C025DC">
            <w:pPr>
              <w:tabs>
                <w:tab w:val="center" w:pos="515"/>
                <w:tab w:val="right" w:pos="1031"/>
              </w:tabs>
              <w:spacing w:before="0" w:after="0"/>
              <w:jc w:val="right"/>
              <w:rPr>
                <w:rFonts w:cs="Arial"/>
                <w:sz w:val="21"/>
                <w:szCs w:val="21"/>
              </w:rPr>
            </w:pPr>
            <w:r w:rsidRPr="00C5016E">
              <w:rPr>
                <w:rFonts w:cs="Arial"/>
                <w:sz w:val="21"/>
                <w:szCs w:val="21"/>
              </w:rPr>
              <w:t>92</w:t>
            </w:r>
          </w:p>
        </w:tc>
        <w:tc>
          <w:tcPr>
            <w:tcW w:w="992" w:type="dxa"/>
            <w:vAlign w:val="center"/>
          </w:tcPr>
          <w:p w:rsidR="00C025DC" w:rsidRPr="00C5016E" w:rsidRDefault="00C025DC" w:rsidP="00C025DC">
            <w:pPr>
              <w:tabs>
                <w:tab w:val="center" w:pos="515"/>
                <w:tab w:val="right" w:pos="1031"/>
              </w:tabs>
              <w:spacing w:before="0" w:after="0"/>
              <w:jc w:val="right"/>
              <w:rPr>
                <w:rFonts w:cs="Arial"/>
                <w:sz w:val="21"/>
                <w:szCs w:val="21"/>
              </w:rPr>
            </w:pPr>
            <w:r w:rsidRPr="00C5016E">
              <w:rPr>
                <w:rFonts w:cs="Arial"/>
                <w:sz w:val="21"/>
                <w:szCs w:val="21"/>
              </w:rPr>
              <w:t>104</w:t>
            </w:r>
          </w:p>
        </w:tc>
      </w:tr>
      <w:tr w:rsidR="00C5016E" w:rsidRPr="00C5016E" w:rsidTr="00C025DC">
        <w:trPr>
          <w:jc w:val="center"/>
        </w:trPr>
        <w:tc>
          <w:tcPr>
            <w:tcW w:w="3119" w:type="dxa"/>
            <w:vAlign w:val="center"/>
          </w:tcPr>
          <w:p w:rsidR="00C025DC" w:rsidRPr="00C5016E" w:rsidRDefault="00C025DC" w:rsidP="00C025DC">
            <w:pPr>
              <w:spacing w:before="0" w:after="0"/>
              <w:jc w:val="left"/>
              <w:rPr>
                <w:rFonts w:cs="Arial"/>
                <w:sz w:val="21"/>
                <w:szCs w:val="21"/>
              </w:rPr>
            </w:pPr>
            <w:r w:rsidRPr="00C5016E">
              <w:rPr>
                <w:rFonts w:cs="Arial"/>
                <w:sz w:val="21"/>
                <w:szCs w:val="21"/>
              </w:rPr>
              <w:t>1.3 Izdaci za materijal, sitan inventar i usluge</w:t>
            </w:r>
          </w:p>
        </w:tc>
        <w:tc>
          <w:tcPr>
            <w:tcW w:w="1183"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130.139</w:t>
            </w:r>
          </w:p>
        </w:tc>
        <w:tc>
          <w:tcPr>
            <w:tcW w:w="1275" w:type="dxa"/>
            <w:vAlign w:val="center"/>
          </w:tcPr>
          <w:p w:rsidR="00C025DC" w:rsidRPr="00C5016E" w:rsidRDefault="00C025DC" w:rsidP="00C025DC">
            <w:pPr>
              <w:tabs>
                <w:tab w:val="center" w:pos="485"/>
                <w:tab w:val="right" w:pos="971"/>
              </w:tabs>
              <w:spacing w:before="0" w:after="0"/>
              <w:jc w:val="right"/>
              <w:rPr>
                <w:rFonts w:cs="Arial"/>
                <w:sz w:val="21"/>
                <w:szCs w:val="21"/>
              </w:rPr>
            </w:pPr>
            <w:r w:rsidRPr="00C5016E">
              <w:rPr>
                <w:rFonts w:cs="Arial"/>
                <w:sz w:val="21"/>
                <w:szCs w:val="21"/>
              </w:rPr>
              <w:t>96.844</w:t>
            </w:r>
          </w:p>
        </w:tc>
        <w:tc>
          <w:tcPr>
            <w:tcW w:w="1276"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101.313</w:t>
            </w:r>
          </w:p>
        </w:tc>
        <w:tc>
          <w:tcPr>
            <w:tcW w:w="939"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74</w:t>
            </w:r>
          </w:p>
        </w:tc>
        <w:tc>
          <w:tcPr>
            <w:tcW w:w="992"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96</w:t>
            </w:r>
          </w:p>
        </w:tc>
      </w:tr>
      <w:tr w:rsidR="00C5016E" w:rsidRPr="00C5016E" w:rsidTr="00C025DC">
        <w:trPr>
          <w:jc w:val="center"/>
        </w:trPr>
        <w:tc>
          <w:tcPr>
            <w:tcW w:w="3119" w:type="dxa"/>
            <w:vAlign w:val="center"/>
          </w:tcPr>
          <w:p w:rsidR="00C025DC" w:rsidRPr="00C5016E" w:rsidRDefault="00C025DC" w:rsidP="00C025DC">
            <w:pPr>
              <w:spacing w:before="0" w:after="0"/>
              <w:jc w:val="left"/>
              <w:rPr>
                <w:rFonts w:cs="Arial"/>
                <w:sz w:val="21"/>
                <w:szCs w:val="21"/>
              </w:rPr>
            </w:pPr>
            <w:r w:rsidRPr="00C5016E">
              <w:rPr>
                <w:rFonts w:cs="Arial"/>
                <w:sz w:val="21"/>
                <w:szCs w:val="21"/>
              </w:rPr>
              <w:t>1.4 Tekući transferi i drugi tekući rashodi</w:t>
            </w:r>
          </w:p>
        </w:tc>
        <w:tc>
          <w:tcPr>
            <w:tcW w:w="1183"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3.751.478</w:t>
            </w:r>
          </w:p>
        </w:tc>
        <w:tc>
          <w:tcPr>
            <w:tcW w:w="1275"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3.729.544</w:t>
            </w:r>
          </w:p>
        </w:tc>
        <w:tc>
          <w:tcPr>
            <w:tcW w:w="1276"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3.459.299</w:t>
            </w:r>
          </w:p>
        </w:tc>
        <w:tc>
          <w:tcPr>
            <w:tcW w:w="939" w:type="dxa"/>
            <w:vAlign w:val="center"/>
          </w:tcPr>
          <w:p w:rsidR="00C025DC" w:rsidRPr="00C5016E" w:rsidRDefault="00C025DC" w:rsidP="00C025DC">
            <w:pPr>
              <w:tabs>
                <w:tab w:val="left" w:pos="351"/>
              </w:tabs>
              <w:spacing w:before="0" w:after="0"/>
              <w:jc w:val="right"/>
              <w:rPr>
                <w:rFonts w:cs="Arial"/>
                <w:sz w:val="21"/>
                <w:szCs w:val="21"/>
              </w:rPr>
            </w:pPr>
            <w:r w:rsidRPr="00C5016E">
              <w:rPr>
                <w:rFonts w:cs="Arial"/>
                <w:sz w:val="21"/>
                <w:szCs w:val="21"/>
              </w:rPr>
              <w:t>99</w:t>
            </w:r>
          </w:p>
        </w:tc>
        <w:tc>
          <w:tcPr>
            <w:tcW w:w="992"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108</w:t>
            </w:r>
          </w:p>
        </w:tc>
      </w:tr>
      <w:tr w:rsidR="00C5016E" w:rsidRPr="00C5016E" w:rsidTr="00C025DC">
        <w:trPr>
          <w:jc w:val="center"/>
        </w:trPr>
        <w:tc>
          <w:tcPr>
            <w:tcW w:w="3119" w:type="dxa"/>
            <w:vAlign w:val="center"/>
          </w:tcPr>
          <w:p w:rsidR="00C025DC" w:rsidRPr="00C5016E" w:rsidRDefault="00C025DC" w:rsidP="00C025DC">
            <w:pPr>
              <w:spacing w:before="0" w:after="0"/>
              <w:jc w:val="left"/>
              <w:rPr>
                <w:rFonts w:cs="Arial"/>
                <w:sz w:val="21"/>
                <w:szCs w:val="21"/>
              </w:rPr>
            </w:pPr>
            <w:r w:rsidRPr="00C5016E">
              <w:rPr>
                <w:rFonts w:cs="Arial"/>
                <w:sz w:val="21"/>
                <w:szCs w:val="21"/>
              </w:rPr>
              <w:t>1.5 Izdaci za kamate i ostale naknade</w:t>
            </w:r>
          </w:p>
        </w:tc>
        <w:tc>
          <w:tcPr>
            <w:tcW w:w="1183"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105.095</w:t>
            </w:r>
          </w:p>
        </w:tc>
        <w:tc>
          <w:tcPr>
            <w:tcW w:w="1275"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86.154</w:t>
            </w:r>
          </w:p>
        </w:tc>
        <w:tc>
          <w:tcPr>
            <w:tcW w:w="1276"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77.022</w:t>
            </w:r>
          </w:p>
        </w:tc>
        <w:tc>
          <w:tcPr>
            <w:tcW w:w="939" w:type="dxa"/>
            <w:vAlign w:val="center"/>
          </w:tcPr>
          <w:p w:rsidR="00C025DC" w:rsidRPr="00C5016E" w:rsidRDefault="00C025DC" w:rsidP="00C025DC">
            <w:pPr>
              <w:tabs>
                <w:tab w:val="left" w:pos="425"/>
              </w:tabs>
              <w:spacing w:before="0" w:after="0"/>
              <w:jc w:val="right"/>
              <w:rPr>
                <w:rFonts w:cs="Arial"/>
                <w:sz w:val="21"/>
                <w:szCs w:val="21"/>
              </w:rPr>
            </w:pPr>
            <w:r w:rsidRPr="00C5016E">
              <w:rPr>
                <w:rFonts w:cs="Arial"/>
                <w:sz w:val="21"/>
                <w:szCs w:val="21"/>
              </w:rPr>
              <w:t>82</w:t>
            </w:r>
          </w:p>
        </w:tc>
        <w:tc>
          <w:tcPr>
            <w:tcW w:w="992"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112</w:t>
            </w:r>
          </w:p>
        </w:tc>
      </w:tr>
      <w:tr w:rsidR="00C5016E" w:rsidRPr="00C5016E" w:rsidTr="00C025DC">
        <w:trPr>
          <w:jc w:val="center"/>
        </w:trPr>
        <w:tc>
          <w:tcPr>
            <w:tcW w:w="3119" w:type="dxa"/>
            <w:vAlign w:val="center"/>
          </w:tcPr>
          <w:p w:rsidR="00C025DC" w:rsidRPr="00C5016E" w:rsidRDefault="00C025DC" w:rsidP="00394009">
            <w:pPr>
              <w:spacing w:before="0" w:after="0"/>
              <w:jc w:val="left"/>
              <w:rPr>
                <w:rFonts w:cs="Arial"/>
                <w:b/>
                <w:bCs/>
                <w:sz w:val="21"/>
                <w:szCs w:val="21"/>
              </w:rPr>
            </w:pPr>
            <w:r w:rsidRPr="00C5016E">
              <w:rPr>
                <w:rFonts w:cs="Arial"/>
                <w:b/>
                <w:bCs/>
                <w:sz w:val="21"/>
                <w:szCs w:val="21"/>
              </w:rPr>
              <w:t xml:space="preserve">2. *Tekuća </w:t>
            </w:r>
            <w:r w:rsidR="00394009" w:rsidRPr="00C5016E">
              <w:rPr>
                <w:rFonts w:cs="Arial"/>
                <w:b/>
                <w:bCs/>
                <w:sz w:val="21"/>
                <w:szCs w:val="21"/>
              </w:rPr>
              <w:t>pričuva</w:t>
            </w:r>
            <w:r w:rsidRPr="00C5016E">
              <w:rPr>
                <w:rFonts w:cs="Arial"/>
                <w:b/>
                <w:bCs/>
                <w:sz w:val="21"/>
                <w:szCs w:val="21"/>
              </w:rPr>
              <w:t xml:space="preserve"> Vlade</w:t>
            </w:r>
          </w:p>
        </w:tc>
        <w:tc>
          <w:tcPr>
            <w:tcW w:w="1183"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5.155</w:t>
            </w:r>
          </w:p>
        </w:tc>
        <w:tc>
          <w:tcPr>
            <w:tcW w:w="1275" w:type="dxa"/>
            <w:vAlign w:val="center"/>
          </w:tcPr>
          <w:p w:rsidR="00C025DC" w:rsidRPr="00C5016E" w:rsidRDefault="00C025DC" w:rsidP="00C025DC">
            <w:pPr>
              <w:spacing w:before="0" w:after="0"/>
              <w:jc w:val="right"/>
              <w:rPr>
                <w:rFonts w:cs="Arial"/>
                <w:b/>
                <w:bCs/>
                <w:sz w:val="21"/>
                <w:szCs w:val="21"/>
              </w:rPr>
            </w:pPr>
          </w:p>
        </w:tc>
        <w:tc>
          <w:tcPr>
            <w:tcW w:w="1276" w:type="dxa"/>
            <w:vAlign w:val="center"/>
          </w:tcPr>
          <w:p w:rsidR="00C025DC" w:rsidRPr="00C5016E" w:rsidRDefault="00C025DC" w:rsidP="00C025DC">
            <w:pPr>
              <w:spacing w:before="0" w:after="0"/>
              <w:jc w:val="right"/>
              <w:rPr>
                <w:rFonts w:cs="Arial"/>
                <w:b/>
                <w:bCs/>
                <w:sz w:val="21"/>
                <w:szCs w:val="21"/>
              </w:rPr>
            </w:pPr>
          </w:p>
        </w:tc>
        <w:tc>
          <w:tcPr>
            <w:tcW w:w="939" w:type="dxa"/>
            <w:vAlign w:val="center"/>
          </w:tcPr>
          <w:p w:rsidR="00C025DC" w:rsidRPr="00C5016E" w:rsidRDefault="00C025DC" w:rsidP="00C025DC">
            <w:pPr>
              <w:spacing w:before="0" w:after="0"/>
              <w:jc w:val="right"/>
              <w:rPr>
                <w:rFonts w:cs="Arial"/>
                <w:b/>
                <w:bCs/>
                <w:sz w:val="21"/>
                <w:szCs w:val="21"/>
              </w:rPr>
            </w:pPr>
          </w:p>
        </w:tc>
        <w:tc>
          <w:tcPr>
            <w:tcW w:w="992" w:type="dxa"/>
            <w:vAlign w:val="center"/>
          </w:tcPr>
          <w:p w:rsidR="00C025DC" w:rsidRPr="00C5016E" w:rsidRDefault="00C025DC" w:rsidP="00C025DC">
            <w:pPr>
              <w:spacing w:before="0" w:after="0"/>
              <w:jc w:val="right"/>
              <w:rPr>
                <w:rFonts w:cs="Arial"/>
                <w:b/>
                <w:bCs/>
                <w:sz w:val="21"/>
                <w:szCs w:val="21"/>
              </w:rPr>
            </w:pPr>
          </w:p>
        </w:tc>
      </w:tr>
      <w:tr w:rsidR="00C5016E" w:rsidRPr="00C5016E" w:rsidTr="00C025DC">
        <w:trPr>
          <w:jc w:val="center"/>
        </w:trPr>
        <w:tc>
          <w:tcPr>
            <w:tcW w:w="3119" w:type="dxa"/>
            <w:vAlign w:val="center"/>
          </w:tcPr>
          <w:p w:rsidR="00C025DC" w:rsidRPr="00C5016E" w:rsidRDefault="00C025DC" w:rsidP="00C025DC">
            <w:pPr>
              <w:spacing w:before="0" w:after="0"/>
              <w:jc w:val="left"/>
              <w:rPr>
                <w:rFonts w:cs="Arial"/>
                <w:b/>
                <w:bCs/>
                <w:sz w:val="21"/>
                <w:szCs w:val="21"/>
              </w:rPr>
            </w:pPr>
            <w:r w:rsidRPr="00C5016E">
              <w:rPr>
                <w:rFonts w:cs="Arial"/>
                <w:b/>
                <w:bCs/>
                <w:sz w:val="21"/>
                <w:szCs w:val="21"/>
              </w:rPr>
              <w:t>3. Kapitalni izdaci (3.1+3.2)</w:t>
            </w:r>
          </w:p>
        </w:tc>
        <w:tc>
          <w:tcPr>
            <w:tcW w:w="1183"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437.694</w:t>
            </w:r>
          </w:p>
        </w:tc>
        <w:tc>
          <w:tcPr>
            <w:tcW w:w="1275" w:type="dxa"/>
            <w:vAlign w:val="center"/>
          </w:tcPr>
          <w:p w:rsidR="00C025DC" w:rsidRPr="00C5016E" w:rsidRDefault="00C025DC" w:rsidP="00C025DC">
            <w:pPr>
              <w:tabs>
                <w:tab w:val="left" w:pos="554"/>
              </w:tabs>
              <w:spacing w:before="0" w:after="0"/>
              <w:jc w:val="right"/>
              <w:rPr>
                <w:rFonts w:cs="Arial"/>
                <w:b/>
                <w:bCs/>
                <w:sz w:val="21"/>
                <w:szCs w:val="21"/>
              </w:rPr>
            </w:pPr>
            <w:r w:rsidRPr="00C5016E">
              <w:rPr>
                <w:rFonts w:cs="Arial"/>
                <w:b/>
                <w:bCs/>
                <w:sz w:val="21"/>
                <w:szCs w:val="21"/>
              </w:rPr>
              <w:t>151.345</w:t>
            </w:r>
          </w:p>
        </w:tc>
        <w:tc>
          <w:tcPr>
            <w:tcW w:w="1276" w:type="dxa"/>
            <w:vAlign w:val="center"/>
          </w:tcPr>
          <w:p w:rsidR="00C025DC" w:rsidRPr="00C5016E" w:rsidRDefault="00C025DC" w:rsidP="00C025DC">
            <w:pPr>
              <w:tabs>
                <w:tab w:val="left" w:pos="554"/>
              </w:tabs>
              <w:spacing w:before="0" w:after="0"/>
              <w:jc w:val="right"/>
              <w:rPr>
                <w:rFonts w:cs="Arial"/>
                <w:b/>
                <w:bCs/>
                <w:sz w:val="21"/>
                <w:szCs w:val="21"/>
              </w:rPr>
            </w:pPr>
            <w:r w:rsidRPr="00C5016E">
              <w:rPr>
                <w:rFonts w:cs="Arial"/>
                <w:b/>
                <w:bCs/>
                <w:sz w:val="21"/>
                <w:szCs w:val="21"/>
              </w:rPr>
              <w:t>86.345</w:t>
            </w:r>
          </w:p>
        </w:tc>
        <w:tc>
          <w:tcPr>
            <w:tcW w:w="939"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35</w:t>
            </w:r>
          </w:p>
        </w:tc>
        <w:tc>
          <w:tcPr>
            <w:tcW w:w="992"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175</w:t>
            </w:r>
          </w:p>
        </w:tc>
      </w:tr>
      <w:tr w:rsidR="00C5016E" w:rsidRPr="00C5016E" w:rsidTr="00C025DC">
        <w:trPr>
          <w:jc w:val="center"/>
        </w:trPr>
        <w:tc>
          <w:tcPr>
            <w:tcW w:w="3119" w:type="dxa"/>
            <w:vAlign w:val="center"/>
          </w:tcPr>
          <w:p w:rsidR="00C025DC" w:rsidRPr="00C5016E" w:rsidRDefault="00394009" w:rsidP="00C025DC">
            <w:pPr>
              <w:spacing w:before="0" w:after="0"/>
              <w:jc w:val="left"/>
              <w:rPr>
                <w:rFonts w:cs="Arial"/>
                <w:sz w:val="21"/>
                <w:szCs w:val="21"/>
              </w:rPr>
            </w:pPr>
            <w:r w:rsidRPr="00C5016E">
              <w:rPr>
                <w:rFonts w:cs="Arial"/>
                <w:sz w:val="21"/>
                <w:szCs w:val="21"/>
              </w:rPr>
              <w:t>3.1. Nabav</w:t>
            </w:r>
            <w:r w:rsidR="00C025DC" w:rsidRPr="00C5016E">
              <w:rPr>
                <w:rFonts w:cs="Arial"/>
                <w:sz w:val="21"/>
                <w:szCs w:val="21"/>
              </w:rPr>
              <w:t>a stalnih sredstava</w:t>
            </w:r>
          </w:p>
        </w:tc>
        <w:tc>
          <w:tcPr>
            <w:tcW w:w="1183"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117.749</w:t>
            </w:r>
          </w:p>
        </w:tc>
        <w:tc>
          <w:tcPr>
            <w:tcW w:w="1275"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42.226</w:t>
            </w:r>
          </w:p>
        </w:tc>
        <w:tc>
          <w:tcPr>
            <w:tcW w:w="1276"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14.510</w:t>
            </w:r>
          </w:p>
        </w:tc>
        <w:tc>
          <w:tcPr>
            <w:tcW w:w="939"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36</w:t>
            </w:r>
          </w:p>
        </w:tc>
        <w:tc>
          <w:tcPr>
            <w:tcW w:w="992"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291</w:t>
            </w:r>
          </w:p>
        </w:tc>
      </w:tr>
      <w:tr w:rsidR="00C5016E" w:rsidRPr="00C5016E" w:rsidTr="00C025DC">
        <w:trPr>
          <w:jc w:val="center"/>
        </w:trPr>
        <w:tc>
          <w:tcPr>
            <w:tcW w:w="3119" w:type="dxa"/>
            <w:vAlign w:val="center"/>
          </w:tcPr>
          <w:p w:rsidR="00C025DC" w:rsidRPr="00C5016E" w:rsidRDefault="00C025DC" w:rsidP="00C025DC">
            <w:pPr>
              <w:spacing w:before="0" w:after="0"/>
              <w:jc w:val="left"/>
              <w:rPr>
                <w:rFonts w:cs="Arial"/>
                <w:sz w:val="21"/>
                <w:szCs w:val="21"/>
              </w:rPr>
            </w:pPr>
            <w:r w:rsidRPr="00C5016E">
              <w:rPr>
                <w:rFonts w:cs="Arial"/>
                <w:sz w:val="21"/>
                <w:szCs w:val="21"/>
              </w:rPr>
              <w:t>3.2.Kapitalni transferi</w:t>
            </w:r>
          </w:p>
        </w:tc>
        <w:tc>
          <w:tcPr>
            <w:tcW w:w="1183"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319.945</w:t>
            </w:r>
          </w:p>
        </w:tc>
        <w:tc>
          <w:tcPr>
            <w:tcW w:w="1275"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109.119</w:t>
            </w:r>
          </w:p>
        </w:tc>
        <w:tc>
          <w:tcPr>
            <w:tcW w:w="1276"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71.835</w:t>
            </w:r>
          </w:p>
        </w:tc>
        <w:tc>
          <w:tcPr>
            <w:tcW w:w="939"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34</w:t>
            </w:r>
          </w:p>
        </w:tc>
        <w:tc>
          <w:tcPr>
            <w:tcW w:w="992" w:type="dxa"/>
            <w:vAlign w:val="center"/>
          </w:tcPr>
          <w:p w:rsidR="00C025DC" w:rsidRPr="00C5016E" w:rsidRDefault="00C025DC" w:rsidP="00C025DC">
            <w:pPr>
              <w:spacing w:before="0" w:after="0"/>
              <w:jc w:val="right"/>
              <w:rPr>
                <w:rFonts w:cs="Arial"/>
                <w:sz w:val="21"/>
                <w:szCs w:val="21"/>
              </w:rPr>
            </w:pPr>
            <w:r w:rsidRPr="00C5016E">
              <w:rPr>
                <w:rFonts w:cs="Arial"/>
                <w:sz w:val="21"/>
                <w:szCs w:val="21"/>
              </w:rPr>
              <w:t>152</w:t>
            </w:r>
          </w:p>
        </w:tc>
      </w:tr>
      <w:tr w:rsidR="00C5016E" w:rsidRPr="00C5016E" w:rsidTr="00C025DC">
        <w:trPr>
          <w:jc w:val="center"/>
        </w:trPr>
        <w:tc>
          <w:tcPr>
            <w:tcW w:w="3119" w:type="dxa"/>
            <w:vAlign w:val="center"/>
          </w:tcPr>
          <w:p w:rsidR="00C025DC" w:rsidRPr="00C5016E" w:rsidRDefault="00C025DC" w:rsidP="00C025DC">
            <w:pPr>
              <w:spacing w:before="0" w:after="0"/>
              <w:jc w:val="left"/>
              <w:rPr>
                <w:rFonts w:cs="Arial"/>
                <w:b/>
                <w:bCs/>
                <w:sz w:val="21"/>
                <w:szCs w:val="21"/>
              </w:rPr>
            </w:pPr>
            <w:r w:rsidRPr="00C5016E">
              <w:rPr>
                <w:rFonts w:cs="Arial"/>
                <w:b/>
                <w:bCs/>
                <w:sz w:val="21"/>
                <w:szCs w:val="21"/>
              </w:rPr>
              <w:t>4. Izdaci za financijsku imovinu (4.1+4.2)</w:t>
            </w:r>
          </w:p>
        </w:tc>
        <w:tc>
          <w:tcPr>
            <w:tcW w:w="1183"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18.500</w:t>
            </w:r>
          </w:p>
        </w:tc>
        <w:tc>
          <w:tcPr>
            <w:tcW w:w="1275" w:type="dxa"/>
            <w:vAlign w:val="center"/>
          </w:tcPr>
          <w:p w:rsidR="00C025DC" w:rsidRPr="00C5016E" w:rsidRDefault="00C025DC" w:rsidP="00C025DC">
            <w:pPr>
              <w:tabs>
                <w:tab w:val="left" w:pos="554"/>
              </w:tabs>
              <w:spacing w:before="0" w:after="0"/>
              <w:jc w:val="right"/>
              <w:rPr>
                <w:rFonts w:cs="Arial"/>
                <w:b/>
                <w:bCs/>
                <w:sz w:val="21"/>
                <w:szCs w:val="21"/>
              </w:rPr>
            </w:pPr>
            <w:r w:rsidRPr="00C5016E">
              <w:rPr>
                <w:rFonts w:cs="Arial"/>
                <w:b/>
                <w:bCs/>
                <w:sz w:val="21"/>
                <w:szCs w:val="21"/>
              </w:rPr>
              <w:t>18.500</w:t>
            </w:r>
          </w:p>
        </w:tc>
        <w:tc>
          <w:tcPr>
            <w:tcW w:w="1276" w:type="dxa"/>
            <w:vAlign w:val="center"/>
          </w:tcPr>
          <w:p w:rsidR="00C025DC" w:rsidRPr="00C5016E" w:rsidRDefault="00C025DC" w:rsidP="00C025DC">
            <w:pPr>
              <w:tabs>
                <w:tab w:val="left" w:pos="554"/>
              </w:tabs>
              <w:spacing w:before="0" w:after="0"/>
              <w:jc w:val="right"/>
              <w:rPr>
                <w:rFonts w:cs="Arial"/>
                <w:b/>
                <w:bCs/>
                <w:sz w:val="21"/>
                <w:szCs w:val="21"/>
              </w:rPr>
            </w:pPr>
            <w:r w:rsidRPr="00C5016E">
              <w:rPr>
                <w:rFonts w:cs="Arial"/>
                <w:b/>
                <w:bCs/>
                <w:sz w:val="21"/>
                <w:szCs w:val="21"/>
              </w:rPr>
              <w:t>17.964</w:t>
            </w:r>
          </w:p>
        </w:tc>
        <w:tc>
          <w:tcPr>
            <w:tcW w:w="939"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100</w:t>
            </w:r>
          </w:p>
        </w:tc>
        <w:tc>
          <w:tcPr>
            <w:tcW w:w="992"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103</w:t>
            </w:r>
          </w:p>
        </w:tc>
      </w:tr>
      <w:tr w:rsidR="00C5016E" w:rsidRPr="00C5016E" w:rsidTr="00C025DC">
        <w:trPr>
          <w:jc w:val="center"/>
        </w:trPr>
        <w:tc>
          <w:tcPr>
            <w:tcW w:w="3119" w:type="dxa"/>
            <w:vAlign w:val="center"/>
          </w:tcPr>
          <w:p w:rsidR="00C025DC" w:rsidRPr="00C5016E" w:rsidRDefault="00C025DC" w:rsidP="00C025DC">
            <w:pPr>
              <w:spacing w:before="0" w:after="0"/>
              <w:jc w:val="left"/>
              <w:rPr>
                <w:rFonts w:cs="Arial"/>
                <w:bCs/>
                <w:sz w:val="21"/>
                <w:szCs w:val="21"/>
              </w:rPr>
            </w:pPr>
            <w:r w:rsidRPr="00C5016E">
              <w:rPr>
                <w:rFonts w:cs="Arial"/>
                <w:bCs/>
                <w:sz w:val="21"/>
                <w:szCs w:val="21"/>
              </w:rPr>
              <w:t>4.1 Izdaci za kupovinu dionica i udio u zajedničkim ulaganjima</w:t>
            </w:r>
          </w:p>
        </w:tc>
        <w:tc>
          <w:tcPr>
            <w:tcW w:w="1183" w:type="dxa"/>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0</w:t>
            </w:r>
          </w:p>
        </w:tc>
        <w:tc>
          <w:tcPr>
            <w:tcW w:w="1275" w:type="dxa"/>
            <w:vAlign w:val="center"/>
          </w:tcPr>
          <w:p w:rsidR="00C025DC" w:rsidRPr="00C5016E" w:rsidRDefault="00C025DC" w:rsidP="00C025DC">
            <w:pPr>
              <w:tabs>
                <w:tab w:val="left" w:pos="554"/>
              </w:tabs>
              <w:spacing w:before="0" w:after="0"/>
              <w:jc w:val="right"/>
              <w:rPr>
                <w:rFonts w:cs="Arial"/>
                <w:bCs/>
                <w:sz w:val="21"/>
                <w:szCs w:val="21"/>
              </w:rPr>
            </w:pPr>
            <w:r w:rsidRPr="00C5016E">
              <w:rPr>
                <w:rFonts w:cs="Arial"/>
                <w:bCs/>
                <w:sz w:val="21"/>
                <w:szCs w:val="21"/>
              </w:rPr>
              <w:t>0</w:t>
            </w:r>
          </w:p>
        </w:tc>
        <w:tc>
          <w:tcPr>
            <w:tcW w:w="1276" w:type="dxa"/>
            <w:vAlign w:val="center"/>
          </w:tcPr>
          <w:p w:rsidR="00C025DC" w:rsidRPr="00C5016E" w:rsidRDefault="00C025DC" w:rsidP="00C025DC">
            <w:pPr>
              <w:tabs>
                <w:tab w:val="left" w:pos="554"/>
              </w:tabs>
              <w:spacing w:before="0" w:after="0"/>
              <w:jc w:val="right"/>
              <w:rPr>
                <w:rFonts w:cs="Arial"/>
                <w:bCs/>
                <w:sz w:val="21"/>
                <w:szCs w:val="21"/>
              </w:rPr>
            </w:pPr>
            <w:r w:rsidRPr="00C5016E">
              <w:rPr>
                <w:rFonts w:cs="Arial"/>
                <w:bCs/>
                <w:sz w:val="21"/>
                <w:szCs w:val="21"/>
              </w:rPr>
              <w:t>464</w:t>
            </w:r>
          </w:p>
        </w:tc>
        <w:tc>
          <w:tcPr>
            <w:tcW w:w="939" w:type="dxa"/>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w:t>
            </w:r>
          </w:p>
        </w:tc>
        <w:tc>
          <w:tcPr>
            <w:tcW w:w="992" w:type="dxa"/>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w:t>
            </w:r>
          </w:p>
        </w:tc>
      </w:tr>
      <w:tr w:rsidR="00C5016E" w:rsidRPr="00C5016E" w:rsidTr="00C025DC">
        <w:trPr>
          <w:jc w:val="center"/>
        </w:trPr>
        <w:tc>
          <w:tcPr>
            <w:tcW w:w="3119" w:type="dxa"/>
            <w:vAlign w:val="center"/>
          </w:tcPr>
          <w:p w:rsidR="00C025DC" w:rsidRPr="00C5016E" w:rsidRDefault="00C025DC" w:rsidP="00C025DC">
            <w:pPr>
              <w:spacing w:before="0" w:after="0"/>
              <w:jc w:val="left"/>
              <w:rPr>
                <w:rFonts w:cs="Arial"/>
                <w:bCs/>
                <w:sz w:val="21"/>
                <w:szCs w:val="21"/>
              </w:rPr>
            </w:pPr>
            <w:r w:rsidRPr="00C5016E">
              <w:rPr>
                <w:rFonts w:cs="Arial"/>
                <w:bCs/>
                <w:sz w:val="21"/>
                <w:szCs w:val="21"/>
              </w:rPr>
              <w:t>4.2 Ostala domaća pozajmljivanja</w:t>
            </w:r>
          </w:p>
        </w:tc>
        <w:tc>
          <w:tcPr>
            <w:tcW w:w="1183" w:type="dxa"/>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18.500</w:t>
            </w:r>
          </w:p>
        </w:tc>
        <w:tc>
          <w:tcPr>
            <w:tcW w:w="1275" w:type="dxa"/>
            <w:vAlign w:val="center"/>
          </w:tcPr>
          <w:p w:rsidR="00C025DC" w:rsidRPr="00C5016E" w:rsidRDefault="00C025DC" w:rsidP="00C025DC">
            <w:pPr>
              <w:tabs>
                <w:tab w:val="left" w:pos="554"/>
              </w:tabs>
              <w:spacing w:before="0" w:after="0"/>
              <w:jc w:val="right"/>
              <w:rPr>
                <w:rFonts w:cs="Arial"/>
                <w:bCs/>
                <w:sz w:val="21"/>
                <w:szCs w:val="21"/>
              </w:rPr>
            </w:pPr>
            <w:r w:rsidRPr="00C5016E">
              <w:rPr>
                <w:rFonts w:cs="Arial"/>
                <w:bCs/>
                <w:sz w:val="21"/>
                <w:szCs w:val="21"/>
              </w:rPr>
              <w:t>18.500</w:t>
            </w:r>
          </w:p>
        </w:tc>
        <w:tc>
          <w:tcPr>
            <w:tcW w:w="1276" w:type="dxa"/>
            <w:vAlign w:val="center"/>
          </w:tcPr>
          <w:p w:rsidR="00C025DC" w:rsidRPr="00C5016E" w:rsidRDefault="00C025DC" w:rsidP="00C025DC">
            <w:pPr>
              <w:tabs>
                <w:tab w:val="left" w:pos="554"/>
              </w:tabs>
              <w:spacing w:before="0" w:after="0"/>
              <w:jc w:val="right"/>
              <w:rPr>
                <w:rFonts w:cs="Arial"/>
                <w:bCs/>
                <w:sz w:val="21"/>
                <w:szCs w:val="21"/>
              </w:rPr>
            </w:pPr>
            <w:r w:rsidRPr="00C5016E">
              <w:rPr>
                <w:rFonts w:cs="Arial"/>
                <w:bCs/>
                <w:sz w:val="21"/>
                <w:szCs w:val="21"/>
              </w:rPr>
              <w:t>17.500</w:t>
            </w:r>
          </w:p>
        </w:tc>
        <w:tc>
          <w:tcPr>
            <w:tcW w:w="939" w:type="dxa"/>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100</w:t>
            </w:r>
          </w:p>
        </w:tc>
        <w:tc>
          <w:tcPr>
            <w:tcW w:w="992" w:type="dxa"/>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106</w:t>
            </w:r>
          </w:p>
        </w:tc>
      </w:tr>
      <w:tr w:rsidR="00C5016E" w:rsidRPr="00C5016E" w:rsidTr="00C025DC">
        <w:trPr>
          <w:jc w:val="center"/>
        </w:trPr>
        <w:tc>
          <w:tcPr>
            <w:tcW w:w="3119" w:type="dxa"/>
            <w:vAlign w:val="center"/>
          </w:tcPr>
          <w:p w:rsidR="00C025DC" w:rsidRPr="00C5016E" w:rsidRDefault="00C025DC" w:rsidP="00C025DC">
            <w:pPr>
              <w:spacing w:before="0" w:after="0"/>
              <w:jc w:val="left"/>
              <w:rPr>
                <w:rFonts w:cs="Arial"/>
                <w:b/>
                <w:bCs/>
                <w:sz w:val="21"/>
                <w:szCs w:val="21"/>
              </w:rPr>
            </w:pPr>
            <w:r w:rsidRPr="00C5016E">
              <w:rPr>
                <w:rFonts w:cs="Arial"/>
                <w:b/>
                <w:bCs/>
                <w:sz w:val="21"/>
                <w:szCs w:val="21"/>
              </w:rPr>
              <w:t>5. Otplate dugova (5.1+5.2+5.3 +5.4)</w:t>
            </w:r>
          </w:p>
        </w:tc>
        <w:tc>
          <w:tcPr>
            <w:tcW w:w="1183"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849.135</w:t>
            </w:r>
          </w:p>
        </w:tc>
        <w:tc>
          <w:tcPr>
            <w:tcW w:w="1275" w:type="dxa"/>
            <w:vAlign w:val="center"/>
          </w:tcPr>
          <w:p w:rsidR="00C025DC" w:rsidRPr="00C5016E" w:rsidRDefault="00C025DC" w:rsidP="00C025DC">
            <w:pPr>
              <w:tabs>
                <w:tab w:val="left" w:pos="554"/>
              </w:tabs>
              <w:spacing w:before="0" w:after="0"/>
              <w:jc w:val="right"/>
              <w:rPr>
                <w:rFonts w:cs="Arial"/>
                <w:b/>
                <w:bCs/>
                <w:sz w:val="21"/>
                <w:szCs w:val="21"/>
              </w:rPr>
            </w:pPr>
            <w:r w:rsidRPr="00C5016E">
              <w:rPr>
                <w:rFonts w:cs="Arial"/>
                <w:b/>
                <w:bCs/>
                <w:sz w:val="21"/>
                <w:szCs w:val="21"/>
              </w:rPr>
              <w:t>730.517</w:t>
            </w:r>
          </w:p>
        </w:tc>
        <w:tc>
          <w:tcPr>
            <w:tcW w:w="1276" w:type="dxa"/>
            <w:vAlign w:val="center"/>
          </w:tcPr>
          <w:p w:rsidR="00C025DC" w:rsidRPr="00C5016E" w:rsidRDefault="00C025DC" w:rsidP="00C025DC">
            <w:pPr>
              <w:tabs>
                <w:tab w:val="left" w:pos="554"/>
              </w:tabs>
              <w:spacing w:before="0" w:after="0"/>
              <w:jc w:val="right"/>
              <w:rPr>
                <w:rFonts w:cs="Arial"/>
                <w:b/>
                <w:bCs/>
                <w:sz w:val="21"/>
                <w:szCs w:val="21"/>
              </w:rPr>
            </w:pPr>
            <w:r w:rsidRPr="00C5016E">
              <w:rPr>
                <w:rFonts w:cs="Arial"/>
                <w:b/>
                <w:bCs/>
                <w:sz w:val="21"/>
                <w:szCs w:val="21"/>
              </w:rPr>
              <w:t>757.869</w:t>
            </w:r>
          </w:p>
        </w:tc>
        <w:tc>
          <w:tcPr>
            <w:tcW w:w="939"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86</w:t>
            </w:r>
          </w:p>
        </w:tc>
        <w:tc>
          <w:tcPr>
            <w:tcW w:w="992" w:type="dxa"/>
            <w:vAlign w:val="center"/>
          </w:tcPr>
          <w:p w:rsidR="00C025DC" w:rsidRPr="00C5016E" w:rsidRDefault="00C025DC" w:rsidP="00C025DC">
            <w:pPr>
              <w:spacing w:before="0" w:after="0"/>
              <w:jc w:val="right"/>
              <w:rPr>
                <w:rFonts w:cs="Arial"/>
                <w:b/>
                <w:bCs/>
                <w:sz w:val="21"/>
                <w:szCs w:val="21"/>
              </w:rPr>
            </w:pPr>
            <w:r w:rsidRPr="00C5016E">
              <w:rPr>
                <w:rFonts w:cs="Arial"/>
                <w:b/>
                <w:bCs/>
                <w:sz w:val="21"/>
                <w:szCs w:val="21"/>
              </w:rPr>
              <w:t>96</w:t>
            </w:r>
          </w:p>
        </w:tc>
      </w:tr>
      <w:tr w:rsidR="00C5016E" w:rsidRPr="00C5016E" w:rsidTr="00C025DC">
        <w:trPr>
          <w:trHeight w:val="336"/>
          <w:jc w:val="center"/>
        </w:trPr>
        <w:tc>
          <w:tcPr>
            <w:tcW w:w="3119" w:type="dxa"/>
            <w:shd w:val="clear" w:color="auto" w:fill="auto"/>
            <w:vAlign w:val="center"/>
          </w:tcPr>
          <w:p w:rsidR="00C025DC" w:rsidRPr="00C5016E" w:rsidRDefault="00C025DC" w:rsidP="00C025DC">
            <w:pPr>
              <w:spacing w:before="0" w:after="0"/>
              <w:jc w:val="left"/>
              <w:rPr>
                <w:rFonts w:cs="Arial"/>
                <w:bCs/>
                <w:sz w:val="21"/>
                <w:szCs w:val="21"/>
                <w:highlight w:val="lightGray"/>
              </w:rPr>
            </w:pPr>
            <w:r w:rsidRPr="00C5016E">
              <w:rPr>
                <w:rFonts w:cs="Arial"/>
                <w:bCs/>
                <w:sz w:val="21"/>
                <w:szCs w:val="21"/>
              </w:rPr>
              <w:t>5.1 Vanjski dug</w:t>
            </w:r>
          </w:p>
        </w:tc>
        <w:tc>
          <w:tcPr>
            <w:tcW w:w="1183"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475.268</w:t>
            </w:r>
          </w:p>
        </w:tc>
        <w:tc>
          <w:tcPr>
            <w:tcW w:w="1275"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464.177</w:t>
            </w:r>
          </w:p>
        </w:tc>
        <w:tc>
          <w:tcPr>
            <w:tcW w:w="1276"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458.039</w:t>
            </w:r>
          </w:p>
        </w:tc>
        <w:tc>
          <w:tcPr>
            <w:tcW w:w="939" w:type="dxa"/>
            <w:shd w:val="clear" w:color="auto" w:fill="auto"/>
            <w:vAlign w:val="center"/>
          </w:tcPr>
          <w:p w:rsidR="00C025DC" w:rsidRPr="00C5016E" w:rsidRDefault="00C025DC" w:rsidP="00C025DC">
            <w:pPr>
              <w:tabs>
                <w:tab w:val="left" w:pos="285"/>
                <w:tab w:val="left" w:pos="384"/>
                <w:tab w:val="left" w:pos="489"/>
              </w:tabs>
              <w:spacing w:before="0" w:after="0"/>
              <w:jc w:val="right"/>
              <w:rPr>
                <w:rFonts w:cs="Arial"/>
                <w:bCs/>
                <w:sz w:val="21"/>
                <w:szCs w:val="21"/>
              </w:rPr>
            </w:pPr>
            <w:r w:rsidRPr="00C5016E">
              <w:rPr>
                <w:rFonts w:cs="Arial"/>
                <w:bCs/>
                <w:sz w:val="21"/>
                <w:szCs w:val="21"/>
              </w:rPr>
              <w:t>98</w:t>
            </w:r>
          </w:p>
        </w:tc>
        <w:tc>
          <w:tcPr>
            <w:tcW w:w="992" w:type="dxa"/>
            <w:shd w:val="clear" w:color="auto" w:fill="auto"/>
            <w:vAlign w:val="center"/>
          </w:tcPr>
          <w:p w:rsidR="00C025DC" w:rsidRPr="00C5016E" w:rsidRDefault="00C025DC" w:rsidP="00C025DC">
            <w:pPr>
              <w:tabs>
                <w:tab w:val="left" w:pos="384"/>
                <w:tab w:val="left" w:pos="489"/>
              </w:tabs>
              <w:spacing w:before="0" w:after="0"/>
              <w:jc w:val="right"/>
              <w:rPr>
                <w:rFonts w:cs="Arial"/>
                <w:bCs/>
                <w:sz w:val="21"/>
                <w:szCs w:val="21"/>
              </w:rPr>
            </w:pPr>
            <w:r w:rsidRPr="00C5016E">
              <w:rPr>
                <w:rFonts w:cs="Arial"/>
                <w:bCs/>
                <w:sz w:val="21"/>
                <w:szCs w:val="21"/>
              </w:rPr>
              <w:t>101</w:t>
            </w:r>
          </w:p>
        </w:tc>
      </w:tr>
      <w:tr w:rsidR="00C5016E" w:rsidRPr="00C5016E" w:rsidTr="00C025DC">
        <w:trPr>
          <w:trHeight w:val="284"/>
          <w:jc w:val="center"/>
        </w:trPr>
        <w:tc>
          <w:tcPr>
            <w:tcW w:w="3119" w:type="dxa"/>
            <w:shd w:val="clear" w:color="auto" w:fill="auto"/>
            <w:vAlign w:val="center"/>
          </w:tcPr>
          <w:p w:rsidR="00C025DC" w:rsidRPr="00C5016E" w:rsidRDefault="00C025DC" w:rsidP="00C025DC">
            <w:pPr>
              <w:spacing w:before="0" w:after="0"/>
              <w:jc w:val="left"/>
              <w:rPr>
                <w:rFonts w:cs="Arial"/>
                <w:bCs/>
                <w:sz w:val="21"/>
                <w:szCs w:val="21"/>
              </w:rPr>
            </w:pPr>
            <w:r w:rsidRPr="00C5016E">
              <w:rPr>
                <w:rFonts w:cs="Arial"/>
                <w:bCs/>
                <w:sz w:val="21"/>
                <w:szCs w:val="21"/>
              </w:rPr>
              <w:t>5.2 Domaća pozajmljivanja</w:t>
            </w:r>
          </w:p>
        </w:tc>
        <w:tc>
          <w:tcPr>
            <w:tcW w:w="1183"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320.000</w:t>
            </w:r>
          </w:p>
        </w:tc>
        <w:tc>
          <w:tcPr>
            <w:tcW w:w="1275"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220.000</w:t>
            </w:r>
          </w:p>
        </w:tc>
        <w:tc>
          <w:tcPr>
            <w:tcW w:w="1276"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250.000</w:t>
            </w:r>
          </w:p>
        </w:tc>
        <w:tc>
          <w:tcPr>
            <w:tcW w:w="939" w:type="dxa"/>
            <w:shd w:val="clear" w:color="auto" w:fill="auto"/>
            <w:vAlign w:val="center"/>
          </w:tcPr>
          <w:p w:rsidR="00C025DC" w:rsidRPr="00C5016E" w:rsidRDefault="00C025DC" w:rsidP="00C025DC">
            <w:pPr>
              <w:tabs>
                <w:tab w:val="left" w:pos="489"/>
              </w:tabs>
              <w:spacing w:before="0" w:after="0"/>
              <w:jc w:val="right"/>
              <w:rPr>
                <w:rFonts w:cs="Arial"/>
                <w:bCs/>
                <w:sz w:val="21"/>
                <w:szCs w:val="21"/>
              </w:rPr>
            </w:pPr>
            <w:r w:rsidRPr="00C5016E">
              <w:rPr>
                <w:rFonts w:cs="Arial"/>
                <w:bCs/>
                <w:sz w:val="21"/>
                <w:szCs w:val="21"/>
              </w:rPr>
              <w:t>69</w:t>
            </w:r>
          </w:p>
        </w:tc>
        <w:tc>
          <w:tcPr>
            <w:tcW w:w="992"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88</w:t>
            </w:r>
          </w:p>
        </w:tc>
      </w:tr>
      <w:tr w:rsidR="00C5016E" w:rsidRPr="00C5016E" w:rsidTr="00C025DC">
        <w:trPr>
          <w:trHeight w:val="284"/>
          <w:jc w:val="center"/>
        </w:trPr>
        <w:tc>
          <w:tcPr>
            <w:tcW w:w="3119" w:type="dxa"/>
            <w:shd w:val="clear" w:color="auto" w:fill="auto"/>
            <w:vAlign w:val="center"/>
          </w:tcPr>
          <w:p w:rsidR="00C025DC" w:rsidRPr="00C5016E" w:rsidRDefault="00C025DC" w:rsidP="00394009">
            <w:pPr>
              <w:spacing w:before="0" w:after="0"/>
              <w:jc w:val="left"/>
              <w:rPr>
                <w:rFonts w:cs="Arial"/>
                <w:bCs/>
                <w:sz w:val="21"/>
                <w:szCs w:val="21"/>
              </w:rPr>
            </w:pPr>
            <w:r w:rsidRPr="00C5016E">
              <w:rPr>
                <w:rFonts w:cs="Arial"/>
                <w:bCs/>
                <w:sz w:val="21"/>
                <w:szCs w:val="21"/>
              </w:rPr>
              <w:t>5.3 Unut</w:t>
            </w:r>
            <w:r w:rsidR="00394009" w:rsidRPr="00C5016E">
              <w:rPr>
                <w:rFonts w:cs="Arial"/>
                <w:bCs/>
                <w:sz w:val="21"/>
                <w:szCs w:val="21"/>
              </w:rPr>
              <w:t>ar</w:t>
            </w:r>
            <w:r w:rsidRPr="00C5016E">
              <w:rPr>
                <w:rFonts w:cs="Arial"/>
                <w:bCs/>
                <w:sz w:val="21"/>
                <w:szCs w:val="21"/>
              </w:rPr>
              <w:t>nji dug</w:t>
            </w:r>
          </w:p>
        </w:tc>
        <w:tc>
          <w:tcPr>
            <w:tcW w:w="1183"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52.367</w:t>
            </w:r>
          </w:p>
        </w:tc>
        <w:tc>
          <w:tcPr>
            <w:tcW w:w="1275"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46.340</w:t>
            </w:r>
          </w:p>
        </w:tc>
        <w:tc>
          <w:tcPr>
            <w:tcW w:w="1276"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49.830</w:t>
            </w:r>
          </w:p>
        </w:tc>
        <w:tc>
          <w:tcPr>
            <w:tcW w:w="939" w:type="dxa"/>
            <w:shd w:val="clear" w:color="auto" w:fill="auto"/>
            <w:vAlign w:val="center"/>
          </w:tcPr>
          <w:p w:rsidR="00C025DC" w:rsidRPr="00C5016E" w:rsidRDefault="00C025DC" w:rsidP="00C025DC">
            <w:pPr>
              <w:tabs>
                <w:tab w:val="left" w:pos="489"/>
              </w:tabs>
              <w:spacing w:before="0" w:after="0"/>
              <w:jc w:val="right"/>
              <w:rPr>
                <w:rFonts w:cs="Arial"/>
                <w:bCs/>
                <w:sz w:val="21"/>
                <w:szCs w:val="21"/>
              </w:rPr>
            </w:pPr>
            <w:r w:rsidRPr="00C5016E">
              <w:rPr>
                <w:rFonts w:cs="Arial"/>
                <w:bCs/>
                <w:sz w:val="21"/>
                <w:szCs w:val="21"/>
              </w:rPr>
              <w:t>88</w:t>
            </w:r>
          </w:p>
        </w:tc>
        <w:tc>
          <w:tcPr>
            <w:tcW w:w="992"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93</w:t>
            </w:r>
          </w:p>
        </w:tc>
      </w:tr>
      <w:tr w:rsidR="00C5016E" w:rsidRPr="00C5016E" w:rsidTr="00C025DC">
        <w:trPr>
          <w:trHeight w:val="284"/>
          <w:jc w:val="center"/>
        </w:trPr>
        <w:tc>
          <w:tcPr>
            <w:tcW w:w="3119" w:type="dxa"/>
            <w:shd w:val="clear" w:color="auto" w:fill="auto"/>
            <w:vAlign w:val="center"/>
          </w:tcPr>
          <w:p w:rsidR="00C025DC" w:rsidRPr="00C5016E" w:rsidRDefault="00C025DC" w:rsidP="00394009">
            <w:pPr>
              <w:spacing w:before="0" w:after="0"/>
              <w:jc w:val="left"/>
              <w:rPr>
                <w:rFonts w:cs="Arial"/>
                <w:bCs/>
                <w:sz w:val="21"/>
                <w:szCs w:val="21"/>
              </w:rPr>
            </w:pPr>
            <w:r w:rsidRPr="00C5016E">
              <w:rPr>
                <w:rFonts w:cs="Arial"/>
                <w:bCs/>
                <w:sz w:val="21"/>
                <w:szCs w:val="21"/>
              </w:rPr>
              <w:t>5.4. Otplata dugova po izda</w:t>
            </w:r>
            <w:r w:rsidR="00394009" w:rsidRPr="00C5016E">
              <w:rPr>
                <w:rFonts w:cs="Arial"/>
                <w:bCs/>
                <w:sz w:val="21"/>
                <w:szCs w:val="21"/>
              </w:rPr>
              <w:t>n</w:t>
            </w:r>
            <w:r w:rsidRPr="00C5016E">
              <w:rPr>
                <w:rFonts w:cs="Arial"/>
                <w:bCs/>
                <w:sz w:val="21"/>
                <w:szCs w:val="21"/>
              </w:rPr>
              <w:t>im garancijama</w:t>
            </w:r>
          </w:p>
        </w:tc>
        <w:tc>
          <w:tcPr>
            <w:tcW w:w="1183" w:type="dxa"/>
            <w:shd w:val="clear" w:color="auto" w:fill="auto"/>
            <w:vAlign w:val="center"/>
          </w:tcPr>
          <w:p w:rsidR="00C025DC" w:rsidRPr="00C5016E" w:rsidRDefault="00C025DC" w:rsidP="00C025DC">
            <w:pPr>
              <w:spacing w:before="0" w:after="0"/>
              <w:jc w:val="right"/>
              <w:rPr>
                <w:rFonts w:cs="Arial"/>
                <w:bCs/>
                <w:sz w:val="21"/>
                <w:szCs w:val="21"/>
              </w:rPr>
            </w:pPr>
            <w:r w:rsidRPr="00C5016E">
              <w:rPr>
                <w:rFonts w:cs="Arial"/>
                <w:bCs/>
                <w:sz w:val="21"/>
                <w:szCs w:val="21"/>
              </w:rPr>
              <w:t>1.500</w:t>
            </w:r>
          </w:p>
        </w:tc>
        <w:tc>
          <w:tcPr>
            <w:tcW w:w="1275" w:type="dxa"/>
            <w:shd w:val="clear" w:color="auto" w:fill="auto"/>
            <w:vAlign w:val="center"/>
          </w:tcPr>
          <w:p w:rsidR="00C025DC" w:rsidRPr="00C5016E" w:rsidRDefault="00C025DC" w:rsidP="00C025DC">
            <w:pPr>
              <w:spacing w:before="0" w:after="0"/>
              <w:jc w:val="right"/>
              <w:rPr>
                <w:rFonts w:cs="Arial"/>
                <w:bCs/>
                <w:sz w:val="21"/>
                <w:szCs w:val="21"/>
              </w:rPr>
            </w:pPr>
          </w:p>
        </w:tc>
        <w:tc>
          <w:tcPr>
            <w:tcW w:w="1276" w:type="dxa"/>
            <w:shd w:val="clear" w:color="auto" w:fill="auto"/>
            <w:vAlign w:val="center"/>
          </w:tcPr>
          <w:p w:rsidR="00C025DC" w:rsidRPr="00C5016E" w:rsidRDefault="00C025DC" w:rsidP="00C025DC">
            <w:pPr>
              <w:spacing w:before="0" w:after="0"/>
              <w:jc w:val="right"/>
              <w:rPr>
                <w:rFonts w:cs="Arial"/>
                <w:bCs/>
                <w:sz w:val="21"/>
                <w:szCs w:val="21"/>
              </w:rPr>
            </w:pPr>
          </w:p>
        </w:tc>
        <w:tc>
          <w:tcPr>
            <w:tcW w:w="939" w:type="dxa"/>
            <w:shd w:val="clear" w:color="auto" w:fill="auto"/>
            <w:vAlign w:val="center"/>
          </w:tcPr>
          <w:p w:rsidR="00C025DC" w:rsidRPr="00C5016E" w:rsidRDefault="00C025DC" w:rsidP="00C025DC">
            <w:pPr>
              <w:tabs>
                <w:tab w:val="left" w:pos="489"/>
              </w:tabs>
              <w:spacing w:before="0" w:after="0"/>
              <w:jc w:val="right"/>
              <w:rPr>
                <w:rFonts w:cs="Arial"/>
                <w:bCs/>
                <w:sz w:val="21"/>
                <w:szCs w:val="21"/>
              </w:rPr>
            </w:pPr>
          </w:p>
        </w:tc>
        <w:tc>
          <w:tcPr>
            <w:tcW w:w="992" w:type="dxa"/>
            <w:shd w:val="clear" w:color="auto" w:fill="auto"/>
            <w:vAlign w:val="center"/>
          </w:tcPr>
          <w:p w:rsidR="00C025DC" w:rsidRPr="00C5016E" w:rsidRDefault="00C025DC" w:rsidP="00C025DC">
            <w:pPr>
              <w:spacing w:before="0" w:after="0"/>
              <w:jc w:val="right"/>
              <w:rPr>
                <w:rFonts w:cs="Arial"/>
                <w:bCs/>
                <w:sz w:val="21"/>
                <w:szCs w:val="21"/>
              </w:rPr>
            </w:pPr>
          </w:p>
        </w:tc>
      </w:tr>
      <w:tr w:rsidR="00C5016E" w:rsidRPr="00C5016E" w:rsidTr="00C025DC">
        <w:trPr>
          <w:trHeight w:val="309"/>
          <w:jc w:val="center"/>
        </w:trPr>
        <w:tc>
          <w:tcPr>
            <w:tcW w:w="3119" w:type="dxa"/>
            <w:shd w:val="clear" w:color="auto" w:fill="BFBFBF"/>
            <w:vAlign w:val="center"/>
          </w:tcPr>
          <w:p w:rsidR="00C025DC" w:rsidRPr="00C5016E" w:rsidRDefault="00C025DC" w:rsidP="00C025DC">
            <w:pPr>
              <w:spacing w:before="0" w:after="0"/>
              <w:jc w:val="left"/>
              <w:rPr>
                <w:rFonts w:cs="Arial"/>
                <w:b/>
                <w:bCs/>
                <w:sz w:val="21"/>
                <w:szCs w:val="21"/>
                <w:highlight w:val="lightGray"/>
              </w:rPr>
            </w:pPr>
            <w:r w:rsidRPr="00C5016E">
              <w:rPr>
                <w:rFonts w:cs="Arial"/>
                <w:b/>
                <w:bCs/>
                <w:sz w:val="21"/>
                <w:szCs w:val="21"/>
                <w:highlight w:val="lightGray"/>
              </w:rPr>
              <w:t>UKUPNO ( 1+2+3+4+5)</w:t>
            </w:r>
          </w:p>
        </w:tc>
        <w:tc>
          <w:tcPr>
            <w:tcW w:w="1183" w:type="dxa"/>
            <w:shd w:val="clear" w:color="auto" w:fill="BFBFBF"/>
            <w:vAlign w:val="center"/>
          </w:tcPr>
          <w:p w:rsidR="00C025DC" w:rsidRPr="00C5016E" w:rsidRDefault="00C025DC" w:rsidP="00C025DC">
            <w:pPr>
              <w:spacing w:before="0" w:after="0"/>
              <w:jc w:val="right"/>
              <w:rPr>
                <w:rFonts w:cs="Arial"/>
                <w:b/>
                <w:bCs/>
                <w:sz w:val="21"/>
                <w:szCs w:val="21"/>
                <w:highlight w:val="lightGray"/>
              </w:rPr>
            </w:pPr>
            <w:r w:rsidRPr="00C5016E">
              <w:rPr>
                <w:rFonts w:cs="Arial"/>
                <w:b/>
                <w:bCs/>
                <w:sz w:val="21"/>
                <w:szCs w:val="21"/>
                <w:highlight w:val="lightGray"/>
              </w:rPr>
              <w:t>5.597.619</w:t>
            </w:r>
          </w:p>
        </w:tc>
        <w:tc>
          <w:tcPr>
            <w:tcW w:w="1275" w:type="dxa"/>
            <w:shd w:val="clear" w:color="auto" w:fill="BFBFBF"/>
            <w:vAlign w:val="center"/>
          </w:tcPr>
          <w:p w:rsidR="00C025DC" w:rsidRPr="00C5016E" w:rsidRDefault="00C025DC" w:rsidP="00C025DC">
            <w:pPr>
              <w:spacing w:before="0" w:after="0"/>
              <w:jc w:val="right"/>
              <w:rPr>
                <w:rFonts w:cs="Arial"/>
                <w:b/>
                <w:bCs/>
                <w:sz w:val="21"/>
                <w:szCs w:val="21"/>
                <w:highlight w:val="lightGray"/>
              </w:rPr>
            </w:pPr>
            <w:r w:rsidRPr="00C5016E">
              <w:rPr>
                <w:rFonts w:cs="Arial"/>
                <w:b/>
                <w:bCs/>
                <w:sz w:val="21"/>
                <w:szCs w:val="21"/>
                <w:highlight w:val="lightGray"/>
              </w:rPr>
              <w:t>5.100.515</w:t>
            </w:r>
          </w:p>
        </w:tc>
        <w:tc>
          <w:tcPr>
            <w:tcW w:w="1276" w:type="dxa"/>
            <w:shd w:val="clear" w:color="auto" w:fill="BFBFBF"/>
            <w:vAlign w:val="center"/>
          </w:tcPr>
          <w:p w:rsidR="00C025DC" w:rsidRPr="00C5016E" w:rsidRDefault="00C025DC" w:rsidP="00C025DC">
            <w:pPr>
              <w:spacing w:before="0" w:after="0"/>
              <w:jc w:val="right"/>
              <w:rPr>
                <w:rFonts w:cs="Arial"/>
                <w:b/>
                <w:bCs/>
                <w:sz w:val="21"/>
                <w:szCs w:val="21"/>
                <w:highlight w:val="lightGray"/>
              </w:rPr>
            </w:pPr>
            <w:r w:rsidRPr="00C5016E">
              <w:rPr>
                <w:rFonts w:cs="Arial"/>
                <w:b/>
                <w:bCs/>
                <w:sz w:val="21"/>
                <w:szCs w:val="21"/>
                <w:highlight w:val="lightGray"/>
              </w:rPr>
              <w:t>4.765.581</w:t>
            </w:r>
          </w:p>
        </w:tc>
        <w:tc>
          <w:tcPr>
            <w:tcW w:w="939" w:type="dxa"/>
            <w:shd w:val="clear" w:color="auto" w:fill="BFBFBF"/>
            <w:vAlign w:val="center"/>
          </w:tcPr>
          <w:p w:rsidR="00C025DC" w:rsidRPr="00C5016E" w:rsidRDefault="00C025DC" w:rsidP="00C025DC">
            <w:pPr>
              <w:tabs>
                <w:tab w:val="left" w:pos="489"/>
              </w:tabs>
              <w:spacing w:before="0" w:after="0"/>
              <w:jc w:val="right"/>
              <w:rPr>
                <w:rFonts w:cs="Arial"/>
                <w:b/>
                <w:bCs/>
                <w:sz w:val="21"/>
                <w:szCs w:val="21"/>
                <w:highlight w:val="lightGray"/>
              </w:rPr>
            </w:pPr>
            <w:r w:rsidRPr="00C5016E">
              <w:rPr>
                <w:rFonts w:cs="Arial"/>
                <w:b/>
                <w:bCs/>
                <w:sz w:val="21"/>
                <w:szCs w:val="21"/>
                <w:highlight w:val="lightGray"/>
              </w:rPr>
              <w:t>91</w:t>
            </w:r>
          </w:p>
        </w:tc>
        <w:tc>
          <w:tcPr>
            <w:tcW w:w="992" w:type="dxa"/>
            <w:shd w:val="clear" w:color="auto" w:fill="BFBFBF"/>
            <w:vAlign w:val="center"/>
          </w:tcPr>
          <w:p w:rsidR="00C025DC" w:rsidRPr="00C5016E" w:rsidRDefault="00C025DC" w:rsidP="00C025DC">
            <w:pPr>
              <w:spacing w:before="0" w:after="0"/>
              <w:jc w:val="right"/>
              <w:rPr>
                <w:rFonts w:cs="Arial"/>
                <w:b/>
                <w:bCs/>
                <w:sz w:val="21"/>
                <w:szCs w:val="21"/>
                <w:highlight w:val="lightGray"/>
              </w:rPr>
            </w:pPr>
            <w:r w:rsidRPr="00C5016E">
              <w:rPr>
                <w:rFonts w:cs="Arial"/>
                <w:b/>
                <w:bCs/>
                <w:sz w:val="21"/>
                <w:szCs w:val="21"/>
                <w:highlight w:val="lightGray"/>
              </w:rPr>
              <w:t>107</w:t>
            </w:r>
          </w:p>
        </w:tc>
      </w:tr>
    </w:tbl>
    <w:p w:rsidR="00C025DC" w:rsidRPr="00C5016E" w:rsidRDefault="00EF4C3C" w:rsidP="00C025DC">
      <w:pPr>
        <w:pStyle w:val="Caption"/>
        <w:spacing w:before="0" w:after="0"/>
        <w:rPr>
          <w:rFonts w:ascii="Arial" w:hAnsi="Arial" w:cs="Arial"/>
          <w:b w:val="0"/>
          <w:color w:val="auto"/>
          <w:sz w:val="24"/>
          <w:szCs w:val="24"/>
          <w:lang w:val="hr-HR"/>
        </w:rPr>
      </w:pPr>
      <w:r w:rsidRPr="00C5016E">
        <w:rPr>
          <w:rFonts w:ascii="Arial" w:hAnsi="Arial" w:cs="Arial"/>
          <w:color w:val="auto"/>
          <w:sz w:val="22"/>
          <w:szCs w:val="24"/>
          <w:lang w:val="hr-HR"/>
        </w:rPr>
        <w:t>Tablica</w:t>
      </w:r>
      <w:r w:rsidR="00C025DC" w:rsidRPr="00C5016E">
        <w:rPr>
          <w:rFonts w:ascii="Arial" w:hAnsi="Arial" w:cs="Arial"/>
          <w:color w:val="auto"/>
          <w:sz w:val="22"/>
          <w:szCs w:val="24"/>
          <w:lang w:val="hr-HR"/>
        </w:rPr>
        <w:t xml:space="preserve"> 3: </w:t>
      </w:r>
      <w:r w:rsidR="00C025DC" w:rsidRPr="00C5016E">
        <w:rPr>
          <w:rFonts w:ascii="Arial" w:hAnsi="Arial" w:cs="Arial"/>
          <w:b w:val="0"/>
          <w:color w:val="auto"/>
          <w:sz w:val="22"/>
          <w:szCs w:val="24"/>
          <w:lang w:val="hr-HR"/>
        </w:rPr>
        <w:t>Struktura ukupnih rashoda i izdataka planiranih Proračunom FBiH za 2022. i ostvarenih u 2021. i 2022</w:t>
      </w:r>
      <w:r w:rsidR="00C025DC" w:rsidRPr="00C5016E">
        <w:rPr>
          <w:rFonts w:ascii="Arial" w:hAnsi="Arial" w:cs="Arial"/>
          <w:b w:val="0"/>
          <w:color w:val="auto"/>
          <w:sz w:val="24"/>
          <w:szCs w:val="24"/>
          <w:lang w:val="hr-HR"/>
        </w:rPr>
        <w:t>.</w:t>
      </w:r>
      <w:bookmarkEnd w:id="60"/>
      <w:r w:rsidR="00C025DC" w:rsidRPr="00C5016E">
        <w:rPr>
          <w:rFonts w:ascii="Arial" w:hAnsi="Arial" w:cs="Arial"/>
          <w:b w:val="0"/>
          <w:color w:val="auto"/>
          <w:sz w:val="24"/>
          <w:szCs w:val="24"/>
          <w:lang w:val="hr-HR"/>
        </w:rPr>
        <w:t xml:space="preserve"> godini.</w:t>
      </w:r>
    </w:p>
    <w:p w:rsidR="00C025DC" w:rsidRPr="00C5016E" w:rsidRDefault="00C025DC" w:rsidP="00C025DC">
      <w:r w:rsidRPr="00C5016E">
        <w:t xml:space="preserve">Prema funkcionalnoj klasifikaciji, najveći iznos sredstava 3.189,9 </w:t>
      </w:r>
      <w:r w:rsidR="004611A5" w:rsidRPr="00C5016E">
        <w:t>milijun</w:t>
      </w:r>
      <w:r w:rsidRPr="00C5016E">
        <w:t>a KM utrošen je na socijalna davanja, na</w:t>
      </w:r>
      <w:r w:rsidR="00394009" w:rsidRPr="00C5016E">
        <w:t>kon čega su opće javne usluge s</w:t>
      </w:r>
      <w:r w:rsidRPr="00C5016E">
        <w:t xml:space="preserve"> izvršenjem od 1.327,9 </w:t>
      </w:r>
      <w:r w:rsidR="004611A5" w:rsidRPr="00C5016E">
        <w:t>milijun</w:t>
      </w:r>
      <w:r w:rsidRPr="00C5016E">
        <w:t xml:space="preserve">a KM. </w:t>
      </w:r>
    </w:p>
    <w:p w:rsidR="00C025DC" w:rsidRPr="00C5016E" w:rsidRDefault="00C025DC" w:rsidP="00C025DC">
      <w:r w:rsidRPr="00C5016E">
        <w:t>U narednoj tab</w:t>
      </w:r>
      <w:r w:rsidR="00394009" w:rsidRPr="00C5016E">
        <w:t>lici</w:t>
      </w:r>
      <w:r w:rsidRPr="00C5016E">
        <w:t xml:space="preserve"> da</w:t>
      </w:r>
      <w:r w:rsidR="00394009" w:rsidRPr="00C5016E">
        <w:t>n</w:t>
      </w:r>
      <w:r w:rsidRPr="00C5016E">
        <w:t>a je struktura u</w:t>
      </w:r>
      <w:r w:rsidR="00394009" w:rsidRPr="00C5016E">
        <w:t>djela</w:t>
      </w:r>
      <w:r w:rsidRPr="00C5016E">
        <w:t xml:space="preserve"> pojedinačnih rashoda po aktivnostima, odnosno po funkcionalnoj klasifikaciji, u odnosu na ukupne rashode Federacije Bosne i Hercegovine.</w:t>
      </w:r>
    </w:p>
    <w:p w:rsidR="00C025DC" w:rsidRPr="00C5016E" w:rsidRDefault="00C025DC" w:rsidP="00C025DC"/>
    <w:p w:rsidR="00C025DC" w:rsidRPr="00C5016E" w:rsidRDefault="00C025DC" w:rsidP="00C025DC">
      <w:pPr>
        <w:spacing w:before="0" w:after="0"/>
        <w:rPr>
          <w:rFonts w:cs="Arial"/>
          <w:szCs w:val="24"/>
        </w:rPr>
      </w:pPr>
      <w:r w:rsidRPr="00C5016E">
        <w:rPr>
          <w:rFonts w:cs="Arial"/>
          <w:szCs w:val="24"/>
        </w:rPr>
        <w:lastRenderedPageBreak/>
        <w:tab/>
      </w:r>
      <w:r w:rsidRPr="00C5016E">
        <w:rPr>
          <w:rFonts w:cs="Arial"/>
          <w:szCs w:val="24"/>
        </w:rPr>
        <w:tab/>
      </w:r>
      <w:r w:rsidRPr="00C5016E">
        <w:rPr>
          <w:rFonts w:cs="Arial"/>
          <w:szCs w:val="24"/>
        </w:rPr>
        <w:tab/>
      </w:r>
      <w:r w:rsidRPr="00C5016E">
        <w:rPr>
          <w:rFonts w:cs="Arial"/>
          <w:szCs w:val="24"/>
        </w:rPr>
        <w:tab/>
      </w:r>
      <w:r w:rsidRPr="00C5016E">
        <w:rPr>
          <w:rFonts w:cs="Arial"/>
          <w:szCs w:val="24"/>
        </w:rPr>
        <w:tab/>
      </w:r>
    </w:p>
    <w:tbl>
      <w:tblPr>
        <w:tblW w:w="87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3402"/>
        <w:gridCol w:w="1998"/>
        <w:gridCol w:w="1688"/>
      </w:tblGrid>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ind w:left="720" w:hanging="720"/>
              <w:jc w:val="center"/>
              <w:rPr>
                <w:rFonts w:cs="Arial"/>
                <w:b/>
                <w:sz w:val="22"/>
              </w:rPr>
            </w:pPr>
            <w:bookmarkStart w:id="61" w:name="OLE_LINK3"/>
            <w:r w:rsidRPr="00C5016E">
              <w:rPr>
                <w:rFonts w:cs="Arial"/>
                <w:b/>
                <w:sz w:val="22"/>
              </w:rPr>
              <w:t>Funkcionalni</w:t>
            </w:r>
          </w:p>
          <w:p w:rsidR="00C025DC" w:rsidRPr="00C5016E" w:rsidRDefault="00C025DC" w:rsidP="00C025DC">
            <w:pPr>
              <w:spacing w:before="0" w:after="0"/>
              <w:ind w:left="720" w:hanging="720"/>
              <w:jc w:val="center"/>
              <w:rPr>
                <w:rFonts w:cs="Arial"/>
                <w:b/>
                <w:sz w:val="22"/>
              </w:rPr>
            </w:pPr>
            <w:r w:rsidRPr="00C5016E">
              <w:rPr>
                <w:rFonts w:cs="Arial"/>
                <w:b/>
                <w:sz w:val="22"/>
              </w:rPr>
              <w:t>kod</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b/>
                <w:sz w:val="22"/>
              </w:rPr>
            </w:pPr>
            <w:r w:rsidRPr="00C5016E">
              <w:rPr>
                <w:rFonts w:cs="Arial"/>
                <w:b/>
                <w:sz w:val="22"/>
              </w:rPr>
              <w:t>Opis</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center"/>
              <w:rPr>
                <w:rFonts w:cs="Arial"/>
                <w:b/>
                <w:sz w:val="22"/>
              </w:rPr>
            </w:pPr>
            <w:r w:rsidRPr="00C5016E">
              <w:rPr>
                <w:rFonts w:cs="Arial"/>
                <w:b/>
                <w:bCs/>
                <w:sz w:val="22"/>
              </w:rPr>
              <w:t xml:space="preserve">Ostvarenje 2022. godine </w:t>
            </w:r>
            <w:r w:rsidRPr="00C5016E">
              <w:rPr>
                <w:rFonts w:cs="Arial"/>
                <w:b/>
                <w:sz w:val="22"/>
              </w:rPr>
              <w:t>u (000) KM</w:t>
            </w:r>
          </w:p>
        </w:tc>
        <w:tc>
          <w:tcPr>
            <w:tcW w:w="1688"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394009">
            <w:pPr>
              <w:spacing w:before="0" w:after="0"/>
              <w:jc w:val="center"/>
              <w:rPr>
                <w:rFonts w:cs="Arial"/>
                <w:b/>
                <w:sz w:val="22"/>
              </w:rPr>
            </w:pPr>
            <w:r w:rsidRPr="00C5016E">
              <w:rPr>
                <w:rFonts w:cs="Arial"/>
                <w:b/>
                <w:sz w:val="22"/>
              </w:rPr>
              <w:t>% u</w:t>
            </w:r>
            <w:r w:rsidR="00394009" w:rsidRPr="00C5016E">
              <w:rPr>
                <w:rFonts w:cs="Arial"/>
                <w:b/>
                <w:sz w:val="22"/>
              </w:rPr>
              <w:t>djela</w:t>
            </w:r>
          </w:p>
        </w:tc>
      </w:tr>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center"/>
              <w:rPr>
                <w:rFonts w:cs="Arial"/>
                <w:sz w:val="22"/>
              </w:rPr>
            </w:pPr>
            <w:r w:rsidRPr="00C5016E">
              <w:rPr>
                <w:rFonts w:cs="Arial"/>
                <w:sz w:val="22"/>
              </w:rPr>
              <w:t>01</w:t>
            </w:r>
          </w:p>
        </w:tc>
        <w:tc>
          <w:tcPr>
            <w:tcW w:w="3402"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left"/>
              <w:rPr>
                <w:rFonts w:cs="Arial"/>
                <w:sz w:val="22"/>
              </w:rPr>
            </w:pPr>
            <w:r w:rsidRPr="00C5016E">
              <w:rPr>
                <w:rFonts w:cs="Arial"/>
                <w:sz w:val="22"/>
              </w:rPr>
              <w:t xml:space="preserve">Opće javne usluge  </w:t>
            </w:r>
          </w:p>
        </w:tc>
        <w:tc>
          <w:tcPr>
            <w:tcW w:w="1998"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1.327.937</w:t>
            </w:r>
          </w:p>
        </w:tc>
        <w:tc>
          <w:tcPr>
            <w:tcW w:w="1688" w:type="dxa"/>
            <w:tcBorders>
              <w:top w:val="single" w:sz="4" w:space="0" w:color="auto"/>
              <w:left w:val="single" w:sz="4" w:space="0" w:color="auto"/>
              <w:bottom w:val="single" w:sz="4" w:space="0" w:color="auto"/>
              <w:right w:val="single" w:sz="4" w:space="0" w:color="auto"/>
            </w:tcBorders>
            <w:vAlign w:val="bottom"/>
          </w:tcPr>
          <w:p w:rsidR="00C025DC" w:rsidRPr="00C5016E" w:rsidRDefault="00C025DC" w:rsidP="00C025DC">
            <w:pPr>
              <w:spacing w:before="0" w:after="0"/>
              <w:jc w:val="right"/>
              <w:rPr>
                <w:rFonts w:cs="Arial"/>
                <w:sz w:val="22"/>
              </w:rPr>
            </w:pPr>
            <w:r w:rsidRPr="00C5016E">
              <w:rPr>
                <w:rFonts w:cs="Arial"/>
                <w:sz w:val="22"/>
              </w:rPr>
              <w:t>26,04</w:t>
            </w:r>
          </w:p>
        </w:tc>
      </w:tr>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center"/>
              <w:rPr>
                <w:rFonts w:cs="Arial"/>
                <w:sz w:val="22"/>
              </w:rPr>
            </w:pPr>
            <w:r w:rsidRPr="00C5016E">
              <w:rPr>
                <w:rFonts w:cs="Arial"/>
                <w:sz w:val="22"/>
              </w:rPr>
              <w:t>02</w:t>
            </w:r>
          </w:p>
        </w:tc>
        <w:tc>
          <w:tcPr>
            <w:tcW w:w="3402" w:type="dxa"/>
            <w:tcBorders>
              <w:top w:val="single" w:sz="4" w:space="0" w:color="auto"/>
              <w:left w:val="single" w:sz="4" w:space="0" w:color="auto"/>
              <w:bottom w:val="single" w:sz="4" w:space="0" w:color="auto"/>
              <w:right w:val="single" w:sz="4" w:space="0" w:color="auto"/>
            </w:tcBorders>
          </w:tcPr>
          <w:p w:rsidR="00C025DC" w:rsidRPr="00C5016E" w:rsidRDefault="00C025DC" w:rsidP="00394009">
            <w:pPr>
              <w:spacing w:before="0" w:after="0"/>
              <w:jc w:val="left"/>
              <w:rPr>
                <w:rFonts w:cs="Arial"/>
                <w:sz w:val="22"/>
              </w:rPr>
            </w:pPr>
            <w:r w:rsidRPr="00C5016E">
              <w:rPr>
                <w:rFonts w:cs="Arial"/>
                <w:sz w:val="22"/>
              </w:rPr>
              <w:t>O</w:t>
            </w:r>
            <w:r w:rsidR="00394009" w:rsidRPr="00C5016E">
              <w:rPr>
                <w:rFonts w:cs="Arial"/>
                <w:sz w:val="22"/>
              </w:rPr>
              <w:t>b</w:t>
            </w:r>
            <w:r w:rsidRPr="00C5016E">
              <w:rPr>
                <w:rFonts w:cs="Arial"/>
                <w:sz w:val="22"/>
              </w:rPr>
              <w:t xml:space="preserve">rana                 </w:t>
            </w:r>
          </w:p>
        </w:tc>
        <w:tc>
          <w:tcPr>
            <w:tcW w:w="1998"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10.446</w:t>
            </w:r>
          </w:p>
        </w:tc>
        <w:tc>
          <w:tcPr>
            <w:tcW w:w="1688" w:type="dxa"/>
            <w:tcBorders>
              <w:top w:val="single" w:sz="4" w:space="0" w:color="auto"/>
              <w:left w:val="single" w:sz="4" w:space="0" w:color="auto"/>
              <w:bottom w:val="single" w:sz="4" w:space="0" w:color="auto"/>
              <w:right w:val="single" w:sz="4" w:space="0" w:color="auto"/>
            </w:tcBorders>
            <w:vAlign w:val="bottom"/>
          </w:tcPr>
          <w:p w:rsidR="00C025DC" w:rsidRPr="00C5016E" w:rsidRDefault="00C025DC" w:rsidP="00C025DC">
            <w:pPr>
              <w:spacing w:before="0" w:after="0"/>
              <w:jc w:val="right"/>
              <w:rPr>
                <w:rFonts w:cs="Arial"/>
                <w:sz w:val="22"/>
              </w:rPr>
            </w:pPr>
            <w:r w:rsidRPr="00C5016E">
              <w:rPr>
                <w:rFonts w:cs="Arial"/>
                <w:sz w:val="22"/>
              </w:rPr>
              <w:t>0,20</w:t>
            </w:r>
          </w:p>
        </w:tc>
      </w:tr>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center"/>
              <w:rPr>
                <w:rFonts w:cs="Arial"/>
                <w:sz w:val="22"/>
              </w:rPr>
            </w:pPr>
            <w:r w:rsidRPr="00C5016E">
              <w:rPr>
                <w:rFonts w:cs="Arial"/>
                <w:sz w:val="22"/>
              </w:rPr>
              <w:t>03</w:t>
            </w:r>
          </w:p>
        </w:tc>
        <w:tc>
          <w:tcPr>
            <w:tcW w:w="3402"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left"/>
              <w:rPr>
                <w:rFonts w:cs="Arial"/>
                <w:sz w:val="22"/>
              </w:rPr>
            </w:pPr>
            <w:r w:rsidRPr="00C5016E">
              <w:rPr>
                <w:rFonts w:cs="Arial"/>
                <w:sz w:val="22"/>
              </w:rPr>
              <w:t>Javni red i sigurnost</w:t>
            </w:r>
          </w:p>
        </w:tc>
        <w:tc>
          <w:tcPr>
            <w:tcW w:w="1998"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136.711</w:t>
            </w:r>
          </w:p>
        </w:tc>
        <w:tc>
          <w:tcPr>
            <w:tcW w:w="1688" w:type="dxa"/>
            <w:tcBorders>
              <w:top w:val="single" w:sz="4" w:space="0" w:color="auto"/>
              <w:left w:val="single" w:sz="4" w:space="0" w:color="auto"/>
              <w:bottom w:val="single" w:sz="4" w:space="0" w:color="auto"/>
              <w:right w:val="single" w:sz="4" w:space="0" w:color="auto"/>
            </w:tcBorders>
            <w:vAlign w:val="bottom"/>
          </w:tcPr>
          <w:p w:rsidR="00C025DC" w:rsidRPr="00C5016E" w:rsidRDefault="00C025DC" w:rsidP="00C025DC">
            <w:pPr>
              <w:spacing w:before="0" w:after="0"/>
              <w:jc w:val="right"/>
              <w:rPr>
                <w:rFonts w:cs="Arial"/>
                <w:sz w:val="22"/>
              </w:rPr>
            </w:pPr>
            <w:r w:rsidRPr="00C5016E">
              <w:rPr>
                <w:rFonts w:cs="Arial"/>
                <w:sz w:val="22"/>
              </w:rPr>
              <w:t>2,68</w:t>
            </w:r>
          </w:p>
        </w:tc>
      </w:tr>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center"/>
              <w:rPr>
                <w:rFonts w:cs="Arial"/>
                <w:sz w:val="22"/>
              </w:rPr>
            </w:pPr>
            <w:r w:rsidRPr="00C5016E">
              <w:rPr>
                <w:rFonts w:cs="Arial"/>
                <w:sz w:val="22"/>
              </w:rPr>
              <w:t>04</w:t>
            </w:r>
          </w:p>
        </w:tc>
        <w:tc>
          <w:tcPr>
            <w:tcW w:w="3402"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left"/>
              <w:rPr>
                <w:rFonts w:cs="Arial"/>
                <w:sz w:val="22"/>
              </w:rPr>
            </w:pPr>
            <w:r w:rsidRPr="00C5016E">
              <w:rPr>
                <w:rFonts w:cs="Arial"/>
                <w:sz w:val="22"/>
              </w:rPr>
              <w:t>Ekonomski poslovi</w:t>
            </w:r>
          </w:p>
        </w:tc>
        <w:tc>
          <w:tcPr>
            <w:tcW w:w="1998"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272.403</w:t>
            </w:r>
          </w:p>
        </w:tc>
        <w:tc>
          <w:tcPr>
            <w:tcW w:w="1688" w:type="dxa"/>
            <w:tcBorders>
              <w:top w:val="single" w:sz="4" w:space="0" w:color="auto"/>
              <w:left w:val="single" w:sz="4" w:space="0" w:color="auto"/>
              <w:bottom w:val="single" w:sz="4" w:space="0" w:color="auto"/>
              <w:right w:val="single" w:sz="4" w:space="0" w:color="auto"/>
            </w:tcBorders>
            <w:vAlign w:val="bottom"/>
          </w:tcPr>
          <w:p w:rsidR="00C025DC" w:rsidRPr="00C5016E" w:rsidRDefault="00C025DC" w:rsidP="00C025DC">
            <w:pPr>
              <w:spacing w:before="0" w:after="0"/>
              <w:jc w:val="right"/>
              <w:rPr>
                <w:rFonts w:cs="Arial"/>
                <w:sz w:val="22"/>
              </w:rPr>
            </w:pPr>
            <w:r w:rsidRPr="00C5016E">
              <w:rPr>
                <w:rFonts w:cs="Arial"/>
                <w:sz w:val="22"/>
              </w:rPr>
              <w:t>5,34</w:t>
            </w:r>
          </w:p>
        </w:tc>
      </w:tr>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center"/>
              <w:rPr>
                <w:rFonts w:cs="Arial"/>
                <w:sz w:val="22"/>
              </w:rPr>
            </w:pPr>
            <w:r w:rsidRPr="00C5016E">
              <w:rPr>
                <w:rFonts w:cs="Arial"/>
                <w:sz w:val="22"/>
              </w:rPr>
              <w:t>05</w:t>
            </w:r>
          </w:p>
        </w:tc>
        <w:tc>
          <w:tcPr>
            <w:tcW w:w="3402"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left"/>
              <w:rPr>
                <w:rFonts w:cs="Arial"/>
                <w:sz w:val="22"/>
              </w:rPr>
            </w:pPr>
            <w:r w:rsidRPr="00C5016E">
              <w:rPr>
                <w:rFonts w:cs="Arial"/>
                <w:sz w:val="22"/>
              </w:rPr>
              <w:t>Zaštita životne sredine</w:t>
            </w:r>
          </w:p>
        </w:tc>
        <w:tc>
          <w:tcPr>
            <w:tcW w:w="1998"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7.814</w:t>
            </w:r>
          </w:p>
        </w:tc>
        <w:tc>
          <w:tcPr>
            <w:tcW w:w="1688" w:type="dxa"/>
            <w:tcBorders>
              <w:top w:val="single" w:sz="4" w:space="0" w:color="auto"/>
              <w:left w:val="single" w:sz="4" w:space="0" w:color="auto"/>
              <w:bottom w:val="single" w:sz="4" w:space="0" w:color="auto"/>
              <w:right w:val="single" w:sz="4" w:space="0" w:color="auto"/>
            </w:tcBorders>
            <w:vAlign w:val="bottom"/>
          </w:tcPr>
          <w:p w:rsidR="00C025DC" w:rsidRPr="00C5016E" w:rsidRDefault="00C025DC" w:rsidP="00C025DC">
            <w:pPr>
              <w:spacing w:before="0" w:after="0"/>
              <w:jc w:val="right"/>
              <w:rPr>
                <w:rFonts w:cs="Arial"/>
                <w:sz w:val="22"/>
              </w:rPr>
            </w:pPr>
            <w:r w:rsidRPr="00C5016E">
              <w:rPr>
                <w:rFonts w:cs="Arial"/>
                <w:sz w:val="22"/>
              </w:rPr>
              <w:t>0,15</w:t>
            </w:r>
          </w:p>
        </w:tc>
      </w:tr>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tabs>
                <w:tab w:val="left" w:pos="4012"/>
              </w:tabs>
              <w:spacing w:before="0" w:after="0"/>
              <w:jc w:val="center"/>
              <w:rPr>
                <w:rFonts w:cs="Arial"/>
                <w:sz w:val="22"/>
              </w:rPr>
            </w:pPr>
            <w:r w:rsidRPr="00C5016E">
              <w:rPr>
                <w:rFonts w:cs="Arial"/>
                <w:sz w:val="22"/>
              </w:rPr>
              <w:t>06</w:t>
            </w:r>
          </w:p>
        </w:tc>
        <w:tc>
          <w:tcPr>
            <w:tcW w:w="3402"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tabs>
                <w:tab w:val="left" w:pos="4012"/>
              </w:tabs>
              <w:spacing w:before="0" w:after="0"/>
              <w:jc w:val="left"/>
              <w:rPr>
                <w:rFonts w:cs="Arial"/>
                <w:sz w:val="22"/>
              </w:rPr>
            </w:pPr>
            <w:r w:rsidRPr="00C5016E">
              <w:rPr>
                <w:rFonts w:cs="Arial"/>
                <w:sz w:val="22"/>
              </w:rPr>
              <w:t>Stambeni i zajednički poslovi</w:t>
            </w:r>
          </w:p>
        </w:tc>
        <w:tc>
          <w:tcPr>
            <w:tcW w:w="1998"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0</w:t>
            </w:r>
          </w:p>
        </w:tc>
        <w:tc>
          <w:tcPr>
            <w:tcW w:w="1688" w:type="dxa"/>
            <w:tcBorders>
              <w:top w:val="single" w:sz="4" w:space="0" w:color="auto"/>
              <w:left w:val="single" w:sz="4" w:space="0" w:color="auto"/>
              <w:bottom w:val="single" w:sz="4" w:space="0" w:color="auto"/>
              <w:right w:val="single" w:sz="4" w:space="0" w:color="auto"/>
            </w:tcBorders>
            <w:vAlign w:val="bottom"/>
          </w:tcPr>
          <w:p w:rsidR="00C025DC" w:rsidRPr="00C5016E" w:rsidRDefault="00C025DC" w:rsidP="00C025DC">
            <w:pPr>
              <w:spacing w:before="0" w:after="0"/>
              <w:jc w:val="right"/>
              <w:rPr>
                <w:rFonts w:cs="Arial"/>
                <w:sz w:val="22"/>
              </w:rPr>
            </w:pPr>
            <w:r w:rsidRPr="00C5016E">
              <w:rPr>
                <w:rFonts w:cs="Arial"/>
                <w:sz w:val="22"/>
              </w:rPr>
              <w:t>0,00</w:t>
            </w:r>
          </w:p>
        </w:tc>
      </w:tr>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center"/>
              <w:rPr>
                <w:rFonts w:cs="Arial"/>
                <w:sz w:val="22"/>
              </w:rPr>
            </w:pPr>
            <w:r w:rsidRPr="00C5016E">
              <w:rPr>
                <w:rFonts w:cs="Arial"/>
                <w:sz w:val="22"/>
              </w:rPr>
              <w:t>07</w:t>
            </w:r>
          </w:p>
        </w:tc>
        <w:tc>
          <w:tcPr>
            <w:tcW w:w="3402"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left"/>
              <w:rPr>
                <w:rFonts w:cs="Arial"/>
                <w:sz w:val="22"/>
              </w:rPr>
            </w:pPr>
            <w:r w:rsidRPr="00C5016E">
              <w:rPr>
                <w:rFonts w:cs="Arial"/>
                <w:sz w:val="22"/>
              </w:rPr>
              <w:t>Zdravstvo</w:t>
            </w:r>
          </w:p>
        </w:tc>
        <w:tc>
          <w:tcPr>
            <w:tcW w:w="1998"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121.600</w:t>
            </w:r>
          </w:p>
        </w:tc>
        <w:tc>
          <w:tcPr>
            <w:tcW w:w="1688" w:type="dxa"/>
            <w:tcBorders>
              <w:top w:val="single" w:sz="4" w:space="0" w:color="auto"/>
              <w:left w:val="single" w:sz="4" w:space="0" w:color="auto"/>
              <w:bottom w:val="single" w:sz="4" w:space="0" w:color="auto"/>
              <w:right w:val="single" w:sz="4" w:space="0" w:color="auto"/>
            </w:tcBorders>
            <w:vAlign w:val="bottom"/>
          </w:tcPr>
          <w:p w:rsidR="00C025DC" w:rsidRPr="00C5016E" w:rsidRDefault="00C025DC" w:rsidP="00C025DC">
            <w:pPr>
              <w:spacing w:before="0" w:after="0"/>
              <w:jc w:val="right"/>
              <w:rPr>
                <w:rFonts w:cs="Arial"/>
                <w:sz w:val="22"/>
              </w:rPr>
            </w:pPr>
            <w:r w:rsidRPr="00C5016E">
              <w:rPr>
                <w:rFonts w:cs="Arial"/>
                <w:sz w:val="22"/>
              </w:rPr>
              <w:t>2,39</w:t>
            </w:r>
          </w:p>
        </w:tc>
      </w:tr>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center"/>
              <w:rPr>
                <w:rFonts w:cs="Arial"/>
                <w:sz w:val="22"/>
              </w:rPr>
            </w:pPr>
            <w:r w:rsidRPr="00C5016E">
              <w:rPr>
                <w:rFonts w:cs="Arial"/>
                <w:sz w:val="22"/>
              </w:rPr>
              <w:t>08</w:t>
            </w:r>
          </w:p>
        </w:tc>
        <w:tc>
          <w:tcPr>
            <w:tcW w:w="3402"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left"/>
              <w:rPr>
                <w:rFonts w:cs="Arial"/>
                <w:sz w:val="22"/>
              </w:rPr>
            </w:pPr>
            <w:r w:rsidRPr="00C5016E">
              <w:rPr>
                <w:rFonts w:cs="Arial"/>
                <w:sz w:val="22"/>
              </w:rPr>
              <w:t>Rekreacija, kultura i religija</w:t>
            </w:r>
          </w:p>
        </w:tc>
        <w:tc>
          <w:tcPr>
            <w:tcW w:w="1998"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20.739</w:t>
            </w:r>
          </w:p>
        </w:tc>
        <w:tc>
          <w:tcPr>
            <w:tcW w:w="1688" w:type="dxa"/>
            <w:tcBorders>
              <w:top w:val="single" w:sz="4" w:space="0" w:color="auto"/>
              <w:left w:val="single" w:sz="4" w:space="0" w:color="auto"/>
              <w:bottom w:val="single" w:sz="4" w:space="0" w:color="auto"/>
              <w:right w:val="single" w:sz="4" w:space="0" w:color="auto"/>
            </w:tcBorders>
            <w:vAlign w:val="bottom"/>
          </w:tcPr>
          <w:p w:rsidR="00C025DC" w:rsidRPr="00C5016E" w:rsidRDefault="00C025DC" w:rsidP="00C025DC">
            <w:pPr>
              <w:spacing w:before="0" w:after="0"/>
              <w:jc w:val="right"/>
              <w:rPr>
                <w:rFonts w:cs="Arial"/>
                <w:sz w:val="22"/>
              </w:rPr>
            </w:pPr>
            <w:r w:rsidRPr="00C5016E">
              <w:rPr>
                <w:rFonts w:cs="Arial"/>
                <w:sz w:val="22"/>
              </w:rPr>
              <w:t>0,41</w:t>
            </w:r>
          </w:p>
        </w:tc>
      </w:tr>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center"/>
              <w:rPr>
                <w:rFonts w:cs="Arial"/>
                <w:sz w:val="22"/>
              </w:rPr>
            </w:pPr>
            <w:r w:rsidRPr="00C5016E">
              <w:rPr>
                <w:rFonts w:cs="Arial"/>
                <w:sz w:val="22"/>
              </w:rPr>
              <w:t>09</w:t>
            </w:r>
          </w:p>
        </w:tc>
        <w:tc>
          <w:tcPr>
            <w:tcW w:w="3402"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left"/>
              <w:rPr>
                <w:rFonts w:cs="Arial"/>
                <w:sz w:val="22"/>
              </w:rPr>
            </w:pPr>
            <w:r w:rsidRPr="00C5016E">
              <w:rPr>
                <w:rFonts w:cs="Arial"/>
                <w:sz w:val="22"/>
              </w:rPr>
              <w:t>Obrazovanje</w:t>
            </w:r>
          </w:p>
        </w:tc>
        <w:tc>
          <w:tcPr>
            <w:tcW w:w="1998"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13.001</w:t>
            </w:r>
          </w:p>
        </w:tc>
        <w:tc>
          <w:tcPr>
            <w:tcW w:w="1688" w:type="dxa"/>
            <w:tcBorders>
              <w:top w:val="single" w:sz="4" w:space="0" w:color="auto"/>
              <w:left w:val="single" w:sz="4" w:space="0" w:color="auto"/>
              <w:bottom w:val="single" w:sz="4" w:space="0" w:color="auto"/>
              <w:right w:val="single" w:sz="4" w:space="0" w:color="auto"/>
            </w:tcBorders>
            <w:vAlign w:val="bottom"/>
          </w:tcPr>
          <w:p w:rsidR="00C025DC" w:rsidRPr="00C5016E" w:rsidRDefault="00C025DC" w:rsidP="00C025DC">
            <w:pPr>
              <w:spacing w:before="0" w:after="0"/>
              <w:jc w:val="right"/>
              <w:rPr>
                <w:rFonts w:cs="Arial"/>
                <w:sz w:val="22"/>
              </w:rPr>
            </w:pPr>
            <w:r w:rsidRPr="00C5016E">
              <w:rPr>
                <w:rFonts w:cs="Arial"/>
                <w:sz w:val="22"/>
              </w:rPr>
              <w:t>0,25</w:t>
            </w:r>
          </w:p>
        </w:tc>
      </w:tr>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center"/>
              <w:rPr>
                <w:rFonts w:cs="Arial"/>
                <w:sz w:val="22"/>
              </w:rPr>
            </w:pPr>
            <w:r w:rsidRPr="00C5016E">
              <w:rPr>
                <w:rFonts w:cs="Arial"/>
                <w:sz w:val="22"/>
              </w:rPr>
              <w:t>10</w:t>
            </w:r>
          </w:p>
        </w:tc>
        <w:tc>
          <w:tcPr>
            <w:tcW w:w="3402"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left"/>
              <w:rPr>
                <w:rFonts w:cs="Arial"/>
                <w:sz w:val="22"/>
              </w:rPr>
            </w:pPr>
            <w:r w:rsidRPr="00C5016E">
              <w:rPr>
                <w:rFonts w:cs="Arial"/>
                <w:sz w:val="22"/>
              </w:rPr>
              <w:t>Socijalna zaštita</w:t>
            </w:r>
          </w:p>
        </w:tc>
        <w:tc>
          <w:tcPr>
            <w:tcW w:w="1998" w:type="dxa"/>
            <w:tcBorders>
              <w:top w:val="single" w:sz="4" w:space="0" w:color="auto"/>
              <w:left w:val="single" w:sz="4" w:space="0" w:color="auto"/>
              <w:bottom w:val="single" w:sz="4" w:space="0" w:color="auto"/>
              <w:right w:val="single" w:sz="4" w:space="0" w:color="auto"/>
            </w:tcBorders>
          </w:tcPr>
          <w:p w:rsidR="00C025DC" w:rsidRPr="00C5016E" w:rsidRDefault="00C025DC" w:rsidP="00C025DC">
            <w:pPr>
              <w:spacing w:before="0" w:after="0"/>
              <w:jc w:val="right"/>
              <w:rPr>
                <w:rFonts w:cs="Arial"/>
                <w:sz w:val="22"/>
              </w:rPr>
            </w:pPr>
            <w:r w:rsidRPr="00C5016E">
              <w:rPr>
                <w:rFonts w:cs="Arial"/>
                <w:sz w:val="22"/>
              </w:rPr>
              <w:t>3.189.864</w:t>
            </w:r>
          </w:p>
        </w:tc>
        <w:tc>
          <w:tcPr>
            <w:tcW w:w="1688" w:type="dxa"/>
            <w:tcBorders>
              <w:top w:val="single" w:sz="4" w:space="0" w:color="auto"/>
              <w:left w:val="single" w:sz="4" w:space="0" w:color="auto"/>
              <w:bottom w:val="single" w:sz="4" w:space="0" w:color="auto"/>
              <w:right w:val="single" w:sz="4" w:space="0" w:color="auto"/>
            </w:tcBorders>
            <w:vAlign w:val="bottom"/>
          </w:tcPr>
          <w:p w:rsidR="00C025DC" w:rsidRPr="00C5016E" w:rsidRDefault="00C025DC" w:rsidP="00C025DC">
            <w:pPr>
              <w:spacing w:before="0" w:after="0"/>
              <w:jc w:val="right"/>
              <w:rPr>
                <w:rFonts w:cs="Arial"/>
                <w:sz w:val="22"/>
              </w:rPr>
            </w:pPr>
            <w:r w:rsidRPr="00C5016E">
              <w:rPr>
                <w:rFonts w:cs="Arial"/>
                <w:sz w:val="22"/>
              </w:rPr>
              <w:t xml:space="preserve">   62,54</w:t>
            </w:r>
          </w:p>
        </w:tc>
      </w:tr>
      <w:tr w:rsidR="00C5016E" w:rsidRPr="00C5016E" w:rsidTr="00C025DC">
        <w:trPr>
          <w:jc w:val="center"/>
        </w:trPr>
        <w:tc>
          <w:tcPr>
            <w:tcW w:w="1701"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jc w:val="left"/>
              <w:rPr>
                <w:rFonts w:cs="Arial"/>
                <w:b/>
                <w:sz w:val="22"/>
              </w:rPr>
            </w:pPr>
          </w:p>
        </w:tc>
        <w:tc>
          <w:tcPr>
            <w:tcW w:w="3402"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jc w:val="left"/>
              <w:rPr>
                <w:rFonts w:cs="Arial"/>
                <w:b/>
                <w:sz w:val="22"/>
              </w:rPr>
            </w:pPr>
            <w:r w:rsidRPr="00C5016E">
              <w:rPr>
                <w:rFonts w:cs="Arial"/>
                <w:b/>
                <w:sz w:val="22"/>
              </w:rPr>
              <w:t>U K U P N O</w:t>
            </w:r>
          </w:p>
        </w:tc>
        <w:tc>
          <w:tcPr>
            <w:tcW w:w="1998" w:type="dxa"/>
            <w:tcBorders>
              <w:top w:val="single" w:sz="4" w:space="0" w:color="auto"/>
              <w:left w:val="single" w:sz="4" w:space="0" w:color="auto"/>
              <w:bottom w:val="single" w:sz="4" w:space="0" w:color="auto"/>
              <w:right w:val="single" w:sz="4" w:space="0" w:color="auto"/>
            </w:tcBorders>
            <w:shd w:val="clear" w:color="auto" w:fill="D9D9D9"/>
          </w:tcPr>
          <w:p w:rsidR="00C025DC" w:rsidRPr="00C5016E" w:rsidRDefault="00C025DC" w:rsidP="00C025DC">
            <w:pPr>
              <w:spacing w:before="0" w:after="0"/>
              <w:jc w:val="right"/>
              <w:rPr>
                <w:rFonts w:cs="Arial"/>
                <w:b/>
                <w:sz w:val="22"/>
              </w:rPr>
            </w:pPr>
            <w:r w:rsidRPr="00C5016E">
              <w:rPr>
                <w:rFonts w:cs="Arial"/>
                <w:b/>
                <w:sz w:val="22"/>
              </w:rPr>
              <w:t>5.100.515</w:t>
            </w:r>
          </w:p>
        </w:tc>
        <w:tc>
          <w:tcPr>
            <w:tcW w:w="1688" w:type="dxa"/>
            <w:tcBorders>
              <w:top w:val="single" w:sz="4" w:space="0" w:color="auto"/>
              <w:left w:val="single" w:sz="4" w:space="0" w:color="auto"/>
              <w:bottom w:val="single" w:sz="4" w:space="0" w:color="auto"/>
              <w:right w:val="single" w:sz="4" w:space="0" w:color="auto"/>
            </w:tcBorders>
            <w:shd w:val="clear" w:color="auto" w:fill="D9D9D9"/>
            <w:vAlign w:val="center"/>
          </w:tcPr>
          <w:p w:rsidR="00C025DC" w:rsidRPr="00C5016E" w:rsidRDefault="00C025DC" w:rsidP="00C025DC">
            <w:pPr>
              <w:spacing w:before="0" w:after="0"/>
              <w:jc w:val="right"/>
              <w:rPr>
                <w:rFonts w:cs="Arial"/>
                <w:b/>
                <w:bCs/>
                <w:sz w:val="22"/>
              </w:rPr>
            </w:pPr>
            <w:r w:rsidRPr="00C5016E">
              <w:rPr>
                <w:rFonts w:cs="Arial"/>
                <w:b/>
                <w:bCs/>
                <w:sz w:val="22"/>
              </w:rPr>
              <w:t>100,00</w:t>
            </w:r>
          </w:p>
        </w:tc>
      </w:tr>
    </w:tbl>
    <w:p w:rsidR="00C025DC" w:rsidRPr="00C5016E" w:rsidRDefault="00EF4C3C" w:rsidP="00C025DC">
      <w:pPr>
        <w:pStyle w:val="Caption"/>
        <w:spacing w:before="0" w:after="0"/>
        <w:contextualSpacing/>
        <w:rPr>
          <w:rFonts w:ascii="Arial" w:hAnsi="Arial" w:cs="Arial"/>
          <w:b w:val="0"/>
          <w:color w:val="auto"/>
          <w:sz w:val="22"/>
          <w:szCs w:val="24"/>
          <w:lang w:val="hr-HR"/>
        </w:rPr>
      </w:pPr>
      <w:bookmarkStart w:id="62" w:name="_Toc99939228"/>
      <w:bookmarkEnd w:id="61"/>
      <w:r w:rsidRPr="00C5016E">
        <w:rPr>
          <w:rFonts w:ascii="Arial" w:hAnsi="Arial" w:cs="Arial"/>
          <w:color w:val="auto"/>
          <w:sz w:val="22"/>
          <w:szCs w:val="24"/>
          <w:lang w:val="hr-HR"/>
        </w:rPr>
        <w:t>Tablica</w:t>
      </w:r>
      <w:r w:rsidR="00C025DC" w:rsidRPr="00C5016E">
        <w:rPr>
          <w:rFonts w:ascii="Arial" w:hAnsi="Arial" w:cs="Arial"/>
          <w:color w:val="auto"/>
          <w:sz w:val="22"/>
          <w:szCs w:val="24"/>
          <w:lang w:val="hr-HR"/>
        </w:rPr>
        <w:t xml:space="preserve"> 4: </w:t>
      </w:r>
      <w:r w:rsidR="00C025DC" w:rsidRPr="00C5016E">
        <w:rPr>
          <w:rFonts w:ascii="Arial" w:hAnsi="Arial" w:cs="Arial"/>
          <w:b w:val="0"/>
          <w:color w:val="auto"/>
          <w:sz w:val="22"/>
          <w:szCs w:val="24"/>
          <w:lang w:val="hr-HR"/>
        </w:rPr>
        <w:t>Struktura u</w:t>
      </w:r>
      <w:r w:rsidR="00394009" w:rsidRPr="00C5016E">
        <w:rPr>
          <w:rFonts w:ascii="Arial" w:hAnsi="Arial" w:cs="Arial"/>
          <w:b w:val="0"/>
          <w:color w:val="auto"/>
          <w:sz w:val="22"/>
          <w:szCs w:val="24"/>
          <w:lang w:val="hr-HR"/>
        </w:rPr>
        <w:t>djela</w:t>
      </w:r>
      <w:r w:rsidR="00C025DC" w:rsidRPr="00C5016E">
        <w:rPr>
          <w:rFonts w:ascii="Arial" w:hAnsi="Arial" w:cs="Arial"/>
          <w:b w:val="0"/>
          <w:color w:val="auto"/>
          <w:sz w:val="22"/>
          <w:szCs w:val="24"/>
          <w:lang w:val="hr-HR"/>
        </w:rPr>
        <w:t xml:space="preserve"> pojedinačnih rashoda po funkcionalnoj klasifikaciji u odnosu na ukupne rashode Federacije BiH</w:t>
      </w:r>
      <w:bookmarkEnd w:id="62"/>
    </w:p>
    <w:p w:rsidR="00C025DC" w:rsidRPr="00C5016E" w:rsidRDefault="00C025DC" w:rsidP="00C025DC">
      <w:r w:rsidRPr="00C5016E">
        <w:t>Iz prikazane tab</w:t>
      </w:r>
      <w:r w:rsidR="00394009" w:rsidRPr="00C5016E">
        <w:t>lice</w:t>
      </w:r>
      <w:r w:rsidRPr="00C5016E">
        <w:t xml:space="preserve"> uočljivo je da se prema funkcionalnoj klasifikaciji najveć</w:t>
      </w:r>
      <w:r w:rsidR="00394009" w:rsidRPr="00C5016E">
        <w:t>i</w:t>
      </w:r>
      <w:r w:rsidRPr="00C5016E">
        <w:t xml:space="preserve"> u</w:t>
      </w:r>
      <w:r w:rsidR="00394009" w:rsidRPr="00C5016E">
        <w:t>djel</w:t>
      </w:r>
      <w:r w:rsidRPr="00C5016E">
        <w:t xml:space="preserve"> od 62,54% u ukupno realiziranim rashodima odnosi na izdvajanja po osnov</w:t>
      </w:r>
      <w:r w:rsidR="00394009" w:rsidRPr="00C5016E">
        <w:t>i</w:t>
      </w:r>
      <w:r w:rsidRPr="00C5016E">
        <w:t xml:space="preserve"> socijalne zaštite, nakon č</w:t>
      </w:r>
      <w:r w:rsidR="00394009" w:rsidRPr="00C5016E">
        <w:t>ega slijede opće javne usluge s</w:t>
      </w:r>
      <w:r w:rsidRPr="00C5016E">
        <w:t xml:space="preserve"> u</w:t>
      </w:r>
      <w:r w:rsidR="00394009" w:rsidRPr="00C5016E">
        <w:t>djelom</w:t>
      </w:r>
      <w:r w:rsidRPr="00C5016E">
        <w:t xml:space="preserve"> od 26,04%. </w:t>
      </w:r>
    </w:p>
    <w:p w:rsidR="00C025DC" w:rsidRPr="00C5016E" w:rsidRDefault="00C025DC" w:rsidP="00C025DC">
      <w:r w:rsidRPr="00C5016E">
        <w:t>U</w:t>
      </w:r>
      <w:r w:rsidR="00394009" w:rsidRPr="00C5016E">
        <w:t>djel</w:t>
      </w:r>
      <w:r w:rsidRPr="00C5016E">
        <w:t xml:space="preserve"> ostvarenih rashoda i izdataka analitički po vrstama u ukupno os</w:t>
      </w:r>
      <w:r w:rsidR="00394009" w:rsidRPr="00C5016E">
        <w:t>tvarenim rashodima i izdacima s</w:t>
      </w:r>
      <w:r w:rsidRPr="00C5016E">
        <w:t xml:space="preserve"> grafičkim prikazom da</w:t>
      </w:r>
      <w:r w:rsidR="00394009" w:rsidRPr="00C5016E">
        <w:t>n</w:t>
      </w:r>
      <w:r w:rsidRPr="00C5016E">
        <w:t xml:space="preserve"> je u nastavku.</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4320"/>
        <w:gridCol w:w="2281"/>
        <w:gridCol w:w="1417"/>
      </w:tblGrid>
      <w:tr w:rsidR="00C5016E" w:rsidRPr="00C5016E" w:rsidTr="00C025DC">
        <w:trPr>
          <w:trHeight w:val="465"/>
          <w:jc w:val="center"/>
        </w:trPr>
        <w:tc>
          <w:tcPr>
            <w:tcW w:w="737" w:type="dxa"/>
            <w:shd w:val="clear" w:color="auto" w:fill="D9D9D9"/>
            <w:noWrap/>
            <w:vAlign w:val="center"/>
          </w:tcPr>
          <w:p w:rsidR="00C025DC" w:rsidRPr="00C5016E" w:rsidRDefault="00C025DC" w:rsidP="00C025DC">
            <w:pPr>
              <w:spacing w:before="0" w:after="0"/>
              <w:jc w:val="center"/>
              <w:rPr>
                <w:rFonts w:cs="Arial"/>
                <w:b/>
                <w:sz w:val="22"/>
              </w:rPr>
            </w:pPr>
            <w:r w:rsidRPr="00C5016E">
              <w:rPr>
                <w:rFonts w:cs="Arial"/>
                <w:b/>
                <w:sz w:val="22"/>
              </w:rPr>
              <w:t>Red. broj</w:t>
            </w:r>
          </w:p>
        </w:tc>
        <w:tc>
          <w:tcPr>
            <w:tcW w:w="4320" w:type="dxa"/>
            <w:shd w:val="clear" w:color="auto" w:fill="D9D9D9"/>
            <w:noWrap/>
            <w:vAlign w:val="center"/>
          </w:tcPr>
          <w:p w:rsidR="00C025DC" w:rsidRPr="00C5016E" w:rsidRDefault="00C025DC" w:rsidP="00C025DC">
            <w:pPr>
              <w:spacing w:before="0" w:after="0"/>
              <w:jc w:val="center"/>
              <w:rPr>
                <w:rFonts w:cs="Arial"/>
                <w:b/>
                <w:sz w:val="22"/>
              </w:rPr>
            </w:pPr>
            <w:r w:rsidRPr="00C5016E">
              <w:rPr>
                <w:rFonts w:cs="Arial"/>
                <w:b/>
                <w:sz w:val="22"/>
              </w:rPr>
              <w:t>Opis</w:t>
            </w:r>
          </w:p>
        </w:tc>
        <w:tc>
          <w:tcPr>
            <w:tcW w:w="2281" w:type="dxa"/>
            <w:shd w:val="clear" w:color="auto" w:fill="D9D9D9"/>
            <w:noWrap/>
            <w:vAlign w:val="center"/>
          </w:tcPr>
          <w:p w:rsidR="00C025DC" w:rsidRPr="00C5016E" w:rsidRDefault="00C025DC" w:rsidP="00C025DC">
            <w:pPr>
              <w:spacing w:before="0" w:after="0"/>
              <w:jc w:val="center"/>
              <w:rPr>
                <w:rFonts w:cs="Arial"/>
                <w:b/>
                <w:sz w:val="22"/>
              </w:rPr>
            </w:pPr>
            <w:r w:rsidRPr="00C5016E">
              <w:rPr>
                <w:rFonts w:cs="Arial"/>
                <w:b/>
                <w:sz w:val="22"/>
              </w:rPr>
              <w:t>Ostvarenje 2022. godine u (000) KM</w:t>
            </w:r>
          </w:p>
        </w:tc>
        <w:tc>
          <w:tcPr>
            <w:tcW w:w="1417" w:type="dxa"/>
            <w:shd w:val="clear" w:color="auto" w:fill="D9D9D9"/>
            <w:noWrap/>
            <w:vAlign w:val="center"/>
          </w:tcPr>
          <w:p w:rsidR="00C025DC" w:rsidRPr="00C5016E" w:rsidRDefault="00C025DC" w:rsidP="00394009">
            <w:pPr>
              <w:spacing w:before="0" w:after="0"/>
              <w:jc w:val="center"/>
              <w:rPr>
                <w:rFonts w:cs="Arial"/>
                <w:b/>
                <w:sz w:val="22"/>
              </w:rPr>
            </w:pPr>
            <w:r w:rsidRPr="00C5016E">
              <w:rPr>
                <w:rFonts w:cs="Arial"/>
                <w:b/>
                <w:sz w:val="22"/>
              </w:rPr>
              <w:t>% u</w:t>
            </w:r>
            <w:r w:rsidR="00394009" w:rsidRPr="00C5016E">
              <w:rPr>
                <w:rFonts w:cs="Arial"/>
                <w:b/>
                <w:sz w:val="22"/>
              </w:rPr>
              <w:t>djela</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1.</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Plaće i naknade troškova zaposlenih</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bCs/>
                <w:sz w:val="22"/>
              </w:rPr>
              <w:t>260.897</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5,12</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2.</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Doprinosi poslodavca i ostali doprinosi</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sz w:val="22"/>
              </w:rPr>
              <w:t>26.714</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0,52</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3.</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Izdaci za materijal i usluge</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sz w:val="22"/>
              </w:rPr>
              <w:t>96.844</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1,90</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4.</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Tekući transferi i drugi tekući rashodi</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sz w:val="22"/>
              </w:rPr>
              <w:t>3.729.544</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73,12</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5.</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Izdaci za kamate i ostale naknade</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sz w:val="22"/>
              </w:rPr>
              <w:t>86.154</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1,69</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6.</w:t>
            </w:r>
          </w:p>
        </w:tc>
        <w:tc>
          <w:tcPr>
            <w:tcW w:w="4320" w:type="dxa"/>
            <w:shd w:val="clear" w:color="auto" w:fill="auto"/>
            <w:noWrap/>
            <w:vAlign w:val="center"/>
          </w:tcPr>
          <w:p w:rsidR="00C025DC" w:rsidRPr="00C5016E" w:rsidRDefault="00394009" w:rsidP="00C025DC">
            <w:pPr>
              <w:spacing w:before="0" w:after="0"/>
              <w:jc w:val="left"/>
              <w:rPr>
                <w:rFonts w:cs="Arial"/>
                <w:sz w:val="22"/>
              </w:rPr>
            </w:pPr>
            <w:r w:rsidRPr="00C5016E">
              <w:rPr>
                <w:rFonts w:cs="Arial"/>
                <w:sz w:val="22"/>
              </w:rPr>
              <w:t>Nabav</w:t>
            </w:r>
            <w:r w:rsidR="00C025DC" w:rsidRPr="00C5016E">
              <w:rPr>
                <w:rFonts w:cs="Arial"/>
                <w:sz w:val="22"/>
              </w:rPr>
              <w:t>a stalnih sredstava</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sz w:val="22"/>
              </w:rPr>
              <w:t>42.226</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0,83</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7.</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Kapitalni transferi</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sz w:val="22"/>
              </w:rPr>
              <w:t>109.119</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2,14</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8.</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Izdaci za financijsku imovinu</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bCs/>
                <w:sz w:val="22"/>
              </w:rPr>
              <w:t>18.500</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0,36</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9.</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Otplate dugova</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bCs/>
                <w:sz w:val="22"/>
              </w:rPr>
              <w:t>730.517</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14,32</w:t>
            </w:r>
          </w:p>
        </w:tc>
      </w:tr>
      <w:tr w:rsidR="00C5016E" w:rsidRPr="00C5016E" w:rsidTr="00C025DC">
        <w:trPr>
          <w:trHeight w:val="270"/>
          <w:jc w:val="center"/>
        </w:trPr>
        <w:tc>
          <w:tcPr>
            <w:tcW w:w="737" w:type="dxa"/>
            <w:shd w:val="clear" w:color="auto" w:fill="D9D9D9"/>
            <w:noWrap/>
            <w:vAlign w:val="center"/>
          </w:tcPr>
          <w:p w:rsidR="00C025DC" w:rsidRPr="00C5016E" w:rsidRDefault="00C025DC" w:rsidP="00C025DC">
            <w:pPr>
              <w:spacing w:before="0" w:after="0"/>
              <w:jc w:val="center"/>
              <w:rPr>
                <w:rFonts w:cs="Arial"/>
                <w:sz w:val="22"/>
              </w:rPr>
            </w:pPr>
            <w:r w:rsidRPr="00C5016E">
              <w:rPr>
                <w:rFonts w:cs="Arial"/>
                <w:sz w:val="22"/>
              </w:rPr>
              <w:t> </w:t>
            </w:r>
          </w:p>
        </w:tc>
        <w:tc>
          <w:tcPr>
            <w:tcW w:w="4320" w:type="dxa"/>
            <w:shd w:val="clear" w:color="auto" w:fill="D9D9D9"/>
            <w:noWrap/>
            <w:vAlign w:val="center"/>
          </w:tcPr>
          <w:p w:rsidR="00C025DC" w:rsidRPr="00C5016E" w:rsidRDefault="00C025DC" w:rsidP="00C025DC">
            <w:pPr>
              <w:spacing w:before="0" w:after="0"/>
              <w:jc w:val="left"/>
              <w:rPr>
                <w:rFonts w:cs="Arial"/>
                <w:b/>
                <w:bCs/>
                <w:sz w:val="22"/>
              </w:rPr>
            </w:pPr>
            <w:r w:rsidRPr="00C5016E">
              <w:rPr>
                <w:rFonts w:cs="Arial"/>
                <w:b/>
                <w:bCs/>
                <w:sz w:val="22"/>
              </w:rPr>
              <w:t>UKUPNO</w:t>
            </w:r>
          </w:p>
        </w:tc>
        <w:tc>
          <w:tcPr>
            <w:tcW w:w="2281" w:type="dxa"/>
            <w:shd w:val="clear" w:color="auto" w:fill="D9D9D9"/>
            <w:noWrap/>
            <w:vAlign w:val="center"/>
          </w:tcPr>
          <w:p w:rsidR="00C025DC" w:rsidRPr="00C5016E" w:rsidRDefault="00C025DC" w:rsidP="00C025DC">
            <w:pPr>
              <w:spacing w:before="0" w:after="0"/>
              <w:jc w:val="right"/>
              <w:rPr>
                <w:rFonts w:cs="Arial"/>
                <w:b/>
                <w:bCs/>
                <w:sz w:val="22"/>
              </w:rPr>
            </w:pPr>
            <w:r w:rsidRPr="00C5016E">
              <w:rPr>
                <w:rFonts w:cs="Arial"/>
                <w:b/>
                <w:bCs/>
                <w:sz w:val="22"/>
              </w:rPr>
              <w:t>5.100.515</w:t>
            </w:r>
          </w:p>
        </w:tc>
        <w:tc>
          <w:tcPr>
            <w:tcW w:w="1417" w:type="dxa"/>
            <w:shd w:val="clear" w:color="auto" w:fill="D9D9D9"/>
            <w:noWrap/>
          </w:tcPr>
          <w:p w:rsidR="00C025DC" w:rsidRPr="00C5016E" w:rsidRDefault="00C025DC" w:rsidP="00C025DC">
            <w:pPr>
              <w:autoSpaceDE w:val="0"/>
              <w:autoSpaceDN w:val="0"/>
              <w:adjustRightInd w:val="0"/>
              <w:spacing w:before="0" w:after="0"/>
              <w:jc w:val="right"/>
              <w:rPr>
                <w:rFonts w:cs="Arial"/>
                <w:b/>
                <w:bCs/>
                <w:sz w:val="22"/>
                <w:lang w:eastAsia="bs-Latn-BA"/>
              </w:rPr>
            </w:pPr>
            <w:r w:rsidRPr="00C5016E">
              <w:rPr>
                <w:rFonts w:cs="Arial"/>
                <w:b/>
                <w:bCs/>
                <w:sz w:val="22"/>
                <w:lang w:eastAsia="bs-Latn-BA"/>
              </w:rPr>
              <w:t>100,00</w:t>
            </w:r>
          </w:p>
        </w:tc>
      </w:tr>
    </w:tbl>
    <w:p w:rsidR="00C025DC" w:rsidRPr="00C5016E" w:rsidRDefault="00EF4C3C" w:rsidP="00C025DC">
      <w:pPr>
        <w:pStyle w:val="Caption"/>
        <w:spacing w:before="0" w:after="0"/>
        <w:contextualSpacing/>
        <w:rPr>
          <w:rFonts w:ascii="Arial" w:hAnsi="Arial" w:cs="Arial"/>
          <w:b w:val="0"/>
          <w:color w:val="auto"/>
          <w:sz w:val="22"/>
          <w:szCs w:val="24"/>
          <w:lang w:val="hr-HR"/>
        </w:rPr>
      </w:pPr>
      <w:bookmarkStart w:id="63" w:name="_Toc99939229"/>
      <w:r w:rsidRPr="00C5016E">
        <w:rPr>
          <w:rFonts w:ascii="Arial" w:hAnsi="Arial" w:cs="Arial"/>
          <w:color w:val="auto"/>
          <w:sz w:val="22"/>
          <w:szCs w:val="24"/>
          <w:lang w:val="hr-HR"/>
        </w:rPr>
        <w:t>Tablica</w:t>
      </w:r>
      <w:r w:rsidR="00C025DC" w:rsidRPr="00C5016E">
        <w:rPr>
          <w:rFonts w:ascii="Arial" w:hAnsi="Arial" w:cs="Arial"/>
          <w:color w:val="auto"/>
          <w:sz w:val="22"/>
          <w:szCs w:val="24"/>
          <w:lang w:val="hr-HR"/>
        </w:rPr>
        <w:t xml:space="preserve"> 5:</w:t>
      </w:r>
      <w:r w:rsidR="00C025DC" w:rsidRPr="00C5016E">
        <w:rPr>
          <w:rFonts w:ascii="Arial" w:hAnsi="Arial" w:cs="Arial"/>
          <w:b w:val="0"/>
          <w:color w:val="auto"/>
          <w:sz w:val="22"/>
          <w:szCs w:val="24"/>
          <w:lang w:val="hr-HR"/>
        </w:rPr>
        <w:t xml:space="preserve"> U</w:t>
      </w:r>
      <w:r w:rsidR="00394009" w:rsidRPr="00C5016E">
        <w:rPr>
          <w:rFonts w:ascii="Arial" w:hAnsi="Arial" w:cs="Arial"/>
          <w:b w:val="0"/>
          <w:color w:val="auto"/>
          <w:sz w:val="22"/>
          <w:szCs w:val="24"/>
          <w:lang w:val="hr-HR"/>
        </w:rPr>
        <w:t>djel</w:t>
      </w:r>
      <w:r w:rsidR="00C025DC" w:rsidRPr="00C5016E">
        <w:rPr>
          <w:rFonts w:ascii="Arial" w:hAnsi="Arial" w:cs="Arial"/>
          <w:b w:val="0"/>
          <w:color w:val="auto"/>
          <w:sz w:val="22"/>
          <w:szCs w:val="24"/>
          <w:lang w:val="hr-HR"/>
        </w:rPr>
        <w:t xml:space="preserve"> ostvarenih rashoda i izdataka analitički po vrstama u ukupno ostvarenim rashodima i izdacima 2022. godine</w:t>
      </w:r>
      <w:bookmarkEnd w:id="63"/>
    </w:p>
    <w:p w:rsidR="00C025DC" w:rsidRPr="00C5016E" w:rsidRDefault="008C788C" w:rsidP="00C025DC">
      <w:bookmarkStart w:id="64" w:name="_Toc99940823"/>
      <w:r>
        <w:rPr>
          <w:noProof/>
          <w:lang w:val="bs-Latn-BA" w:eastAsia="bs-Latn-BA"/>
        </w:rPr>
        <w:lastRenderedPageBreak/>
        <w:drawing>
          <wp:inline distT="0" distB="0" distL="0" distR="0" wp14:anchorId="1374FC73" wp14:editId="5A2F92BA">
            <wp:extent cx="5611495" cy="3260035"/>
            <wp:effectExtent l="0" t="0" r="8255" b="1714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C025DC" w:rsidRPr="00C5016E">
        <w:rPr>
          <w:rFonts w:cs="Arial"/>
          <w:b/>
          <w:sz w:val="22"/>
          <w:szCs w:val="24"/>
        </w:rPr>
        <w:t xml:space="preserve">Grafikon </w:t>
      </w:r>
      <w:r w:rsidR="00C025DC" w:rsidRPr="00C5016E">
        <w:rPr>
          <w:rFonts w:cs="Arial"/>
          <w:b/>
          <w:sz w:val="22"/>
          <w:szCs w:val="24"/>
        </w:rPr>
        <w:fldChar w:fldCharType="begin"/>
      </w:r>
      <w:r w:rsidR="00C025DC" w:rsidRPr="00C5016E">
        <w:rPr>
          <w:rFonts w:cs="Arial"/>
          <w:b/>
          <w:sz w:val="22"/>
          <w:szCs w:val="24"/>
        </w:rPr>
        <w:instrText xml:space="preserve"> SEQ Grafikon \* ARABIC </w:instrText>
      </w:r>
      <w:r w:rsidR="00C025DC" w:rsidRPr="00C5016E">
        <w:rPr>
          <w:rFonts w:cs="Arial"/>
          <w:b/>
          <w:sz w:val="22"/>
          <w:szCs w:val="24"/>
        </w:rPr>
        <w:fldChar w:fldCharType="separate"/>
      </w:r>
      <w:r w:rsidR="0070505C" w:rsidRPr="00C5016E">
        <w:rPr>
          <w:rFonts w:cs="Arial"/>
          <w:b/>
          <w:noProof/>
          <w:sz w:val="22"/>
          <w:szCs w:val="24"/>
        </w:rPr>
        <w:t>8</w:t>
      </w:r>
      <w:r w:rsidR="00C025DC" w:rsidRPr="00C5016E">
        <w:rPr>
          <w:rFonts w:cs="Arial"/>
          <w:b/>
          <w:sz w:val="22"/>
          <w:szCs w:val="24"/>
        </w:rPr>
        <w:fldChar w:fldCharType="end"/>
      </w:r>
      <w:r w:rsidR="00C025DC" w:rsidRPr="00C5016E">
        <w:rPr>
          <w:rFonts w:cs="Arial"/>
          <w:sz w:val="22"/>
          <w:szCs w:val="24"/>
        </w:rPr>
        <w:t>: U</w:t>
      </w:r>
      <w:r w:rsidR="00394009" w:rsidRPr="00C5016E">
        <w:rPr>
          <w:rFonts w:cs="Arial"/>
          <w:sz w:val="22"/>
          <w:szCs w:val="24"/>
        </w:rPr>
        <w:t>djel</w:t>
      </w:r>
      <w:r w:rsidR="00C025DC" w:rsidRPr="00C5016E">
        <w:rPr>
          <w:rFonts w:cs="Arial"/>
          <w:sz w:val="22"/>
          <w:szCs w:val="24"/>
        </w:rPr>
        <w:t xml:space="preserve"> pojedinačnih rashoda i izdataka u ukupnim rashodima u 2022. godini</w:t>
      </w:r>
      <w:bookmarkEnd w:id="64"/>
    </w:p>
    <w:p w:rsidR="00C025DC" w:rsidRPr="00C5016E" w:rsidRDefault="00C025DC" w:rsidP="00C025DC">
      <w:pPr>
        <w:spacing w:before="0" w:after="0"/>
        <w:jc w:val="left"/>
      </w:pPr>
    </w:p>
    <w:p w:rsidR="00C025DC" w:rsidRPr="00C5016E" w:rsidRDefault="00C025DC" w:rsidP="00C025DC">
      <w:pPr>
        <w:spacing w:before="0" w:after="0"/>
      </w:pPr>
      <w:r w:rsidRPr="00C5016E">
        <w:t xml:space="preserve">Na </w:t>
      </w:r>
      <w:r w:rsidR="00394009" w:rsidRPr="00C5016E">
        <w:t>temelju</w:t>
      </w:r>
      <w:r w:rsidRPr="00C5016E">
        <w:t xml:space="preserve"> prethodnog grafikona i tabele u</w:t>
      </w:r>
      <w:r w:rsidR="00394009" w:rsidRPr="00C5016E">
        <w:t>djela</w:t>
      </w:r>
      <w:r w:rsidRPr="00C5016E">
        <w:t xml:space="preserve"> pojedinačnih rashoda i izdataka u ukupnim rashodima u 2022. godini zaključujemo da se najveć</w:t>
      </w:r>
      <w:r w:rsidR="00394009" w:rsidRPr="00C5016E">
        <w:t>i</w:t>
      </w:r>
      <w:r w:rsidRPr="00C5016E">
        <w:t xml:space="preserve"> u</w:t>
      </w:r>
      <w:r w:rsidR="00394009" w:rsidRPr="00C5016E">
        <w:t>djel</w:t>
      </w:r>
      <w:r w:rsidRPr="00C5016E">
        <w:t xml:space="preserve"> od 73% odnosi na tekuće transfere i druge tekuće rashode i 14% na otplate duga.</w:t>
      </w:r>
    </w:p>
    <w:p w:rsidR="00C025DC" w:rsidRPr="00C5016E" w:rsidRDefault="00C025DC" w:rsidP="00C025DC">
      <w:pPr>
        <w:pStyle w:val="Heading2"/>
        <w:spacing w:after="0"/>
        <w:ind w:right="0"/>
        <w:rPr>
          <w:rFonts w:ascii="Arial" w:hAnsi="Arial" w:cs="Arial"/>
        </w:rPr>
      </w:pPr>
      <w:bookmarkStart w:id="65" w:name="_Toc131505208"/>
      <w:r w:rsidRPr="00C5016E">
        <w:rPr>
          <w:rFonts w:ascii="Arial" w:hAnsi="Arial" w:cs="Arial"/>
        </w:rPr>
        <w:t>Tekući rashodi</w:t>
      </w:r>
      <w:bookmarkEnd w:id="65"/>
      <w:r w:rsidRPr="00C5016E">
        <w:rPr>
          <w:rFonts w:ascii="Arial" w:hAnsi="Arial" w:cs="Arial"/>
        </w:rPr>
        <w:tab/>
      </w:r>
    </w:p>
    <w:p w:rsidR="00C025DC" w:rsidRPr="00C5016E" w:rsidRDefault="00C025DC" w:rsidP="00C025DC">
      <w:r w:rsidRPr="00C5016E">
        <w:t xml:space="preserve">Tekući rashodi (plaće i naknade, doprinosi poslodavca, izdaci za materijal i usluge, tekući transferi i drugi tekući rashodi, izdaci za kamate) u izvještajnom </w:t>
      </w:r>
      <w:r w:rsidR="00394009" w:rsidRPr="00C5016E">
        <w:t>razdoblju</w:t>
      </w:r>
      <w:r w:rsidRPr="00C5016E">
        <w:t xml:space="preserve"> iznose 4.200,2 </w:t>
      </w:r>
      <w:r w:rsidR="004611A5" w:rsidRPr="00C5016E">
        <w:t>milijun</w:t>
      </w:r>
      <w:r w:rsidRPr="00C5016E">
        <w:t xml:space="preserve">a KM, što je 98% izvršenje u odnosu na iznos planiran Proračunom Federacije BiH za 2022. godinu, te 108% izvršenje u odnosu na </w:t>
      </w:r>
      <w:r w:rsidR="00DE4C92" w:rsidRPr="00C5016E">
        <w:t>isto razdoblje</w:t>
      </w:r>
      <w:r w:rsidRPr="00C5016E">
        <w:t xml:space="preserve"> prethodne godine.</w:t>
      </w:r>
    </w:p>
    <w:p w:rsidR="00C025DC" w:rsidRPr="00C5016E" w:rsidRDefault="00C025DC" w:rsidP="00C025DC">
      <w:r w:rsidRPr="00C5016E">
        <w:t>U</w:t>
      </w:r>
      <w:r w:rsidR="00394009" w:rsidRPr="00C5016E">
        <w:t xml:space="preserve">djel </w:t>
      </w:r>
      <w:r w:rsidRPr="00C5016E">
        <w:t xml:space="preserve">pojedinih stavki rashoda u ukupnim tekućim rashodima je </w:t>
      </w:r>
      <w:r w:rsidR="00EF4C3C" w:rsidRPr="00C5016E">
        <w:t>tab</w:t>
      </w:r>
      <w:r w:rsidR="00394009" w:rsidRPr="00C5016E">
        <w:t>elarno</w:t>
      </w:r>
      <w:r w:rsidRPr="00C5016E">
        <w:t xml:space="preserve"> i grafički prikazano u nastavku.</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4320"/>
        <w:gridCol w:w="2281"/>
        <w:gridCol w:w="1417"/>
      </w:tblGrid>
      <w:tr w:rsidR="00C5016E" w:rsidRPr="00C5016E" w:rsidTr="00C025DC">
        <w:trPr>
          <w:trHeight w:val="465"/>
          <w:jc w:val="center"/>
        </w:trPr>
        <w:tc>
          <w:tcPr>
            <w:tcW w:w="737" w:type="dxa"/>
            <w:shd w:val="clear" w:color="auto" w:fill="D9D9D9"/>
            <w:noWrap/>
            <w:vAlign w:val="center"/>
          </w:tcPr>
          <w:p w:rsidR="00C025DC" w:rsidRPr="00C5016E" w:rsidRDefault="00C025DC" w:rsidP="00C025DC">
            <w:pPr>
              <w:spacing w:before="0" w:after="0"/>
              <w:jc w:val="center"/>
              <w:rPr>
                <w:rFonts w:cs="Arial"/>
                <w:b/>
                <w:sz w:val="22"/>
              </w:rPr>
            </w:pPr>
            <w:r w:rsidRPr="00C5016E">
              <w:rPr>
                <w:rFonts w:cs="Arial"/>
                <w:b/>
                <w:sz w:val="22"/>
              </w:rPr>
              <w:t>Red. broj</w:t>
            </w:r>
          </w:p>
        </w:tc>
        <w:tc>
          <w:tcPr>
            <w:tcW w:w="4320" w:type="dxa"/>
            <w:shd w:val="clear" w:color="auto" w:fill="D9D9D9"/>
            <w:noWrap/>
            <w:vAlign w:val="center"/>
          </w:tcPr>
          <w:p w:rsidR="00C025DC" w:rsidRPr="00C5016E" w:rsidRDefault="00C025DC" w:rsidP="00C025DC">
            <w:pPr>
              <w:spacing w:before="0" w:after="0"/>
              <w:jc w:val="center"/>
              <w:rPr>
                <w:rFonts w:cs="Arial"/>
                <w:b/>
                <w:sz w:val="22"/>
              </w:rPr>
            </w:pPr>
            <w:r w:rsidRPr="00C5016E">
              <w:rPr>
                <w:rFonts w:cs="Arial"/>
                <w:b/>
                <w:sz w:val="22"/>
              </w:rPr>
              <w:t>Opis</w:t>
            </w:r>
          </w:p>
        </w:tc>
        <w:tc>
          <w:tcPr>
            <w:tcW w:w="2281" w:type="dxa"/>
            <w:shd w:val="clear" w:color="auto" w:fill="D9D9D9"/>
            <w:noWrap/>
            <w:vAlign w:val="center"/>
          </w:tcPr>
          <w:p w:rsidR="00C025DC" w:rsidRPr="00C5016E" w:rsidRDefault="00C025DC" w:rsidP="00C025DC">
            <w:pPr>
              <w:spacing w:before="0" w:after="0"/>
              <w:jc w:val="center"/>
              <w:rPr>
                <w:rFonts w:cs="Arial"/>
                <w:b/>
                <w:sz w:val="22"/>
              </w:rPr>
            </w:pPr>
            <w:r w:rsidRPr="00C5016E">
              <w:rPr>
                <w:rFonts w:cs="Arial"/>
                <w:b/>
                <w:sz w:val="22"/>
              </w:rPr>
              <w:t>Ostvarenje 2022. godine u (000) KM</w:t>
            </w:r>
          </w:p>
        </w:tc>
        <w:tc>
          <w:tcPr>
            <w:tcW w:w="1417" w:type="dxa"/>
            <w:shd w:val="clear" w:color="auto" w:fill="D9D9D9"/>
            <w:noWrap/>
            <w:vAlign w:val="center"/>
          </w:tcPr>
          <w:p w:rsidR="00C025DC" w:rsidRPr="00C5016E" w:rsidRDefault="00C025DC" w:rsidP="00394009">
            <w:pPr>
              <w:spacing w:before="0" w:after="0"/>
              <w:jc w:val="center"/>
              <w:rPr>
                <w:rFonts w:cs="Arial"/>
                <w:b/>
                <w:sz w:val="22"/>
              </w:rPr>
            </w:pPr>
            <w:r w:rsidRPr="00C5016E">
              <w:rPr>
                <w:rFonts w:cs="Arial"/>
                <w:b/>
                <w:sz w:val="22"/>
              </w:rPr>
              <w:t>% u</w:t>
            </w:r>
            <w:r w:rsidR="00394009" w:rsidRPr="00C5016E">
              <w:rPr>
                <w:rFonts w:cs="Arial"/>
                <w:b/>
                <w:sz w:val="22"/>
              </w:rPr>
              <w:t>djela</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1.</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Plaće i naknade troškova zaposlenih</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bCs/>
                <w:sz w:val="22"/>
              </w:rPr>
              <w:t>260.897</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6,21</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2.</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Doprinosi poslodavca i ostali doprinosi</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sz w:val="22"/>
              </w:rPr>
              <w:t>26.714</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0,63</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3.</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Izdaci za materijal, sitni inventar i usluge</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sz w:val="22"/>
              </w:rPr>
              <w:t>96.844</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2,31</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4.</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Tekući transferi i drugi tekući rashodi</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sz w:val="22"/>
              </w:rPr>
              <w:t>3.729.544</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 xml:space="preserve">          88,80</w:t>
            </w:r>
          </w:p>
        </w:tc>
      </w:tr>
      <w:tr w:rsidR="00C5016E" w:rsidRPr="00C5016E" w:rsidTr="00C025DC">
        <w:trPr>
          <w:trHeight w:val="270"/>
          <w:jc w:val="center"/>
        </w:trPr>
        <w:tc>
          <w:tcPr>
            <w:tcW w:w="737" w:type="dxa"/>
            <w:shd w:val="clear" w:color="auto" w:fill="auto"/>
            <w:noWrap/>
            <w:vAlign w:val="center"/>
          </w:tcPr>
          <w:p w:rsidR="00C025DC" w:rsidRPr="00C5016E" w:rsidRDefault="00C025DC" w:rsidP="00C025DC">
            <w:pPr>
              <w:spacing w:before="0" w:after="0"/>
              <w:jc w:val="center"/>
              <w:rPr>
                <w:rFonts w:cs="Arial"/>
                <w:sz w:val="22"/>
              </w:rPr>
            </w:pPr>
            <w:r w:rsidRPr="00C5016E">
              <w:rPr>
                <w:rFonts w:cs="Arial"/>
                <w:sz w:val="22"/>
              </w:rPr>
              <w:t>5.</w:t>
            </w:r>
          </w:p>
        </w:tc>
        <w:tc>
          <w:tcPr>
            <w:tcW w:w="4320" w:type="dxa"/>
            <w:shd w:val="clear" w:color="auto" w:fill="auto"/>
            <w:noWrap/>
            <w:vAlign w:val="center"/>
          </w:tcPr>
          <w:p w:rsidR="00C025DC" w:rsidRPr="00C5016E" w:rsidRDefault="00C025DC" w:rsidP="00C025DC">
            <w:pPr>
              <w:spacing w:before="0" w:after="0"/>
              <w:jc w:val="left"/>
              <w:rPr>
                <w:rFonts w:cs="Arial"/>
                <w:sz w:val="22"/>
              </w:rPr>
            </w:pPr>
            <w:r w:rsidRPr="00C5016E">
              <w:rPr>
                <w:rFonts w:cs="Arial"/>
                <w:sz w:val="22"/>
              </w:rPr>
              <w:t>Izdaci za kamate i ostale naknade</w:t>
            </w:r>
          </w:p>
        </w:tc>
        <w:tc>
          <w:tcPr>
            <w:tcW w:w="2281" w:type="dxa"/>
            <w:shd w:val="clear" w:color="auto" w:fill="auto"/>
            <w:noWrap/>
            <w:vAlign w:val="center"/>
          </w:tcPr>
          <w:p w:rsidR="00C025DC" w:rsidRPr="00C5016E" w:rsidRDefault="00C025DC" w:rsidP="00C025DC">
            <w:pPr>
              <w:spacing w:before="0" w:after="0"/>
              <w:jc w:val="right"/>
              <w:rPr>
                <w:rFonts w:cs="Arial"/>
                <w:sz w:val="22"/>
              </w:rPr>
            </w:pPr>
            <w:r w:rsidRPr="00C5016E">
              <w:rPr>
                <w:rFonts w:cs="Arial"/>
                <w:sz w:val="22"/>
              </w:rPr>
              <w:t>86.154</w:t>
            </w:r>
          </w:p>
        </w:tc>
        <w:tc>
          <w:tcPr>
            <w:tcW w:w="1417" w:type="dxa"/>
            <w:shd w:val="clear" w:color="auto" w:fill="auto"/>
            <w:noWrap/>
            <w:vAlign w:val="bottom"/>
          </w:tcPr>
          <w:p w:rsidR="00C025DC" w:rsidRPr="00C5016E" w:rsidRDefault="00C025DC" w:rsidP="00C025DC">
            <w:pPr>
              <w:spacing w:before="0" w:after="0"/>
              <w:jc w:val="right"/>
              <w:rPr>
                <w:rFonts w:cs="Arial"/>
                <w:sz w:val="22"/>
              </w:rPr>
            </w:pPr>
            <w:r w:rsidRPr="00C5016E">
              <w:rPr>
                <w:rFonts w:cs="Arial"/>
                <w:sz w:val="22"/>
              </w:rPr>
              <w:t>2.05</w:t>
            </w:r>
          </w:p>
        </w:tc>
      </w:tr>
      <w:tr w:rsidR="00C5016E" w:rsidRPr="00C5016E" w:rsidTr="00C025DC">
        <w:trPr>
          <w:trHeight w:val="270"/>
          <w:jc w:val="center"/>
        </w:trPr>
        <w:tc>
          <w:tcPr>
            <w:tcW w:w="737" w:type="dxa"/>
            <w:shd w:val="clear" w:color="auto" w:fill="D9D9D9"/>
            <w:noWrap/>
            <w:vAlign w:val="center"/>
          </w:tcPr>
          <w:p w:rsidR="00C025DC" w:rsidRPr="00C5016E" w:rsidRDefault="00C025DC" w:rsidP="00C025DC">
            <w:pPr>
              <w:spacing w:before="0" w:after="0"/>
              <w:jc w:val="center"/>
              <w:rPr>
                <w:rFonts w:cs="Arial"/>
                <w:sz w:val="22"/>
              </w:rPr>
            </w:pPr>
            <w:r w:rsidRPr="00C5016E">
              <w:rPr>
                <w:rFonts w:cs="Arial"/>
                <w:sz w:val="22"/>
              </w:rPr>
              <w:t> </w:t>
            </w:r>
          </w:p>
        </w:tc>
        <w:tc>
          <w:tcPr>
            <w:tcW w:w="4320" w:type="dxa"/>
            <w:shd w:val="clear" w:color="auto" w:fill="D9D9D9"/>
            <w:noWrap/>
            <w:vAlign w:val="center"/>
          </w:tcPr>
          <w:p w:rsidR="00C025DC" w:rsidRPr="00C5016E" w:rsidRDefault="00C025DC" w:rsidP="00C025DC">
            <w:pPr>
              <w:spacing w:before="0" w:after="0"/>
              <w:jc w:val="left"/>
              <w:rPr>
                <w:rFonts w:cs="Arial"/>
                <w:b/>
                <w:bCs/>
                <w:sz w:val="22"/>
              </w:rPr>
            </w:pPr>
            <w:r w:rsidRPr="00C5016E">
              <w:rPr>
                <w:rFonts w:cs="Arial"/>
                <w:b/>
                <w:bCs/>
                <w:sz w:val="22"/>
              </w:rPr>
              <w:t>UKUPNO</w:t>
            </w:r>
          </w:p>
        </w:tc>
        <w:tc>
          <w:tcPr>
            <w:tcW w:w="2281" w:type="dxa"/>
            <w:shd w:val="clear" w:color="auto" w:fill="D9D9D9"/>
            <w:noWrap/>
            <w:vAlign w:val="center"/>
          </w:tcPr>
          <w:p w:rsidR="00C025DC" w:rsidRPr="00C5016E" w:rsidRDefault="00C025DC" w:rsidP="00C025DC">
            <w:pPr>
              <w:spacing w:before="0" w:after="0"/>
              <w:jc w:val="right"/>
              <w:rPr>
                <w:rFonts w:cs="Arial"/>
                <w:b/>
                <w:bCs/>
                <w:sz w:val="22"/>
              </w:rPr>
            </w:pPr>
            <w:r w:rsidRPr="00C5016E">
              <w:rPr>
                <w:rFonts w:cs="Arial"/>
                <w:b/>
                <w:bCs/>
                <w:sz w:val="22"/>
              </w:rPr>
              <w:t>4.200.153</w:t>
            </w:r>
          </w:p>
        </w:tc>
        <w:tc>
          <w:tcPr>
            <w:tcW w:w="1417" w:type="dxa"/>
            <w:shd w:val="clear" w:color="auto" w:fill="D9D9D9"/>
            <w:noWrap/>
          </w:tcPr>
          <w:p w:rsidR="00C025DC" w:rsidRPr="00C5016E" w:rsidRDefault="00C025DC" w:rsidP="00C025DC">
            <w:pPr>
              <w:autoSpaceDE w:val="0"/>
              <w:autoSpaceDN w:val="0"/>
              <w:adjustRightInd w:val="0"/>
              <w:spacing w:before="0" w:after="0"/>
              <w:jc w:val="right"/>
              <w:rPr>
                <w:rFonts w:cs="Arial"/>
                <w:b/>
                <w:bCs/>
                <w:sz w:val="22"/>
                <w:lang w:eastAsia="bs-Latn-BA"/>
              </w:rPr>
            </w:pPr>
            <w:r w:rsidRPr="00C5016E">
              <w:rPr>
                <w:rFonts w:cs="Arial"/>
                <w:b/>
                <w:bCs/>
                <w:sz w:val="22"/>
                <w:lang w:eastAsia="bs-Latn-BA"/>
              </w:rPr>
              <w:t>100,00</w:t>
            </w:r>
          </w:p>
        </w:tc>
      </w:tr>
    </w:tbl>
    <w:p w:rsidR="00C025DC" w:rsidRPr="00C5016E" w:rsidRDefault="00EF4C3C" w:rsidP="00C025DC">
      <w:pPr>
        <w:pStyle w:val="Caption"/>
        <w:spacing w:before="0" w:after="0"/>
        <w:contextualSpacing/>
        <w:rPr>
          <w:rFonts w:ascii="Arial" w:hAnsi="Arial" w:cs="Arial"/>
          <w:b w:val="0"/>
          <w:color w:val="auto"/>
          <w:sz w:val="22"/>
          <w:szCs w:val="24"/>
          <w:lang w:val="hr-HR"/>
        </w:rPr>
      </w:pPr>
      <w:bookmarkStart w:id="66" w:name="_Toc99939230"/>
      <w:r w:rsidRPr="00C5016E">
        <w:rPr>
          <w:rFonts w:ascii="Arial" w:hAnsi="Arial" w:cs="Arial"/>
          <w:color w:val="auto"/>
          <w:sz w:val="22"/>
          <w:szCs w:val="24"/>
          <w:lang w:val="hr-HR"/>
        </w:rPr>
        <w:t>Tablica</w:t>
      </w:r>
      <w:r w:rsidR="00C025DC" w:rsidRPr="00C5016E">
        <w:rPr>
          <w:rFonts w:ascii="Arial" w:hAnsi="Arial" w:cs="Arial"/>
          <w:color w:val="auto"/>
          <w:sz w:val="22"/>
          <w:szCs w:val="24"/>
          <w:lang w:val="hr-HR"/>
        </w:rPr>
        <w:t xml:space="preserve"> 6: </w:t>
      </w:r>
      <w:r w:rsidR="00C025DC" w:rsidRPr="00C5016E">
        <w:rPr>
          <w:rFonts w:ascii="Arial" w:hAnsi="Arial" w:cs="Arial"/>
          <w:b w:val="0"/>
          <w:color w:val="auto"/>
          <w:sz w:val="22"/>
          <w:szCs w:val="24"/>
          <w:lang w:val="hr-HR"/>
        </w:rPr>
        <w:t>Struktura ukupnih tekućih rashoda</w:t>
      </w:r>
      <w:bookmarkEnd w:id="66"/>
    </w:p>
    <w:p w:rsidR="00C025DC" w:rsidRPr="00C5016E" w:rsidRDefault="00380B5A" w:rsidP="00C025DC">
      <w:r>
        <w:rPr>
          <w:noProof/>
          <w:lang w:val="bs-Latn-BA" w:eastAsia="bs-Latn-BA"/>
        </w:rPr>
        <w:lastRenderedPageBreak/>
        <w:drawing>
          <wp:inline distT="0" distB="0" distL="0" distR="0" wp14:anchorId="4B7DA9B0" wp14:editId="7D80B11D">
            <wp:extent cx="5611495" cy="2862470"/>
            <wp:effectExtent l="0" t="0" r="8255" b="1460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025DC" w:rsidRPr="00C5016E" w:rsidRDefault="00C025DC" w:rsidP="00C025DC">
      <w:pPr>
        <w:pStyle w:val="Caption"/>
        <w:spacing w:before="120"/>
        <w:rPr>
          <w:rFonts w:ascii="Arial" w:hAnsi="Arial" w:cs="Arial"/>
          <w:color w:val="auto"/>
          <w:sz w:val="22"/>
          <w:szCs w:val="24"/>
          <w:lang w:val="hr-HR"/>
        </w:rPr>
      </w:pPr>
      <w:bookmarkStart w:id="67" w:name="_Toc99940824"/>
      <w:r w:rsidRPr="00C5016E">
        <w:rPr>
          <w:rFonts w:ascii="Arial" w:hAnsi="Arial" w:cs="Arial"/>
          <w:color w:val="auto"/>
          <w:sz w:val="22"/>
          <w:szCs w:val="24"/>
          <w:lang w:val="hr-HR"/>
        </w:rPr>
        <w:t xml:space="preserve">Grafikon </w:t>
      </w:r>
      <w:r w:rsidRPr="00C5016E">
        <w:rPr>
          <w:rFonts w:ascii="Arial" w:hAnsi="Arial" w:cs="Arial"/>
          <w:color w:val="auto"/>
          <w:sz w:val="22"/>
          <w:szCs w:val="24"/>
          <w:lang w:val="hr-HR"/>
        </w:rPr>
        <w:fldChar w:fldCharType="begin"/>
      </w:r>
      <w:r w:rsidRPr="00C5016E">
        <w:rPr>
          <w:rFonts w:ascii="Arial" w:hAnsi="Arial" w:cs="Arial"/>
          <w:color w:val="auto"/>
          <w:sz w:val="22"/>
          <w:szCs w:val="24"/>
          <w:lang w:val="hr-HR"/>
        </w:rPr>
        <w:instrText xml:space="preserve"> SEQ Grafikon \* ARABIC </w:instrText>
      </w:r>
      <w:r w:rsidRPr="00C5016E">
        <w:rPr>
          <w:rFonts w:ascii="Arial" w:hAnsi="Arial" w:cs="Arial"/>
          <w:color w:val="auto"/>
          <w:sz w:val="22"/>
          <w:szCs w:val="24"/>
          <w:lang w:val="hr-HR"/>
        </w:rPr>
        <w:fldChar w:fldCharType="separate"/>
      </w:r>
      <w:r w:rsidR="0070505C" w:rsidRPr="00C5016E">
        <w:rPr>
          <w:rFonts w:ascii="Arial" w:hAnsi="Arial" w:cs="Arial"/>
          <w:noProof/>
          <w:color w:val="auto"/>
          <w:sz w:val="22"/>
          <w:szCs w:val="24"/>
          <w:lang w:val="hr-HR"/>
        </w:rPr>
        <w:t>9</w:t>
      </w:r>
      <w:r w:rsidRPr="00C5016E">
        <w:rPr>
          <w:rFonts w:ascii="Arial" w:hAnsi="Arial" w:cs="Arial"/>
          <w:color w:val="auto"/>
          <w:sz w:val="22"/>
          <w:szCs w:val="24"/>
          <w:lang w:val="hr-HR"/>
        </w:rPr>
        <w:fldChar w:fldCharType="end"/>
      </w:r>
      <w:r w:rsidRPr="00C5016E">
        <w:rPr>
          <w:rFonts w:ascii="Arial" w:hAnsi="Arial" w:cs="Arial"/>
          <w:color w:val="auto"/>
          <w:sz w:val="22"/>
          <w:szCs w:val="24"/>
          <w:lang w:val="hr-HR"/>
        </w:rPr>
        <w:t xml:space="preserve">: </w:t>
      </w:r>
      <w:r w:rsidRPr="00C5016E">
        <w:rPr>
          <w:rFonts w:ascii="Arial" w:hAnsi="Arial" w:cs="Arial"/>
          <w:b w:val="0"/>
          <w:color w:val="auto"/>
          <w:sz w:val="22"/>
          <w:szCs w:val="24"/>
          <w:lang w:val="hr-HR"/>
        </w:rPr>
        <w:t>Struktura ukupnih tekućih rashoda</w:t>
      </w:r>
      <w:bookmarkEnd w:id="67"/>
    </w:p>
    <w:p w:rsidR="00C025DC" w:rsidRPr="00C5016E" w:rsidRDefault="00C025DC" w:rsidP="00C025DC">
      <w:r w:rsidRPr="00C5016E">
        <w:t xml:space="preserve">Na </w:t>
      </w:r>
      <w:r w:rsidR="00394009" w:rsidRPr="00C5016E">
        <w:t>temelj</w:t>
      </w:r>
      <w:r w:rsidRPr="00C5016E">
        <w:t xml:space="preserve"> prethodnog grafikona zaključujemo da najveć</w:t>
      </w:r>
      <w:r w:rsidR="00394009" w:rsidRPr="00C5016E">
        <w:t>i</w:t>
      </w:r>
      <w:r w:rsidRPr="00C5016E">
        <w:t xml:space="preserve"> u</w:t>
      </w:r>
      <w:r w:rsidR="00394009" w:rsidRPr="00C5016E">
        <w:t xml:space="preserve">djel </w:t>
      </w:r>
      <w:r w:rsidRPr="00C5016E">
        <w:t>u strukturi ukupnih tekućih rashoda imaju tekući tra</w:t>
      </w:r>
      <w:r w:rsidR="00394009" w:rsidRPr="00C5016E">
        <w:t>nsferi i drugi tekući rashodi s</w:t>
      </w:r>
      <w:r w:rsidRPr="00C5016E">
        <w:t xml:space="preserve"> u</w:t>
      </w:r>
      <w:r w:rsidR="00394009" w:rsidRPr="00C5016E">
        <w:t>djelom</w:t>
      </w:r>
      <w:r w:rsidRPr="00C5016E">
        <w:t xml:space="preserve"> od 89% što je iznos od 3.729,5 </w:t>
      </w:r>
      <w:r w:rsidR="004611A5" w:rsidRPr="00C5016E">
        <w:t>milijun</w:t>
      </w:r>
      <w:r w:rsidRPr="00C5016E">
        <w:t>a KM.</w:t>
      </w:r>
    </w:p>
    <w:p w:rsidR="00C025DC" w:rsidRPr="00C5016E" w:rsidRDefault="00C025DC" w:rsidP="00C025DC">
      <w:pPr>
        <w:pStyle w:val="Heading3"/>
        <w:rPr>
          <w:rFonts w:cs="Arial"/>
        </w:rPr>
      </w:pPr>
      <w:bookmarkStart w:id="68" w:name="_Toc131505209"/>
      <w:r w:rsidRPr="00C5016E">
        <w:rPr>
          <w:rFonts w:cs="Arial"/>
        </w:rPr>
        <w:t>Plaće i naknade troškova zaposlenih</w:t>
      </w:r>
      <w:bookmarkEnd w:id="68"/>
    </w:p>
    <w:p w:rsidR="00C025DC" w:rsidRPr="00C5016E" w:rsidRDefault="00C025DC" w:rsidP="00C025DC">
      <w:r w:rsidRPr="00C5016E">
        <w:rPr>
          <w:bCs/>
        </w:rPr>
        <w:t xml:space="preserve">Plaće i naknade troškova zaposlenih iznose 260,9 </w:t>
      </w:r>
      <w:r w:rsidR="004611A5" w:rsidRPr="00C5016E">
        <w:t>milijun</w:t>
      </w:r>
      <w:r w:rsidRPr="00C5016E">
        <w:t xml:space="preserve">a KM, što je 96% planiranog prema Proračunu za 2022. godinu i za 5%, odnosno za 20,8 </w:t>
      </w:r>
      <w:r w:rsidR="004611A5" w:rsidRPr="00C5016E">
        <w:t>milijun</w:t>
      </w:r>
      <w:r w:rsidRPr="00C5016E">
        <w:t xml:space="preserve">a KM više u odnosu na izvršenje u prethodnoj godini. </w:t>
      </w:r>
    </w:p>
    <w:p w:rsidR="00C025DC" w:rsidRPr="00C5016E" w:rsidRDefault="00C025DC" w:rsidP="00C025DC">
      <w:r w:rsidRPr="00C5016E">
        <w:t>Povećanje u odnosu na prethodnu godinu rezultat je povećanja boda za obračun plaće, zbog porasta indeksa potrošačkih cijena u Federaciji BiH, koji se u skladu s član</w:t>
      </w:r>
      <w:r w:rsidR="00394009" w:rsidRPr="00C5016E">
        <w:t>k</w:t>
      </w:r>
      <w:r w:rsidRPr="00C5016E">
        <w:t>om 18. Zakona o izvršavanju Proračuna Federacije Bosne i Hercegovine za 2022. godinu („Službene novine FBiH“, broj: 25/22) utvrđuje u iznosu od 1,05 i primjenjuje se od 1.</w:t>
      </w:r>
      <w:r w:rsidR="00394009" w:rsidRPr="00C5016E">
        <w:t xml:space="preserve"> ožujka </w:t>
      </w:r>
      <w:r w:rsidRPr="00C5016E">
        <w:t xml:space="preserve">2022., kao i financiranje isplate jednokratne novčane naknade u iznosu od 7,81 </w:t>
      </w:r>
      <w:r w:rsidR="004611A5" w:rsidRPr="00C5016E">
        <w:t>milijun</w:t>
      </w:r>
      <w:r w:rsidR="00394009" w:rsidRPr="00C5016E">
        <w:t xml:space="preserve"> KM u skladu s</w:t>
      </w:r>
      <w:r w:rsidRPr="00C5016E">
        <w:t xml:space="preserve"> </w:t>
      </w:r>
      <w:r w:rsidRPr="00C5016E">
        <w:rPr>
          <w:rFonts w:cs="Arial"/>
        </w:rPr>
        <w:t xml:space="preserve">Uredbom Vlade Federacije BiH </w:t>
      </w:r>
      <w:r w:rsidRPr="00C5016E">
        <w:t xml:space="preserve">o pomoći stanovništvu </w:t>
      </w:r>
      <w:r w:rsidR="00394009" w:rsidRPr="00C5016E">
        <w:t>uslijed</w:t>
      </w:r>
      <w:r w:rsidRPr="00C5016E">
        <w:t xml:space="preserve"> rasta indeksa potrošačkih cijena,</w:t>
      </w:r>
      <w:r w:rsidRPr="00C5016E">
        <w:rPr>
          <w:rFonts w:cs="Arial"/>
        </w:rPr>
        <w:t xml:space="preserve"> V.</w:t>
      </w:r>
      <w:r w:rsidR="00394009" w:rsidRPr="00C5016E">
        <w:rPr>
          <w:rFonts w:cs="Arial"/>
        </w:rPr>
        <w:t xml:space="preserve"> </w:t>
      </w:r>
      <w:r w:rsidRPr="00C5016E">
        <w:rPr>
          <w:rFonts w:cs="Arial"/>
        </w:rPr>
        <w:t>broj</w:t>
      </w:r>
      <w:r w:rsidR="00394009" w:rsidRPr="00C5016E">
        <w:rPr>
          <w:rFonts w:cs="Arial"/>
        </w:rPr>
        <w:t>:</w:t>
      </w:r>
      <w:r w:rsidRPr="00C5016E">
        <w:rPr>
          <w:rFonts w:cs="Arial"/>
        </w:rPr>
        <w:t xml:space="preserve"> 1505/2022 </w:t>
      </w:r>
      <w:r w:rsidRPr="00C5016E">
        <w:t>od 27.</w:t>
      </w:r>
      <w:r w:rsidR="00394009" w:rsidRPr="00C5016E">
        <w:t xml:space="preserve"> </w:t>
      </w:r>
      <w:r w:rsidRPr="00C5016E">
        <w:t>10.</w:t>
      </w:r>
      <w:r w:rsidR="00394009" w:rsidRPr="00C5016E">
        <w:t xml:space="preserve"> </w:t>
      </w:r>
      <w:r w:rsidRPr="00C5016E">
        <w:t>2022. („Službene novine FBiH“, broj: 86/22).</w:t>
      </w:r>
    </w:p>
    <w:p w:rsidR="00C025DC" w:rsidRPr="00C5016E" w:rsidRDefault="00C025DC" w:rsidP="00C025DC">
      <w:r w:rsidRPr="00C5016E">
        <w:t>Analitika troškova po osnov</w:t>
      </w:r>
      <w:r w:rsidR="00394009" w:rsidRPr="00C5016E">
        <w:t>i</w:t>
      </w:r>
      <w:r w:rsidRPr="00C5016E">
        <w:t xml:space="preserve"> plaća i naknada troškova zaposlenih je kako slijedi: </w:t>
      </w:r>
    </w:p>
    <w:p w:rsidR="00C025DC" w:rsidRPr="00C5016E" w:rsidRDefault="00C025DC" w:rsidP="00C025DC">
      <w:pPr>
        <w:pStyle w:val="ListParagraph"/>
        <w:numPr>
          <w:ilvl w:val="0"/>
          <w:numId w:val="8"/>
        </w:numPr>
        <w:rPr>
          <w:rFonts w:ascii="Arial" w:hAnsi="Arial" w:cs="Arial"/>
          <w:lang w:val="hr-HR"/>
        </w:rPr>
      </w:pPr>
      <w:r w:rsidRPr="00C5016E">
        <w:rPr>
          <w:rFonts w:ascii="Arial" w:hAnsi="Arial" w:cs="Arial"/>
          <w:lang w:val="hr-HR"/>
        </w:rPr>
        <w:t xml:space="preserve">bruto plaće iznose 220,1 </w:t>
      </w:r>
      <w:r w:rsidR="004611A5" w:rsidRPr="00C5016E">
        <w:rPr>
          <w:rFonts w:ascii="Arial" w:hAnsi="Arial" w:cs="Arial"/>
          <w:lang w:val="hr-HR"/>
        </w:rPr>
        <w:t>milijun</w:t>
      </w:r>
      <w:r w:rsidRPr="00C5016E">
        <w:rPr>
          <w:rFonts w:ascii="Arial" w:hAnsi="Arial" w:cs="Arial"/>
          <w:lang w:val="hr-HR"/>
        </w:rPr>
        <w:t xml:space="preserve"> KM, što je za 5%, odnosno 10,5 </w:t>
      </w:r>
      <w:r w:rsidR="004611A5" w:rsidRPr="00C5016E">
        <w:rPr>
          <w:rFonts w:ascii="Arial" w:hAnsi="Arial" w:cs="Arial"/>
          <w:lang w:val="hr-HR"/>
        </w:rPr>
        <w:t>milijun</w:t>
      </w:r>
      <w:r w:rsidRPr="00C5016E">
        <w:rPr>
          <w:rFonts w:ascii="Arial" w:hAnsi="Arial" w:cs="Arial"/>
          <w:lang w:val="hr-HR"/>
        </w:rPr>
        <w:t>a više u odnosu na prethodnu godinu i</w:t>
      </w:r>
    </w:p>
    <w:p w:rsidR="00C025DC" w:rsidRPr="00C5016E" w:rsidRDefault="00C025DC" w:rsidP="00C025DC">
      <w:pPr>
        <w:pStyle w:val="ListParagraph"/>
        <w:numPr>
          <w:ilvl w:val="0"/>
          <w:numId w:val="8"/>
        </w:numPr>
        <w:rPr>
          <w:rFonts w:ascii="Arial" w:hAnsi="Arial" w:cs="Arial"/>
          <w:lang w:val="hr-HR"/>
        </w:rPr>
      </w:pPr>
      <w:r w:rsidRPr="00C5016E">
        <w:rPr>
          <w:rFonts w:ascii="Arial" w:hAnsi="Arial" w:cs="Arial"/>
          <w:lang w:val="hr-HR"/>
        </w:rPr>
        <w:t xml:space="preserve">naknade troškova zaposlenih (troškovi prijevoza, toplog obroka, odvojenog života, regresa i sl.) iznose 40,8 </w:t>
      </w:r>
      <w:r w:rsidR="004611A5" w:rsidRPr="00C5016E">
        <w:rPr>
          <w:rFonts w:ascii="Arial" w:hAnsi="Arial" w:cs="Arial"/>
          <w:lang w:val="hr-HR"/>
        </w:rPr>
        <w:t>milijun</w:t>
      </w:r>
      <w:r w:rsidRPr="00C5016E">
        <w:rPr>
          <w:rFonts w:ascii="Arial" w:hAnsi="Arial" w:cs="Arial"/>
          <w:lang w:val="hr-HR"/>
        </w:rPr>
        <w:t xml:space="preserve">a KM, što je za 35%, odnosno 10,5 </w:t>
      </w:r>
      <w:r w:rsidR="004611A5" w:rsidRPr="00C5016E">
        <w:rPr>
          <w:rFonts w:ascii="Arial" w:hAnsi="Arial" w:cs="Arial"/>
          <w:lang w:val="hr-HR"/>
        </w:rPr>
        <w:t>milijun</w:t>
      </w:r>
      <w:r w:rsidRPr="00C5016E">
        <w:rPr>
          <w:rFonts w:ascii="Arial" w:hAnsi="Arial" w:cs="Arial"/>
          <w:lang w:val="hr-HR"/>
        </w:rPr>
        <w:t xml:space="preserve"> KM više u odnosu na prethodnu godinu. </w:t>
      </w:r>
    </w:p>
    <w:p w:rsidR="00C025DC" w:rsidRPr="00C5016E" w:rsidRDefault="00C025DC" w:rsidP="00C025DC">
      <w:r w:rsidRPr="00C5016E">
        <w:lastRenderedPageBreak/>
        <w:t xml:space="preserve">Na dan 31. prosinca 2022. u federalnim organima uprave je bilo zaposleno 7.715 državnih službenika, namještenika i drugih zaposlenika koji primaju plaću iz Proračuna Federacije BiH, što je u odnosu na 31. </w:t>
      </w:r>
      <w:r w:rsidR="00394009" w:rsidRPr="00C5016E">
        <w:t xml:space="preserve">prosinac 2021. </w:t>
      </w:r>
      <w:r w:rsidRPr="00C5016E">
        <w:t>više za 83 zaposlenika.</w:t>
      </w:r>
    </w:p>
    <w:p w:rsidR="00C025DC" w:rsidRPr="00C5016E" w:rsidRDefault="00C025DC" w:rsidP="00C025DC">
      <w:pPr>
        <w:pStyle w:val="Heading3"/>
        <w:rPr>
          <w:rFonts w:cs="Arial"/>
        </w:rPr>
      </w:pPr>
      <w:bookmarkStart w:id="69" w:name="_Toc131505210"/>
      <w:r w:rsidRPr="00C5016E">
        <w:rPr>
          <w:rFonts w:cs="Arial"/>
        </w:rPr>
        <w:t>Doprinosi poslodavca i ostali doprinosi</w:t>
      </w:r>
      <w:bookmarkEnd w:id="69"/>
      <w:r w:rsidRPr="00C5016E">
        <w:rPr>
          <w:rFonts w:cs="Arial"/>
        </w:rPr>
        <w:tab/>
      </w:r>
    </w:p>
    <w:p w:rsidR="00C025DC" w:rsidRPr="00C5016E" w:rsidRDefault="00C025DC" w:rsidP="00C025DC">
      <w:r w:rsidRPr="00C5016E">
        <w:t xml:space="preserve">Doprinosi poslodavca i ostali doprinosi iznose 26,7 </w:t>
      </w:r>
      <w:r w:rsidR="004611A5" w:rsidRPr="00C5016E">
        <w:t>milijun</w:t>
      </w:r>
      <w:r w:rsidRPr="00C5016E">
        <w:t>a KM, što je 92% planiranog prema Proračunu za 2022. godinu i za 4% odnosno 1,1 mil</w:t>
      </w:r>
      <w:r w:rsidR="00394009" w:rsidRPr="00C5016E">
        <w:t>iju</w:t>
      </w:r>
      <w:r w:rsidRPr="00C5016E">
        <w:t xml:space="preserve">n KM više izvršenje u odnosu na u prethodnu godinu. </w:t>
      </w:r>
    </w:p>
    <w:p w:rsidR="00C025DC" w:rsidRPr="00C5016E" w:rsidRDefault="00C025DC" w:rsidP="00C025DC">
      <w:r w:rsidRPr="00C5016E">
        <w:t>Doprinosi poslodavca se sastoje od sljedećih doprinosa:</w:t>
      </w:r>
    </w:p>
    <w:p w:rsidR="00C025DC" w:rsidRPr="00C5016E" w:rsidRDefault="00C025DC" w:rsidP="00C025DC">
      <w:pPr>
        <w:pStyle w:val="ListParagraph"/>
        <w:numPr>
          <w:ilvl w:val="0"/>
          <w:numId w:val="9"/>
        </w:numPr>
        <w:rPr>
          <w:rFonts w:ascii="Arial" w:hAnsi="Arial" w:cs="Arial"/>
          <w:lang w:val="hr-HR"/>
        </w:rPr>
      </w:pPr>
      <w:r w:rsidRPr="00C5016E">
        <w:rPr>
          <w:rFonts w:ascii="Arial" w:hAnsi="Arial" w:cs="Arial"/>
          <w:lang w:val="hr-HR"/>
        </w:rPr>
        <w:t xml:space="preserve">za mirovinsko i invalidsko osiguranje 13,3 </w:t>
      </w:r>
      <w:r w:rsidR="004611A5" w:rsidRPr="00C5016E">
        <w:rPr>
          <w:rFonts w:ascii="Arial" w:hAnsi="Arial" w:cs="Arial"/>
          <w:lang w:val="hr-HR"/>
        </w:rPr>
        <w:t>milijun</w:t>
      </w:r>
      <w:r w:rsidR="00394009" w:rsidRPr="00C5016E">
        <w:rPr>
          <w:rFonts w:ascii="Arial" w:hAnsi="Arial" w:cs="Arial"/>
          <w:lang w:val="hr-HR"/>
        </w:rPr>
        <w:t>a KM</w:t>
      </w:r>
    </w:p>
    <w:p w:rsidR="00C025DC" w:rsidRPr="00C5016E" w:rsidRDefault="00C025DC" w:rsidP="00C025DC">
      <w:pPr>
        <w:pStyle w:val="ListParagraph"/>
        <w:numPr>
          <w:ilvl w:val="0"/>
          <w:numId w:val="9"/>
        </w:numPr>
        <w:rPr>
          <w:rFonts w:ascii="Arial" w:hAnsi="Arial" w:cs="Arial"/>
          <w:lang w:val="hr-HR"/>
        </w:rPr>
      </w:pPr>
      <w:r w:rsidRPr="00C5016E">
        <w:rPr>
          <w:rFonts w:ascii="Arial" w:hAnsi="Arial" w:cs="Arial"/>
          <w:lang w:val="hr-HR"/>
        </w:rPr>
        <w:t xml:space="preserve">za zdravstveno osiguranje 8,9 </w:t>
      </w:r>
      <w:r w:rsidR="004611A5" w:rsidRPr="00C5016E">
        <w:rPr>
          <w:rFonts w:ascii="Arial" w:hAnsi="Arial" w:cs="Arial"/>
          <w:lang w:val="hr-HR"/>
        </w:rPr>
        <w:t>milijun</w:t>
      </w:r>
      <w:r w:rsidR="00394009" w:rsidRPr="00C5016E">
        <w:rPr>
          <w:rFonts w:ascii="Arial" w:hAnsi="Arial" w:cs="Arial"/>
          <w:lang w:val="hr-HR"/>
        </w:rPr>
        <w:t>a KM</w:t>
      </w:r>
    </w:p>
    <w:p w:rsidR="00C025DC" w:rsidRPr="00C5016E" w:rsidRDefault="00C025DC" w:rsidP="00C025DC">
      <w:pPr>
        <w:pStyle w:val="ListParagraph"/>
        <w:numPr>
          <w:ilvl w:val="0"/>
          <w:numId w:val="9"/>
        </w:numPr>
        <w:rPr>
          <w:rFonts w:ascii="Arial" w:hAnsi="Arial" w:cs="Arial"/>
          <w:lang w:val="hr-HR"/>
        </w:rPr>
      </w:pPr>
      <w:r w:rsidRPr="00C5016E">
        <w:rPr>
          <w:rFonts w:ascii="Arial" w:hAnsi="Arial" w:cs="Arial"/>
          <w:lang w:val="hr-HR"/>
        </w:rPr>
        <w:t xml:space="preserve">za zapošljavanje 1,1 </w:t>
      </w:r>
      <w:r w:rsidR="004611A5" w:rsidRPr="00C5016E">
        <w:rPr>
          <w:rFonts w:ascii="Arial" w:hAnsi="Arial" w:cs="Arial"/>
          <w:lang w:val="hr-HR"/>
        </w:rPr>
        <w:t>milijun</w:t>
      </w:r>
      <w:r w:rsidR="00394009" w:rsidRPr="00C5016E">
        <w:rPr>
          <w:rFonts w:ascii="Arial" w:hAnsi="Arial" w:cs="Arial"/>
          <w:lang w:val="hr-HR"/>
        </w:rPr>
        <w:t xml:space="preserve"> KM i</w:t>
      </w:r>
    </w:p>
    <w:p w:rsidR="00C025DC" w:rsidRPr="00C5016E" w:rsidRDefault="00C025DC" w:rsidP="00C025DC">
      <w:pPr>
        <w:pStyle w:val="ListParagraph"/>
        <w:numPr>
          <w:ilvl w:val="0"/>
          <w:numId w:val="9"/>
        </w:numPr>
        <w:rPr>
          <w:rFonts w:ascii="Arial" w:hAnsi="Arial" w:cs="Arial"/>
          <w:lang w:val="hr-HR"/>
        </w:rPr>
      </w:pPr>
      <w:r w:rsidRPr="00C5016E">
        <w:rPr>
          <w:rFonts w:ascii="Arial" w:hAnsi="Arial" w:cs="Arial"/>
          <w:lang w:val="hr-HR"/>
        </w:rPr>
        <w:t xml:space="preserve">za beneficirani radni staž 3,4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Heading3"/>
        <w:rPr>
          <w:rFonts w:cs="Arial"/>
        </w:rPr>
      </w:pPr>
      <w:bookmarkStart w:id="70" w:name="_Toc131505211"/>
      <w:r w:rsidRPr="00C5016E">
        <w:rPr>
          <w:rFonts w:cs="Arial"/>
        </w:rPr>
        <w:t>Izdaci za materijal, sitni inventar i usluge</w:t>
      </w:r>
      <w:bookmarkEnd w:id="70"/>
      <w:r w:rsidRPr="00C5016E">
        <w:rPr>
          <w:rFonts w:cs="Arial"/>
        </w:rPr>
        <w:tab/>
      </w:r>
    </w:p>
    <w:p w:rsidR="00C025DC" w:rsidRPr="00C5016E" w:rsidRDefault="00C025DC" w:rsidP="00C025DC">
      <w:r w:rsidRPr="00C5016E">
        <w:rPr>
          <w:bCs/>
        </w:rPr>
        <w:t>Izdaci za materijal, sitan inventar i usluge</w:t>
      </w:r>
      <w:r w:rsidRPr="00C5016E">
        <w:t xml:space="preserve"> iznose 96,8 </w:t>
      </w:r>
      <w:r w:rsidR="004611A5" w:rsidRPr="00C5016E">
        <w:t>milijun</w:t>
      </w:r>
      <w:r w:rsidRPr="00C5016E">
        <w:t xml:space="preserve">a KM, što je 74% planiranog u Proračunu za 2022. godinu i za 4%, odnosno za 4,5 </w:t>
      </w:r>
      <w:r w:rsidR="004611A5" w:rsidRPr="00C5016E">
        <w:t>milijun</w:t>
      </w:r>
      <w:r w:rsidRPr="00C5016E">
        <w:t xml:space="preserve">a KM manje u odnosu na izvršenje u prethodnoj godini. </w:t>
      </w:r>
    </w:p>
    <w:p w:rsidR="00C025DC" w:rsidRPr="00C5016E" w:rsidRDefault="00C025DC" w:rsidP="00C025DC">
      <w:r w:rsidRPr="00C5016E">
        <w:t>Izvršenje po glavnim kategorijama je kako slijedi:</w:t>
      </w:r>
    </w:p>
    <w:p w:rsidR="00C025DC" w:rsidRPr="00C5016E" w:rsidRDefault="00C025DC" w:rsidP="00C025DC">
      <w:pPr>
        <w:pStyle w:val="ListParagraph"/>
        <w:numPr>
          <w:ilvl w:val="0"/>
          <w:numId w:val="10"/>
        </w:numPr>
        <w:rPr>
          <w:rFonts w:ascii="Arial" w:hAnsi="Arial" w:cs="Arial"/>
          <w:lang w:val="hr-HR"/>
        </w:rPr>
      </w:pPr>
      <w:r w:rsidRPr="00C5016E">
        <w:rPr>
          <w:rFonts w:ascii="Arial" w:hAnsi="Arial" w:cs="Arial"/>
          <w:lang w:val="hr-HR"/>
        </w:rPr>
        <w:t xml:space="preserve">putni troškovi 2,0 </w:t>
      </w:r>
      <w:r w:rsidR="004611A5" w:rsidRPr="00C5016E">
        <w:rPr>
          <w:rFonts w:ascii="Arial" w:hAnsi="Arial" w:cs="Arial"/>
          <w:lang w:val="hr-HR"/>
        </w:rPr>
        <w:t>milijun</w:t>
      </w:r>
      <w:r w:rsidR="00394009" w:rsidRPr="00C5016E">
        <w:rPr>
          <w:rFonts w:ascii="Arial" w:hAnsi="Arial" w:cs="Arial"/>
          <w:lang w:val="hr-HR"/>
        </w:rPr>
        <w:t>a KM</w:t>
      </w:r>
    </w:p>
    <w:p w:rsidR="00C025DC" w:rsidRPr="00C5016E" w:rsidRDefault="00C025DC" w:rsidP="00C025DC">
      <w:pPr>
        <w:pStyle w:val="ListParagraph"/>
        <w:numPr>
          <w:ilvl w:val="0"/>
          <w:numId w:val="10"/>
        </w:numPr>
        <w:rPr>
          <w:rFonts w:ascii="Arial" w:hAnsi="Arial" w:cs="Arial"/>
          <w:lang w:val="hr-HR"/>
        </w:rPr>
      </w:pPr>
      <w:r w:rsidRPr="00C5016E">
        <w:rPr>
          <w:rFonts w:ascii="Arial" w:hAnsi="Arial" w:cs="Arial"/>
          <w:lang w:val="hr-HR"/>
        </w:rPr>
        <w:t xml:space="preserve">izdaci za energiju 7,0 </w:t>
      </w:r>
      <w:r w:rsidR="004611A5" w:rsidRPr="00C5016E">
        <w:rPr>
          <w:rFonts w:ascii="Arial" w:hAnsi="Arial" w:cs="Arial"/>
          <w:lang w:val="hr-HR"/>
        </w:rPr>
        <w:t>milijun</w:t>
      </w:r>
      <w:r w:rsidR="00394009" w:rsidRPr="00C5016E">
        <w:rPr>
          <w:rFonts w:ascii="Arial" w:hAnsi="Arial" w:cs="Arial"/>
          <w:lang w:val="hr-HR"/>
        </w:rPr>
        <w:t>a KM</w:t>
      </w:r>
    </w:p>
    <w:p w:rsidR="00C025DC" w:rsidRPr="00C5016E" w:rsidRDefault="00C025DC" w:rsidP="00C025DC">
      <w:pPr>
        <w:pStyle w:val="ListParagraph"/>
        <w:numPr>
          <w:ilvl w:val="0"/>
          <w:numId w:val="10"/>
        </w:numPr>
        <w:rPr>
          <w:rFonts w:ascii="Arial" w:hAnsi="Arial" w:cs="Arial"/>
          <w:lang w:val="hr-HR"/>
        </w:rPr>
      </w:pPr>
      <w:r w:rsidRPr="00C5016E">
        <w:rPr>
          <w:rFonts w:ascii="Arial" w:hAnsi="Arial" w:cs="Arial"/>
          <w:lang w:val="hr-HR"/>
        </w:rPr>
        <w:t xml:space="preserve">izdaci za komunalne usluge 13,5 </w:t>
      </w:r>
      <w:r w:rsidR="004611A5" w:rsidRPr="00C5016E">
        <w:rPr>
          <w:rFonts w:ascii="Arial" w:hAnsi="Arial" w:cs="Arial"/>
          <w:lang w:val="hr-HR"/>
        </w:rPr>
        <w:t>milijun</w:t>
      </w:r>
      <w:r w:rsidR="00394009" w:rsidRPr="00C5016E">
        <w:rPr>
          <w:rFonts w:ascii="Arial" w:hAnsi="Arial" w:cs="Arial"/>
          <w:lang w:val="hr-HR"/>
        </w:rPr>
        <w:t>a KM</w:t>
      </w:r>
    </w:p>
    <w:p w:rsidR="00C025DC" w:rsidRPr="00C5016E" w:rsidRDefault="00394009" w:rsidP="00C025DC">
      <w:pPr>
        <w:pStyle w:val="ListParagraph"/>
        <w:numPr>
          <w:ilvl w:val="0"/>
          <w:numId w:val="10"/>
        </w:numPr>
        <w:rPr>
          <w:rFonts w:ascii="Arial" w:hAnsi="Arial" w:cs="Arial"/>
          <w:lang w:val="hr-HR"/>
        </w:rPr>
      </w:pPr>
      <w:r w:rsidRPr="00C5016E">
        <w:rPr>
          <w:rFonts w:ascii="Arial" w:hAnsi="Arial" w:cs="Arial"/>
          <w:lang w:val="hr-HR"/>
        </w:rPr>
        <w:t>nabav</w:t>
      </w:r>
      <w:r w:rsidR="00C025DC" w:rsidRPr="00C5016E">
        <w:rPr>
          <w:rFonts w:ascii="Arial" w:hAnsi="Arial" w:cs="Arial"/>
          <w:lang w:val="hr-HR"/>
        </w:rPr>
        <w:t xml:space="preserve">a materijala i sitnog inventara 16,3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ListParagraph"/>
        <w:numPr>
          <w:ilvl w:val="0"/>
          <w:numId w:val="10"/>
        </w:numPr>
        <w:rPr>
          <w:rFonts w:ascii="Arial" w:hAnsi="Arial" w:cs="Arial"/>
          <w:lang w:val="hr-HR"/>
        </w:rPr>
      </w:pPr>
      <w:r w:rsidRPr="00C5016E">
        <w:rPr>
          <w:rFonts w:ascii="Arial" w:hAnsi="Arial" w:cs="Arial"/>
          <w:lang w:val="hr-HR"/>
        </w:rPr>
        <w:t xml:space="preserve">izdaci za usluge prijevoza i goriva 3,1 </w:t>
      </w:r>
      <w:r w:rsidR="004611A5" w:rsidRPr="00C5016E">
        <w:rPr>
          <w:rFonts w:ascii="Arial" w:hAnsi="Arial" w:cs="Arial"/>
          <w:lang w:val="hr-HR"/>
        </w:rPr>
        <w:t>milijun</w:t>
      </w:r>
      <w:r w:rsidR="00394009" w:rsidRPr="00C5016E">
        <w:rPr>
          <w:rFonts w:ascii="Arial" w:hAnsi="Arial" w:cs="Arial"/>
          <w:lang w:val="hr-HR"/>
        </w:rPr>
        <w:t xml:space="preserve"> KM</w:t>
      </w:r>
    </w:p>
    <w:p w:rsidR="00C025DC" w:rsidRPr="00C5016E" w:rsidRDefault="00C025DC" w:rsidP="00C025DC">
      <w:pPr>
        <w:pStyle w:val="ListParagraph"/>
        <w:numPr>
          <w:ilvl w:val="0"/>
          <w:numId w:val="10"/>
        </w:numPr>
        <w:rPr>
          <w:rFonts w:ascii="Arial" w:hAnsi="Arial" w:cs="Arial"/>
          <w:lang w:val="hr-HR"/>
        </w:rPr>
      </w:pPr>
      <w:r w:rsidRPr="00C5016E">
        <w:rPr>
          <w:rFonts w:ascii="Arial" w:hAnsi="Arial" w:cs="Arial"/>
          <w:lang w:val="hr-HR"/>
        </w:rPr>
        <w:t xml:space="preserve">unajmljivanje imovine, opreme i nematerijalne imovine 5,5 </w:t>
      </w:r>
      <w:r w:rsidR="004611A5" w:rsidRPr="00C5016E">
        <w:rPr>
          <w:rFonts w:ascii="Arial" w:hAnsi="Arial" w:cs="Arial"/>
          <w:lang w:val="hr-HR"/>
        </w:rPr>
        <w:t>milijun</w:t>
      </w:r>
      <w:r w:rsidR="00394009" w:rsidRPr="00C5016E">
        <w:rPr>
          <w:rFonts w:ascii="Arial" w:hAnsi="Arial" w:cs="Arial"/>
          <w:lang w:val="hr-HR"/>
        </w:rPr>
        <w:t>a KM</w:t>
      </w:r>
    </w:p>
    <w:p w:rsidR="00C025DC" w:rsidRPr="00C5016E" w:rsidRDefault="00C025DC" w:rsidP="00C025DC">
      <w:pPr>
        <w:pStyle w:val="ListParagraph"/>
        <w:numPr>
          <w:ilvl w:val="0"/>
          <w:numId w:val="10"/>
        </w:numPr>
        <w:rPr>
          <w:rFonts w:ascii="Arial" w:hAnsi="Arial" w:cs="Arial"/>
          <w:lang w:val="hr-HR"/>
        </w:rPr>
      </w:pPr>
      <w:r w:rsidRPr="00C5016E">
        <w:rPr>
          <w:rFonts w:ascii="Arial" w:hAnsi="Arial" w:cs="Arial"/>
          <w:lang w:val="hr-HR"/>
        </w:rPr>
        <w:t xml:space="preserve">izdaci za tekuće održavanje 4,7 </w:t>
      </w:r>
      <w:r w:rsidR="004611A5" w:rsidRPr="00C5016E">
        <w:rPr>
          <w:rFonts w:ascii="Arial" w:hAnsi="Arial" w:cs="Arial"/>
          <w:lang w:val="hr-HR"/>
        </w:rPr>
        <w:t>milijun</w:t>
      </w:r>
      <w:r w:rsidR="00394009" w:rsidRPr="00C5016E">
        <w:rPr>
          <w:rFonts w:ascii="Arial" w:hAnsi="Arial" w:cs="Arial"/>
          <w:lang w:val="hr-HR"/>
        </w:rPr>
        <w:t>a KM</w:t>
      </w:r>
    </w:p>
    <w:p w:rsidR="00C025DC" w:rsidRPr="00C5016E" w:rsidRDefault="00C025DC" w:rsidP="00C025DC">
      <w:pPr>
        <w:pStyle w:val="ListParagraph"/>
        <w:numPr>
          <w:ilvl w:val="0"/>
          <w:numId w:val="10"/>
        </w:numPr>
        <w:rPr>
          <w:rFonts w:ascii="Arial" w:hAnsi="Arial" w:cs="Arial"/>
          <w:lang w:val="hr-HR"/>
        </w:rPr>
      </w:pPr>
      <w:r w:rsidRPr="00C5016E">
        <w:rPr>
          <w:rFonts w:ascii="Arial" w:hAnsi="Arial" w:cs="Arial"/>
          <w:lang w:val="hr-HR"/>
        </w:rPr>
        <w:t xml:space="preserve">izdaci osiguranja, bankovnih usluga i usluga platnog prometa 2,2 </w:t>
      </w:r>
      <w:r w:rsidR="004611A5" w:rsidRPr="00C5016E">
        <w:rPr>
          <w:rFonts w:ascii="Arial" w:hAnsi="Arial" w:cs="Arial"/>
          <w:lang w:val="hr-HR"/>
        </w:rPr>
        <w:t>milijun</w:t>
      </w:r>
      <w:r w:rsidR="00394009" w:rsidRPr="00C5016E">
        <w:rPr>
          <w:rFonts w:ascii="Arial" w:hAnsi="Arial" w:cs="Arial"/>
          <w:lang w:val="hr-HR"/>
        </w:rPr>
        <w:t>a KM</w:t>
      </w:r>
    </w:p>
    <w:p w:rsidR="00C025DC" w:rsidRPr="00C5016E" w:rsidRDefault="00C025DC" w:rsidP="00C025DC">
      <w:pPr>
        <w:pStyle w:val="ListParagraph"/>
        <w:numPr>
          <w:ilvl w:val="0"/>
          <w:numId w:val="10"/>
        </w:numPr>
        <w:rPr>
          <w:rFonts w:ascii="Arial" w:hAnsi="Arial" w:cs="Arial"/>
          <w:lang w:val="hr-HR"/>
        </w:rPr>
      </w:pPr>
      <w:r w:rsidRPr="00C5016E">
        <w:rPr>
          <w:rFonts w:ascii="Arial" w:hAnsi="Arial" w:cs="Arial"/>
          <w:lang w:val="hr-HR"/>
        </w:rPr>
        <w:t xml:space="preserve">ugovorene i druge posebne usluge 25,2 </w:t>
      </w:r>
      <w:r w:rsidR="004611A5" w:rsidRPr="00C5016E">
        <w:rPr>
          <w:rFonts w:ascii="Arial" w:hAnsi="Arial" w:cs="Arial"/>
          <w:lang w:val="hr-HR"/>
        </w:rPr>
        <w:t>milijun</w:t>
      </w:r>
      <w:r w:rsidR="00394009" w:rsidRPr="00C5016E">
        <w:rPr>
          <w:rFonts w:ascii="Arial" w:hAnsi="Arial" w:cs="Arial"/>
          <w:lang w:val="hr-HR"/>
        </w:rPr>
        <w:t xml:space="preserve">a KM </w:t>
      </w:r>
    </w:p>
    <w:p w:rsidR="00C025DC" w:rsidRPr="00C5016E" w:rsidRDefault="00C025DC" w:rsidP="00C025DC">
      <w:pPr>
        <w:pStyle w:val="ListParagraph"/>
        <w:numPr>
          <w:ilvl w:val="0"/>
          <w:numId w:val="10"/>
        </w:numPr>
        <w:rPr>
          <w:rFonts w:ascii="Arial" w:hAnsi="Arial" w:cs="Arial"/>
          <w:lang w:val="hr-HR"/>
        </w:rPr>
      </w:pPr>
      <w:r w:rsidRPr="00C5016E">
        <w:rPr>
          <w:rFonts w:ascii="Arial" w:hAnsi="Arial" w:cs="Arial"/>
          <w:lang w:val="hr-HR"/>
        </w:rPr>
        <w:t>troškovi po osnov</w:t>
      </w:r>
      <w:r w:rsidR="00394009" w:rsidRPr="00C5016E">
        <w:rPr>
          <w:rFonts w:ascii="Arial" w:hAnsi="Arial" w:cs="Arial"/>
          <w:lang w:val="hr-HR"/>
        </w:rPr>
        <w:t>i</w:t>
      </w:r>
      <w:r w:rsidRPr="00C5016E">
        <w:rPr>
          <w:rFonts w:ascii="Arial" w:hAnsi="Arial" w:cs="Arial"/>
          <w:lang w:val="hr-HR"/>
        </w:rPr>
        <w:t xml:space="preserve"> sudskih tužbi, kamate plaćene na sudske presude, troškovi </w:t>
      </w:r>
      <w:r w:rsidR="00394009" w:rsidRPr="00C5016E">
        <w:rPr>
          <w:rFonts w:ascii="Arial" w:hAnsi="Arial" w:cs="Arial"/>
          <w:lang w:val="hr-HR"/>
        </w:rPr>
        <w:t>odvjetnika</w:t>
      </w:r>
      <w:r w:rsidRPr="00C5016E">
        <w:rPr>
          <w:rFonts w:ascii="Arial" w:hAnsi="Arial" w:cs="Arial"/>
          <w:lang w:val="hr-HR"/>
        </w:rPr>
        <w:t xml:space="preserve"> i sudske takse 17,3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Heading3"/>
        <w:rPr>
          <w:rFonts w:cs="Arial"/>
        </w:rPr>
      </w:pPr>
      <w:bookmarkStart w:id="71" w:name="_Toc131505212"/>
      <w:r w:rsidRPr="00C5016E">
        <w:rPr>
          <w:rFonts w:cs="Arial"/>
        </w:rPr>
        <w:t>Tekući transferi i drugi tekući rashodi</w:t>
      </w:r>
      <w:bookmarkEnd w:id="71"/>
      <w:r w:rsidRPr="00C5016E">
        <w:rPr>
          <w:rFonts w:cs="Arial"/>
        </w:rPr>
        <w:tab/>
      </w:r>
    </w:p>
    <w:p w:rsidR="00C025DC" w:rsidRPr="00C5016E" w:rsidRDefault="00C025DC" w:rsidP="00C025DC">
      <w:r w:rsidRPr="00C5016E">
        <w:t xml:space="preserve">Tekući transferi i drugi tekući rashodi, koji čine 73% ukupnog izvršenja Proračuna Federacije BiH za 2022. godinu, iznose 3.729,5 </w:t>
      </w:r>
      <w:r w:rsidR="004611A5" w:rsidRPr="00C5016E">
        <w:t>milijun</w:t>
      </w:r>
      <w:r w:rsidRPr="00C5016E">
        <w:t xml:space="preserve">a KM, što je 99% planiranog u Proračunu za 2022. godinu i za 8% odnosno za 270,2 </w:t>
      </w:r>
      <w:r w:rsidR="004611A5" w:rsidRPr="00C5016E">
        <w:t>milijun</w:t>
      </w:r>
      <w:r w:rsidRPr="00C5016E">
        <w:t xml:space="preserve">a KM više u odnosu na izvršenje u prethodnoj godini. </w:t>
      </w:r>
    </w:p>
    <w:p w:rsidR="00C025DC" w:rsidRPr="00C5016E" w:rsidRDefault="00C025DC" w:rsidP="00C025DC">
      <w:r w:rsidRPr="00C5016E">
        <w:lastRenderedPageBreak/>
        <w:t>Najveća izdvajanja po osnov</w:t>
      </w:r>
      <w:r w:rsidR="00394009" w:rsidRPr="00C5016E">
        <w:t>i</w:t>
      </w:r>
      <w:r w:rsidRPr="00C5016E">
        <w:t xml:space="preserve"> tekućih transfera i drugih tekućih rashoda odnose se na redovne mjesečne transfere:</w:t>
      </w:r>
    </w:p>
    <w:p w:rsidR="00C025DC" w:rsidRPr="00C5016E" w:rsidRDefault="00C025DC" w:rsidP="00C025DC">
      <w:pPr>
        <w:pStyle w:val="ListParagraph"/>
        <w:numPr>
          <w:ilvl w:val="0"/>
          <w:numId w:val="11"/>
        </w:numPr>
        <w:rPr>
          <w:rFonts w:ascii="Arial" w:hAnsi="Arial" w:cs="Arial"/>
          <w:szCs w:val="24"/>
          <w:lang w:val="hr-HR"/>
        </w:rPr>
      </w:pPr>
      <w:r w:rsidRPr="00C5016E">
        <w:rPr>
          <w:rFonts w:ascii="Arial" w:hAnsi="Arial" w:cs="Arial"/>
          <w:szCs w:val="24"/>
          <w:lang w:val="hr-HR"/>
        </w:rPr>
        <w:t xml:space="preserve">isplata </w:t>
      </w:r>
      <w:r w:rsidR="00394009" w:rsidRPr="00C5016E">
        <w:rPr>
          <w:rFonts w:ascii="Arial" w:hAnsi="Arial" w:cs="Arial"/>
          <w:szCs w:val="24"/>
          <w:lang w:val="hr-HR"/>
        </w:rPr>
        <w:t>mirovina</w:t>
      </w:r>
      <w:r w:rsidRPr="00C5016E">
        <w:rPr>
          <w:rFonts w:ascii="Arial" w:hAnsi="Arial" w:cs="Arial"/>
          <w:szCs w:val="24"/>
          <w:lang w:val="hr-HR"/>
        </w:rPr>
        <w:t xml:space="preserve"> 2.521,7 </w:t>
      </w:r>
      <w:r w:rsidR="004611A5" w:rsidRPr="00C5016E">
        <w:rPr>
          <w:rFonts w:ascii="Arial" w:hAnsi="Arial" w:cs="Arial"/>
          <w:szCs w:val="24"/>
          <w:lang w:val="hr-HR"/>
        </w:rPr>
        <w:t>milijun</w:t>
      </w:r>
      <w:r w:rsidRPr="00C5016E">
        <w:rPr>
          <w:rFonts w:ascii="Arial" w:hAnsi="Arial" w:cs="Arial"/>
          <w:szCs w:val="24"/>
          <w:lang w:val="hr-HR"/>
        </w:rPr>
        <w:t>a KM</w:t>
      </w:r>
    </w:p>
    <w:p w:rsidR="00C025DC" w:rsidRPr="00C5016E" w:rsidRDefault="00C025DC" w:rsidP="00C025DC">
      <w:pPr>
        <w:pStyle w:val="ListParagraph"/>
        <w:numPr>
          <w:ilvl w:val="0"/>
          <w:numId w:val="11"/>
        </w:numPr>
        <w:rPr>
          <w:rFonts w:ascii="Arial" w:hAnsi="Arial" w:cs="Arial"/>
          <w:szCs w:val="24"/>
          <w:lang w:val="hr-HR"/>
        </w:rPr>
      </w:pPr>
      <w:r w:rsidRPr="00C5016E">
        <w:rPr>
          <w:rFonts w:ascii="Arial" w:hAnsi="Arial" w:cs="Arial"/>
          <w:szCs w:val="24"/>
          <w:lang w:val="hr-HR"/>
        </w:rPr>
        <w:t xml:space="preserve">doprinosi za zdravstveno osiguranje na teret </w:t>
      </w:r>
      <w:r w:rsidR="00394009" w:rsidRPr="00C5016E">
        <w:rPr>
          <w:rFonts w:ascii="Arial" w:hAnsi="Arial" w:cs="Arial"/>
          <w:szCs w:val="24"/>
          <w:lang w:val="hr-HR"/>
        </w:rPr>
        <w:t>mirovina</w:t>
      </w:r>
      <w:r w:rsidRPr="00C5016E">
        <w:rPr>
          <w:rFonts w:ascii="Arial" w:hAnsi="Arial" w:cs="Arial"/>
          <w:szCs w:val="24"/>
          <w:lang w:val="hr-HR"/>
        </w:rPr>
        <w:t xml:space="preserve"> 29,3 </w:t>
      </w:r>
      <w:r w:rsidR="004611A5" w:rsidRPr="00C5016E">
        <w:rPr>
          <w:rFonts w:ascii="Arial" w:hAnsi="Arial" w:cs="Arial"/>
          <w:szCs w:val="24"/>
          <w:lang w:val="hr-HR"/>
        </w:rPr>
        <w:t>milijun</w:t>
      </w:r>
      <w:r w:rsidR="00394009" w:rsidRPr="00C5016E">
        <w:rPr>
          <w:rFonts w:ascii="Arial" w:hAnsi="Arial" w:cs="Arial"/>
          <w:szCs w:val="24"/>
          <w:lang w:val="hr-HR"/>
        </w:rPr>
        <w:t>a KM</w:t>
      </w:r>
    </w:p>
    <w:p w:rsidR="00C025DC" w:rsidRPr="00C5016E" w:rsidRDefault="00C025DC" w:rsidP="00C025DC">
      <w:pPr>
        <w:pStyle w:val="ListParagraph"/>
        <w:numPr>
          <w:ilvl w:val="0"/>
          <w:numId w:val="11"/>
        </w:numPr>
        <w:rPr>
          <w:rFonts w:ascii="Arial" w:hAnsi="Arial" w:cs="Arial"/>
          <w:szCs w:val="24"/>
          <w:lang w:val="hr-HR"/>
        </w:rPr>
      </w:pPr>
      <w:r w:rsidRPr="00C5016E">
        <w:rPr>
          <w:rFonts w:ascii="Arial" w:hAnsi="Arial" w:cs="Arial"/>
          <w:szCs w:val="24"/>
          <w:lang w:val="hr-HR"/>
        </w:rPr>
        <w:t xml:space="preserve">isplata naknada za fizičku onesposobljenost 2,1 </w:t>
      </w:r>
      <w:r w:rsidR="004611A5" w:rsidRPr="00C5016E">
        <w:rPr>
          <w:rFonts w:ascii="Arial" w:hAnsi="Arial" w:cs="Arial"/>
          <w:szCs w:val="24"/>
          <w:lang w:val="hr-HR"/>
        </w:rPr>
        <w:t>milijun</w:t>
      </w:r>
      <w:r w:rsidR="00394009" w:rsidRPr="00C5016E">
        <w:rPr>
          <w:rFonts w:ascii="Arial" w:hAnsi="Arial" w:cs="Arial"/>
          <w:szCs w:val="24"/>
          <w:lang w:val="hr-HR"/>
        </w:rPr>
        <w:t xml:space="preserve"> KM</w:t>
      </w:r>
    </w:p>
    <w:p w:rsidR="00C025DC" w:rsidRPr="00C5016E" w:rsidRDefault="00C025DC" w:rsidP="00C025DC">
      <w:pPr>
        <w:pStyle w:val="ListParagraph"/>
        <w:numPr>
          <w:ilvl w:val="0"/>
          <w:numId w:val="11"/>
        </w:numPr>
        <w:rPr>
          <w:rFonts w:ascii="Arial" w:hAnsi="Arial" w:cs="Arial"/>
          <w:szCs w:val="24"/>
          <w:lang w:val="hr-HR"/>
        </w:rPr>
      </w:pPr>
      <w:r w:rsidRPr="00C5016E">
        <w:rPr>
          <w:rFonts w:ascii="Arial" w:hAnsi="Arial" w:cs="Arial"/>
          <w:szCs w:val="24"/>
          <w:lang w:val="hr-HR"/>
        </w:rPr>
        <w:t xml:space="preserve">naknade za pogrebne troškove 6,0 </w:t>
      </w:r>
      <w:r w:rsidR="004611A5" w:rsidRPr="00C5016E">
        <w:rPr>
          <w:rFonts w:ascii="Arial" w:hAnsi="Arial" w:cs="Arial"/>
          <w:szCs w:val="24"/>
          <w:lang w:val="hr-HR"/>
        </w:rPr>
        <w:t>milijun</w:t>
      </w:r>
      <w:r w:rsidR="00394009" w:rsidRPr="00C5016E">
        <w:rPr>
          <w:rFonts w:ascii="Arial" w:hAnsi="Arial" w:cs="Arial"/>
          <w:szCs w:val="24"/>
          <w:lang w:val="hr-HR"/>
        </w:rPr>
        <w:t>a KM</w:t>
      </w:r>
    </w:p>
    <w:p w:rsidR="00C025DC" w:rsidRPr="00C5016E" w:rsidRDefault="00C025DC" w:rsidP="00C025DC">
      <w:pPr>
        <w:pStyle w:val="ListParagraph"/>
        <w:numPr>
          <w:ilvl w:val="0"/>
          <w:numId w:val="11"/>
        </w:numPr>
        <w:rPr>
          <w:rFonts w:ascii="Arial" w:hAnsi="Arial" w:cs="Arial"/>
          <w:szCs w:val="24"/>
          <w:lang w:val="hr-HR"/>
        </w:rPr>
      </w:pPr>
      <w:r w:rsidRPr="00C5016E">
        <w:rPr>
          <w:rFonts w:ascii="Arial" w:hAnsi="Arial" w:cs="Arial"/>
          <w:szCs w:val="24"/>
          <w:lang w:val="hr-HR"/>
        </w:rPr>
        <w:t xml:space="preserve">civilne žrtve rata 24,3 </w:t>
      </w:r>
      <w:r w:rsidR="004611A5" w:rsidRPr="00C5016E">
        <w:rPr>
          <w:rFonts w:ascii="Arial" w:hAnsi="Arial" w:cs="Arial"/>
          <w:szCs w:val="24"/>
          <w:lang w:val="hr-HR"/>
        </w:rPr>
        <w:t>milijun</w:t>
      </w:r>
      <w:r w:rsidR="00394009" w:rsidRPr="00C5016E">
        <w:rPr>
          <w:rFonts w:ascii="Arial" w:hAnsi="Arial" w:cs="Arial"/>
          <w:szCs w:val="24"/>
          <w:lang w:val="hr-HR"/>
        </w:rPr>
        <w:t>a KM</w:t>
      </w:r>
    </w:p>
    <w:p w:rsidR="00C025DC" w:rsidRPr="00C5016E" w:rsidRDefault="00C025DC" w:rsidP="00C025DC">
      <w:pPr>
        <w:pStyle w:val="ListParagraph"/>
        <w:numPr>
          <w:ilvl w:val="0"/>
          <w:numId w:val="11"/>
        </w:numPr>
        <w:rPr>
          <w:rFonts w:ascii="Arial" w:hAnsi="Arial" w:cs="Arial"/>
          <w:szCs w:val="24"/>
          <w:lang w:val="hr-HR"/>
        </w:rPr>
      </w:pPr>
      <w:r w:rsidRPr="00C5016E">
        <w:rPr>
          <w:rFonts w:ascii="Arial" w:hAnsi="Arial" w:cs="Arial"/>
          <w:szCs w:val="24"/>
          <w:lang w:val="hr-HR"/>
        </w:rPr>
        <w:t xml:space="preserve">vojne invalidnine 265,9 </w:t>
      </w:r>
      <w:r w:rsidR="004611A5" w:rsidRPr="00C5016E">
        <w:rPr>
          <w:rFonts w:ascii="Arial" w:hAnsi="Arial" w:cs="Arial"/>
          <w:szCs w:val="24"/>
          <w:lang w:val="hr-HR"/>
        </w:rPr>
        <w:t>milijun</w:t>
      </w:r>
      <w:r w:rsidR="00394009" w:rsidRPr="00C5016E">
        <w:rPr>
          <w:rFonts w:ascii="Arial" w:hAnsi="Arial" w:cs="Arial"/>
          <w:szCs w:val="24"/>
          <w:lang w:val="hr-HR"/>
        </w:rPr>
        <w:t>a KM</w:t>
      </w:r>
    </w:p>
    <w:p w:rsidR="00C025DC" w:rsidRPr="00C5016E" w:rsidRDefault="00C025DC" w:rsidP="00C025DC">
      <w:pPr>
        <w:pStyle w:val="ListParagraph"/>
        <w:numPr>
          <w:ilvl w:val="0"/>
          <w:numId w:val="11"/>
        </w:numPr>
        <w:rPr>
          <w:rFonts w:ascii="Arial" w:hAnsi="Arial" w:cs="Arial"/>
          <w:szCs w:val="24"/>
          <w:lang w:val="hr-HR"/>
        </w:rPr>
      </w:pPr>
      <w:r w:rsidRPr="00C5016E">
        <w:rPr>
          <w:rFonts w:ascii="Arial" w:hAnsi="Arial" w:cs="Arial"/>
          <w:szCs w:val="24"/>
          <w:lang w:val="hr-HR"/>
        </w:rPr>
        <w:t xml:space="preserve">Transfer za implementaciju Zakona o pravima demobiliziranih </w:t>
      </w:r>
      <w:r w:rsidR="00394009" w:rsidRPr="00C5016E">
        <w:rPr>
          <w:rFonts w:ascii="Arial" w:hAnsi="Arial" w:cs="Arial"/>
          <w:szCs w:val="24"/>
          <w:lang w:val="hr-HR"/>
        </w:rPr>
        <w:t>branitelja</w:t>
      </w:r>
      <w:r w:rsidRPr="00C5016E">
        <w:rPr>
          <w:rFonts w:ascii="Arial" w:hAnsi="Arial" w:cs="Arial"/>
          <w:szCs w:val="24"/>
          <w:lang w:val="hr-HR"/>
        </w:rPr>
        <w:t xml:space="preserve"> – novčana egzistencijalna naknada 50,9 </w:t>
      </w:r>
      <w:r w:rsidR="004611A5" w:rsidRPr="00C5016E">
        <w:rPr>
          <w:rFonts w:ascii="Arial" w:hAnsi="Arial" w:cs="Arial"/>
          <w:szCs w:val="24"/>
          <w:lang w:val="hr-HR"/>
        </w:rPr>
        <w:t>milijun</w:t>
      </w:r>
      <w:r w:rsidR="00394009" w:rsidRPr="00C5016E">
        <w:rPr>
          <w:rFonts w:ascii="Arial" w:hAnsi="Arial" w:cs="Arial"/>
          <w:szCs w:val="24"/>
          <w:lang w:val="hr-HR"/>
        </w:rPr>
        <w:t>a KM</w:t>
      </w:r>
    </w:p>
    <w:p w:rsidR="00C025DC" w:rsidRPr="00C5016E" w:rsidRDefault="00C025DC" w:rsidP="00C025DC">
      <w:pPr>
        <w:pStyle w:val="ListParagraph"/>
        <w:numPr>
          <w:ilvl w:val="0"/>
          <w:numId w:val="11"/>
        </w:numPr>
        <w:rPr>
          <w:rFonts w:ascii="Arial" w:hAnsi="Arial" w:cs="Arial"/>
          <w:szCs w:val="24"/>
          <w:lang w:val="hr-HR"/>
        </w:rPr>
      </w:pPr>
      <w:r w:rsidRPr="00C5016E">
        <w:rPr>
          <w:rFonts w:ascii="Arial" w:hAnsi="Arial" w:cs="Arial"/>
          <w:szCs w:val="24"/>
          <w:lang w:val="hr-HR"/>
        </w:rPr>
        <w:t xml:space="preserve">Transfer za implementaciju Zakona o posebnim pravima dobitnika ratnih </w:t>
      </w:r>
      <w:r w:rsidR="00394009" w:rsidRPr="00C5016E">
        <w:rPr>
          <w:rFonts w:ascii="Arial" w:hAnsi="Arial" w:cs="Arial"/>
          <w:szCs w:val="24"/>
          <w:lang w:val="hr-HR"/>
        </w:rPr>
        <w:t>odličja</w:t>
      </w:r>
      <w:r w:rsidRPr="00C5016E">
        <w:rPr>
          <w:rFonts w:ascii="Arial" w:hAnsi="Arial" w:cs="Arial"/>
          <w:szCs w:val="24"/>
          <w:lang w:val="hr-HR"/>
        </w:rPr>
        <w:t xml:space="preserve"> 16,4 </w:t>
      </w:r>
      <w:r w:rsidR="004611A5" w:rsidRPr="00C5016E">
        <w:rPr>
          <w:rFonts w:ascii="Arial" w:hAnsi="Arial" w:cs="Arial"/>
          <w:szCs w:val="24"/>
          <w:lang w:val="hr-HR"/>
        </w:rPr>
        <w:t>milijun</w:t>
      </w:r>
      <w:r w:rsidR="00394009" w:rsidRPr="00C5016E">
        <w:rPr>
          <w:rFonts w:ascii="Arial" w:hAnsi="Arial" w:cs="Arial"/>
          <w:szCs w:val="24"/>
          <w:lang w:val="hr-HR"/>
        </w:rPr>
        <w:t xml:space="preserve">a KM </w:t>
      </w:r>
    </w:p>
    <w:p w:rsidR="00C025DC" w:rsidRPr="00C5016E" w:rsidRDefault="00C025DC" w:rsidP="00C025DC">
      <w:pPr>
        <w:pStyle w:val="ListParagraph"/>
        <w:numPr>
          <w:ilvl w:val="0"/>
          <w:numId w:val="11"/>
        </w:numPr>
        <w:rPr>
          <w:rFonts w:ascii="Arial" w:hAnsi="Arial" w:cs="Arial"/>
          <w:szCs w:val="24"/>
          <w:lang w:val="hr-HR"/>
        </w:rPr>
      </w:pPr>
      <w:r w:rsidRPr="00C5016E">
        <w:rPr>
          <w:rFonts w:ascii="Arial" w:hAnsi="Arial" w:cs="Arial"/>
          <w:szCs w:val="24"/>
          <w:lang w:val="hr-HR"/>
        </w:rPr>
        <w:t xml:space="preserve">civilne invalidnine 139,1 </w:t>
      </w:r>
      <w:r w:rsidR="004611A5" w:rsidRPr="00C5016E">
        <w:rPr>
          <w:rFonts w:ascii="Arial" w:hAnsi="Arial" w:cs="Arial"/>
          <w:szCs w:val="24"/>
          <w:lang w:val="hr-HR"/>
        </w:rPr>
        <w:t>milijun</w:t>
      </w:r>
      <w:r w:rsidRPr="00C5016E">
        <w:rPr>
          <w:rFonts w:ascii="Arial" w:hAnsi="Arial" w:cs="Arial"/>
          <w:szCs w:val="24"/>
          <w:lang w:val="hr-HR"/>
        </w:rPr>
        <w:t xml:space="preserve"> KM.</w:t>
      </w:r>
    </w:p>
    <w:p w:rsidR="00C025DC" w:rsidRPr="00C5016E" w:rsidRDefault="00C025DC" w:rsidP="00C025DC">
      <w:r w:rsidRPr="00C5016E">
        <w:t>Važno je napomenuti da su za Federalni zavod za zapošljav</w:t>
      </w:r>
      <w:r w:rsidR="003D76CB" w:rsidRPr="00C5016E">
        <w:t>anje iz sredstava IBRD - projek</w:t>
      </w:r>
      <w:r w:rsidRPr="00C5016E">
        <w:t xml:space="preserve">t zapošljavanja izdvojena sredstva u iznosu od 3,52 </w:t>
      </w:r>
      <w:r w:rsidR="004611A5" w:rsidRPr="00C5016E">
        <w:t>milijun</w:t>
      </w:r>
      <w:r w:rsidRPr="00C5016E">
        <w:t>a KM i da je na ime transfera za raseljen</w:t>
      </w:r>
      <w:r w:rsidR="003D76CB" w:rsidRPr="00C5016E">
        <w:t>e</w:t>
      </w:r>
      <w:r w:rsidRPr="00C5016E">
        <w:t xml:space="preserve"> i izbjegl</w:t>
      </w:r>
      <w:r w:rsidR="003D76CB" w:rsidRPr="00C5016E">
        <w:t>e</w:t>
      </w:r>
      <w:r w:rsidRPr="00C5016E">
        <w:t xml:space="preserve"> </w:t>
      </w:r>
      <w:r w:rsidR="003D76CB" w:rsidRPr="00C5016E">
        <w:t>osobe</w:t>
      </w:r>
      <w:r w:rsidRPr="00C5016E">
        <w:t xml:space="preserve"> izdvojena sredstva u iznosu od 40,4 </w:t>
      </w:r>
      <w:r w:rsidR="004611A5" w:rsidRPr="00C5016E">
        <w:t>milijun</w:t>
      </w:r>
      <w:r w:rsidRPr="00C5016E">
        <w:t>a KM.</w:t>
      </w:r>
    </w:p>
    <w:p w:rsidR="00C025DC" w:rsidRPr="00C5016E" w:rsidRDefault="00C025DC" w:rsidP="00C025DC">
      <w:pPr>
        <w:pStyle w:val="Heading4"/>
      </w:pPr>
      <w:bookmarkStart w:id="72" w:name="_Toc131505213"/>
      <w:r w:rsidRPr="00C5016E">
        <w:t xml:space="preserve">Transfer drugim </w:t>
      </w:r>
      <w:r w:rsidR="003D76CB" w:rsidRPr="00C5016E">
        <w:t xml:space="preserve">razinama </w:t>
      </w:r>
      <w:r w:rsidRPr="00C5016E">
        <w:t>vlasti</w:t>
      </w:r>
      <w:bookmarkEnd w:id="72"/>
    </w:p>
    <w:p w:rsidR="00C025DC" w:rsidRPr="00C5016E" w:rsidRDefault="00C025DC" w:rsidP="00C025DC">
      <w:r w:rsidRPr="00C5016E">
        <w:t xml:space="preserve">Proračunom za 2022. godinu Federalnom ministarstvu rada i socijalne politike odobrena su sredstva na poziciji 614100 - Tekući transferi drugim </w:t>
      </w:r>
      <w:r w:rsidR="003D76CB" w:rsidRPr="00C5016E">
        <w:t>razinama</w:t>
      </w:r>
      <w:r w:rsidRPr="00C5016E">
        <w:t xml:space="preserve"> vlasti i fondovima – sredstva na ime verifikacije duga prema Federalnom zavodu PIO/MIO i isti je </w:t>
      </w:r>
      <w:r w:rsidR="003D76CB" w:rsidRPr="00C5016E">
        <w:t>realiziran</w:t>
      </w:r>
      <w:r w:rsidRPr="00C5016E">
        <w:t xml:space="preserve"> u okviru Jedinstvenog računa </w:t>
      </w:r>
      <w:r w:rsidR="003D76CB" w:rsidRPr="00C5016E">
        <w:t>Riznice</w:t>
      </w:r>
      <w:r w:rsidRPr="00C5016E">
        <w:t xml:space="preserve"> u iznosu od 27,32 </w:t>
      </w:r>
      <w:r w:rsidR="004611A5" w:rsidRPr="00C5016E">
        <w:t>milijun</w:t>
      </w:r>
      <w:r w:rsidRPr="00C5016E">
        <w:t xml:space="preserve">a KM. </w:t>
      </w:r>
    </w:p>
    <w:p w:rsidR="00C025DC" w:rsidRPr="00C5016E" w:rsidRDefault="00C025DC" w:rsidP="00C025DC">
      <w:pPr>
        <w:rPr>
          <w:rFonts w:cs="Arial"/>
          <w:szCs w:val="24"/>
        </w:rPr>
      </w:pPr>
      <w:r w:rsidRPr="00C5016E">
        <w:rPr>
          <w:rFonts w:cs="Arial"/>
          <w:szCs w:val="24"/>
        </w:rPr>
        <w:t xml:space="preserve">Na </w:t>
      </w:r>
      <w:r w:rsidR="003D76CB" w:rsidRPr="00C5016E">
        <w:rPr>
          <w:rFonts w:cs="Arial"/>
          <w:szCs w:val="24"/>
        </w:rPr>
        <w:t>temelju</w:t>
      </w:r>
      <w:r w:rsidRPr="00C5016E">
        <w:rPr>
          <w:rFonts w:cs="Arial"/>
          <w:szCs w:val="24"/>
        </w:rPr>
        <w:t xml:space="preserve"> Odluke o raspodjeli sredstava utvrđenih Proračun</w:t>
      </w:r>
      <w:r w:rsidR="003D76CB" w:rsidRPr="00C5016E">
        <w:rPr>
          <w:rFonts w:cs="Arial"/>
          <w:szCs w:val="24"/>
        </w:rPr>
        <w:t>om FBiH za 2022. godinu s</w:t>
      </w:r>
      <w:r w:rsidRPr="00C5016E">
        <w:rPr>
          <w:rFonts w:cs="Arial"/>
          <w:szCs w:val="24"/>
        </w:rPr>
        <w:t xml:space="preserve"> ekonomskog koda „Tekući transferi drugim </w:t>
      </w:r>
      <w:r w:rsidR="003D76CB" w:rsidRPr="00C5016E">
        <w:rPr>
          <w:rFonts w:cs="Arial"/>
          <w:szCs w:val="24"/>
        </w:rPr>
        <w:t>razinama</w:t>
      </w:r>
      <w:r w:rsidRPr="00C5016E">
        <w:rPr>
          <w:rFonts w:cs="Arial"/>
          <w:szCs w:val="24"/>
        </w:rPr>
        <w:t xml:space="preserve"> vlasti i fondovima - kantoni", V. broj: 748/2022 od 26. </w:t>
      </w:r>
      <w:r w:rsidR="003D76CB" w:rsidRPr="00C5016E">
        <w:rPr>
          <w:rFonts w:cs="Arial"/>
          <w:szCs w:val="24"/>
        </w:rPr>
        <w:t xml:space="preserve">svibnja </w:t>
      </w:r>
      <w:r w:rsidRPr="00C5016E">
        <w:rPr>
          <w:rFonts w:cs="Arial"/>
          <w:szCs w:val="24"/>
        </w:rPr>
        <w:t xml:space="preserve">2022. („Službene novine Federacije BiH“, broj: 41/22) doznačena su sredstva kantonima u iznosu od 200 </w:t>
      </w:r>
      <w:r w:rsidR="004611A5" w:rsidRPr="00C5016E">
        <w:rPr>
          <w:rFonts w:cs="Arial"/>
          <w:szCs w:val="24"/>
        </w:rPr>
        <w:t>milijun</w:t>
      </w:r>
      <w:r w:rsidRPr="00C5016E">
        <w:rPr>
          <w:rFonts w:cs="Arial"/>
          <w:szCs w:val="24"/>
        </w:rPr>
        <w:t>a KM na ime financijske pomoći proračunima kantona za provođenje strukturnih reformi i financiranje/sufinanciranje infrastrukturnih projekata, koji su od značaja za Federaciju Bosne i Hercegovine u omjeru 50%:50%.</w:t>
      </w:r>
    </w:p>
    <w:p w:rsidR="00C025DC" w:rsidRPr="00C5016E" w:rsidRDefault="00C025DC" w:rsidP="00C025DC">
      <w:pPr>
        <w:rPr>
          <w:rFonts w:cs="Arial"/>
          <w:szCs w:val="20"/>
          <w:shd w:val="clear" w:color="auto" w:fill="FFFFFF"/>
        </w:rPr>
      </w:pPr>
      <w:r w:rsidRPr="00C5016E">
        <w:rPr>
          <w:rFonts w:cs="Arial"/>
          <w:szCs w:val="24"/>
        </w:rPr>
        <w:t>Odlukom o raspodjeli sredstava utvrđenih Proračun</w:t>
      </w:r>
      <w:r w:rsidR="003D76CB" w:rsidRPr="00C5016E">
        <w:rPr>
          <w:rFonts w:cs="Arial"/>
          <w:szCs w:val="24"/>
        </w:rPr>
        <w:t>om FBiH za 2022. godinu s</w:t>
      </w:r>
      <w:r w:rsidRPr="00C5016E">
        <w:rPr>
          <w:rFonts w:cs="Arial"/>
          <w:szCs w:val="24"/>
        </w:rPr>
        <w:t xml:space="preserve"> ekonomskog koda „Tekući transferi drugim </w:t>
      </w:r>
      <w:r w:rsidR="003D76CB" w:rsidRPr="00C5016E">
        <w:rPr>
          <w:rFonts w:cs="Arial"/>
          <w:szCs w:val="24"/>
        </w:rPr>
        <w:t>razinama</w:t>
      </w:r>
      <w:r w:rsidRPr="00C5016E">
        <w:rPr>
          <w:rFonts w:cs="Arial"/>
          <w:szCs w:val="24"/>
        </w:rPr>
        <w:t xml:space="preserve"> vlasti i fondovima – kan</w:t>
      </w:r>
      <w:r w:rsidR="003D76CB" w:rsidRPr="00C5016E">
        <w:rPr>
          <w:rFonts w:cs="Arial"/>
          <w:szCs w:val="24"/>
        </w:rPr>
        <w:t xml:space="preserve">toni I općine", od </w:t>
      </w:r>
      <w:r w:rsidRPr="00C5016E">
        <w:rPr>
          <w:rFonts w:cs="Arial"/>
          <w:szCs w:val="24"/>
        </w:rPr>
        <w:t xml:space="preserve">8. </w:t>
      </w:r>
      <w:r w:rsidR="003D76CB" w:rsidRPr="00C5016E">
        <w:rPr>
          <w:rFonts w:cs="Arial"/>
          <w:szCs w:val="24"/>
        </w:rPr>
        <w:t>kolovoza</w:t>
      </w:r>
      <w:r w:rsidRPr="00C5016E">
        <w:rPr>
          <w:rFonts w:cs="Arial"/>
          <w:szCs w:val="24"/>
        </w:rPr>
        <w:t xml:space="preserve"> 2022. („Službene novine Federacije BiH“, broj: 63/22) doznačena su sredstva općinama u iznosu od 10 </w:t>
      </w:r>
      <w:r w:rsidR="004611A5" w:rsidRPr="00C5016E">
        <w:rPr>
          <w:rFonts w:cs="Arial"/>
          <w:szCs w:val="24"/>
        </w:rPr>
        <w:t>milijun</w:t>
      </w:r>
      <w:r w:rsidRPr="00C5016E">
        <w:rPr>
          <w:rFonts w:cs="Arial"/>
          <w:szCs w:val="24"/>
        </w:rPr>
        <w:t xml:space="preserve">a KM </w:t>
      </w:r>
      <w:r w:rsidRPr="00C5016E">
        <w:rPr>
          <w:rFonts w:cs="Arial"/>
          <w:szCs w:val="20"/>
          <w:shd w:val="clear" w:color="auto" w:fill="FFFFFF"/>
        </w:rPr>
        <w:t>za sanaciju posljedica nastalih uslijed proglašene pandemije COVID-19 i za financiranje/sufinanciranje pro</w:t>
      </w:r>
      <w:r w:rsidR="003D76CB" w:rsidRPr="00C5016E">
        <w:rPr>
          <w:rFonts w:cs="Arial"/>
          <w:szCs w:val="20"/>
          <w:shd w:val="clear" w:color="auto" w:fill="FFFFFF"/>
        </w:rPr>
        <w:t>jekata/zahtjeva/</w:t>
      </w:r>
      <w:r w:rsidRPr="00C5016E">
        <w:rPr>
          <w:rFonts w:cs="Arial"/>
          <w:szCs w:val="20"/>
          <w:shd w:val="clear" w:color="auto" w:fill="FFFFFF"/>
        </w:rPr>
        <w:t>inicijativa koji će biti implementirani u jedinicama lokalne samouprave.</w:t>
      </w:r>
    </w:p>
    <w:p w:rsidR="00C025DC" w:rsidRPr="00C5016E" w:rsidRDefault="00C025DC" w:rsidP="00C025DC">
      <w:pPr>
        <w:rPr>
          <w:rFonts w:cs="Arial"/>
          <w:sz w:val="32"/>
          <w:szCs w:val="24"/>
          <w:highlight w:val="yellow"/>
        </w:rPr>
      </w:pPr>
    </w:p>
    <w:p w:rsidR="00C025DC" w:rsidRPr="00C5016E" w:rsidRDefault="00C025DC" w:rsidP="00C025DC">
      <w:pPr>
        <w:pStyle w:val="Heading4"/>
      </w:pPr>
      <w:bookmarkStart w:id="73" w:name="_Toc131505214"/>
      <w:r w:rsidRPr="00C5016E">
        <w:lastRenderedPageBreak/>
        <w:t>Transfer za zdravstvo</w:t>
      </w:r>
      <w:bookmarkEnd w:id="73"/>
    </w:p>
    <w:p w:rsidR="00C025DC" w:rsidRPr="00C5016E" w:rsidRDefault="00C025DC" w:rsidP="00C025DC">
      <w:pPr>
        <w:rPr>
          <w:rFonts w:cs="Arial"/>
          <w:szCs w:val="24"/>
        </w:rPr>
      </w:pPr>
      <w:r w:rsidRPr="00C5016E">
        <w:rPr>
          <w:rFonts w:cs="Arial"/>
          <w:szCs w:val="24"/>
        </w:rPr>
        <w:t xml:space="preserve">Što se tiče transfera za zdravstvo ukupno su izdvojena sredstva u iznosu od 107,9 </w:t>
      </w:r>
      <w:r w:rsidR="004611A5" w:rsidRPr="00C5016E">
        <w:rPr>
          <w:rFonts w:cs="Arial"/>
          <w:szCs w:val="24"/>
        </w:rPr>
        <w:t>milijun</w:t>
      </w:r>
      <w:r w:rsidRPr="00C5016E">
        <w:rPr>
          <w:rFonts w:cs="Arial"/>
          <w:szCs w:val="24"/>
        </w:rPr>
        <w:t xml:space="preserve">a KM, a najznačajniji su: </w:t>
      </w:r>
    </w:p>
    <w:p w:rsidR="00C025DC" w:rsidRPr="00C5016E" w:rsidRDefault="00C025DC" w:rsidP="00C025DC">
      <w:pPr>
        <w:pStyle w:val="ListParagraph"/>
        <w:numPr>
          <w:ilvl w:val="0"/>
          <w:numId w:val="37"/>
        </w:numPr>
        <w:rPr>
          <w:rFonts w:ascii="Arial" w:hAnsi="Arial" w:cs="Arial"/>
          <w:szCs w:val="24"/>
          <w:lang w:val="hr-HR"/>
        </w:rPr>
      </w:pPr>
      <w:r w:rsidRPr="00C5016E">
        <w:rPr>
          <w:rFonts w:ascii="Arial" w:hAnsi="Arial" w:cs="Arial"/>
          <w:szCs w:val="24"/>
          <w:lang w:val="hr-HR"/>
        </w:rPr>
        <w:t xml:space="preserve">transfer Zavodu zdravstvenog osiguranja i reosiguranja Federacije BiH u iznosu od 28,5 </w:t>
      </w:r>
      <w:r w:rsidR="004611A5" w:rsidRPr="00C5016E">
        <w:rPr>
          <w:rFonts w:ascii="Arial" w:hAnsi="Arial" w:cs="Arial"/>
          <w:szCs w:val="24"/>
          <w:lang w:val="hr-HR"/>
        </w:rPr>
        <w:t>milijun</w:t>
      </w:r>
      <w:r w:rsidR="003D76CB" w:rsidRPr="00C5016E">
        <w:rPr>
          <w:rFonts w:ascii="Arial" w:hAnsi="Arial" w:cs="Arial"/>
          <w:szCs w:val="24"/>
          <w:lang w:val="hr-HR"/>
        </w:rPr>
        <w:t>a KM</w:t>
      </w:r>
    </w:p>
    <w:p w:rsidR="00C025DC" w:rsidRPr="00C5016E" w:rsidRDefault="00C025DC" w:rsidP="00C025DC">
      <w:pPr>
        <w:pStyle w:val="ListParagraph"/>
        <w:numPr>
          <w:ilvl w:val="0"/>
          <w:numId w:val="37"/>
        </w:numPr>
        <w:rPr>
          <w:rFonts w:ascii="Arial" w:hAnsi="Arial" w:cs="Arial"/>
          <w:szCs w:val="24"/>
          <w:lang w:val="hr-HR"/>
        </w:rPr>
      </w:pPr>
      <w:r w:rsidRPr="00C5016E">
        <w:rPr>
          <w:rFonts w:ascii="Arial" w:hAnsi="Arial" w:cs="Arial"/>
          <w:lang w:val="hr-HR"/>
        </w:rPr>
        <w:t xml:space="preserve">transfer </w:t>
      </w:r>
      <w:r w:rsidRPr="00C5016E">
        <w:rPr>
          <w:rFonts w:ascii="Arial" w:hAnsi="Arial" w:cs="Arial"/>
          <w:szCs w:val="24"/>
          <w:lang w:val="hr-HR"/>
        </w:rPr>
        <w:t xml:space="preserve">za sanaciju zdravstvenih ustanova u Federaciji BiH (bolnice, domovi zdravlja, klinički centri...) 76,1 </w:t>
      </w:r>
      <w:r w:rsidR="004611A5" w:rsidRPr="00C5016E">
        <w:rPr>
          <w:rFonts w:ascii="Arial" w:hAnsi="Arial" w:cs="Arial"/>
          <w:szCs w:val="24"/>
          <w:lang w:val="hr-HR"/>
        </w:rPr>
        <w:t>milijun</w:t>
      </w:r>
      <w:r w:rsidR="003D76CB" w:rsidRPr="00C5016E">
        <w:rPr>
          <w:rFonts w:ascii="Arial" w:hAnsi="Arial" w:cs="Arial"/>
          <w:szCs w:val="24"/>
          <w:lang w:val="hr-HR"/>
        </w:rPr>
        <w:t xml:space="preserve"> KM</w:t>
      </w:r>
      <w:r w:rsidRPr="00C5016E">
        <w:rPr>
          <w:rFonts w:ascii="Arial" w:hAnsi="Arial" w:cs="Arial"/>
          <w:szCs w:val="24"/>
          <w:lang w:val="hr-HR"/>
        </w:rPr>
        <w:t xml:space="preserve"> </w:t>
      </w:r>
    </w:p>
    <w:p w:rsidR="00C025DC" w:rsidRPr="00C5016E" w:rsidRDefault="00C025DC" w:rsidP="00C025DC">
      <w:pPr>
        <w:pStyle w:val="ListParagraph"/>
        <w:numPr>
          <w:ilvl w:val="0"/>
          <w:numId w:val="37"/>
        </w:numPr>
        <w:rPr>
          <w:rFonts w:ascii="Arial" w:hAnsi="Arial" w:cs="Arial"/>
          <w:lang w:val="hr-HR"/>
        </w:rPr>
      </w:pPr>
      <w:r w:rsidRPr="00C5016E">
        <w:rPr>
          <w:rFonts w:ascii="Arial" w:hAnsi="Arial" w:cs="Arial"/>
          <w:szCs w:val="24"/>
          <w:lang w:val="hr-HR"/>
        </w:rPr>
        <w:t xml:space="preserve">ostali transferi za zdravstvo u iznosu od 3,3 </w:t>
      </w:r>
      <w:r w:rsidR="004611A5" w:rsidRPr="00C5016E">
        <w:rPr>
          <w:rFonts w:ascii="Arial" w:hAnsi="Arial" w:cs="Arial"/>
          <w:szCs w:val="24"/>
          <w:lang w:val="hr-HR"/>
        </w:rPr>
        <w:t>milijun</w:t>
      </w:r>
      <w:r w:rsidRPr="00C5016E">
        <w:rPr>
          <w:rFonts w:ascii="Arial" w:hAnsi="Arial" w:cs="Arial"/>
          <w:szCs w:val="24"/>
          <w:lang w:val="hr-HR"/>
        </w:rPr>
        <w:t>a KM</w:t>
      </w:r>
      <w:r w:rsidR="003D76CB" w:rsidRPr="00C5016E">
        <w:rPr>
          <w:rFonts w:ascii="Arial" w:hAnsi="Arial" w:cs="Arial"/>
          <w:szCs w:val="24"/>
          <w:lang w:val="hr-HR"/>
        </w:rPr>
        <w:t>.</w:t>
      </w:r>
      <w:r w:rsidRPr="00C5016E">
        <w:rPr>
          <w:rFonts w:ascii="Arial" w:hAnsi="Arial" w:cs="Arial"/>
          <w:szCs w:val="24"/>
          <w:lang w:val="hr-HR"/>
        </w:rPr>
        <w:t xml:space="preserve"> </w:t>
      </w:r>
    </w:p>
    <w:p w:rsidR="00C025DC" w:rsidRPr="00C5016E" w:rsidRDefault="00C025DC" w:rsidP="00C025DC">
      <w:pPr>
        <w:pStyle w:val="Heading4"/>
      </w:pPr>
      <w:bookmarkStart w:id="74" w:name="_Toc131505215"/>
      <w:r w:rsidRPr="00C5016E">
        <w:t>Transfer neprofitnim organizacijama</w:t>
      </w:r>
      <w:bookmarkEnd w:id="74"/>
    </w:p>
    <w:p w:rsidR="00C025DC" w:rsidRPr="00C5016E" w:rsidRDefault="00C025DC" w:rsidP="00C025DC">
      <w:r w:rsidRPr="00C5016E">
        <w:t xml:space="preserve">Transfer neprofitnim organizacijama u izvještajnom </w:t>
      </w:r>
      <w:r w:rsidR="003D76CB" w:rsidRPr="00C5016E">
        <w:t>razdoblju</w:t>
      </w:r>
      <w:r w:rsidRPr="00C5016E">
        <w:t xml:space="preserve"> iznosio je 22,3 </w:t>
      </w:r>
      <w:r w:rsidR="004611A5" w:rsidRPr="00C5016E">
        <w:t>milijun</w:t>
      </w:r>
      <w:r w:rsidRPr="00C5016E">
        <w:t xml:space="preserve">a KM, što je 85% planiranog Proračunom Federacije BiH za 2022. godinu i za 35% ili 5,80 </w:t>
      </w:r>
      <w:r w:rsidR="004611A5" w:rsidRPr="00C5016E">
        <w:t>milijun</w:t>
      </w:r>
      <w:r w:rsidRPr="00C5016E">
        <w:t>a KM više u odnosu na izvršenje u prethodnoj godini. Kad</w:t>
      </w:r>
      <w:r w:rsidR="003D76CB" w:rsidRPr="00C5016E">
        <w:t>a</w:t>
      </w:r>
      <w:r w:rsidRPr="00C5016E">
        <w:t xml:space="preserve"> su u pitanju transferi neprofitnim organizacijama ističemo neke od </w:t>
      </w:r>
      <w:r w:rsidR="003D76CB" w:rsidRPr="00C5016E">
        <w:t>realiziranih</w:t>
      </w:r>
      <w:r w:rsidRPr="00C5016E">
        <w:t xml:space="preserve"> transfera:</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transfer za financiranje političkih stranaka - 3,80 </w:t>
      </w:r>
      <w:r w:rsidR="004611A5" w:rsidRPr="00C5016E">
        <w:rPr>
          <w:rFonts w:ascii="Arial" w:hAnsi="Arial" w:cs="Arial"/>
          <w:lang w:val="hr-HR"/>
        </w:rPr>
        <w:t>milijun</w:t>
      </w:r>
      <w:r w:rsidRPr="00C5016E">
        <w:rPr>
          <w:rFonts w:ascii="Arial" w:hAnsi="Arial" w:cs="Arial"/>
          <w:lang w:val="hr-HR"/>
        </w:rPr>
        <w:t xml:space="preserve">a KM </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transfer financiran iz sredstava PTR - prikupljanje prihoda ostvarenih od prometa Lutrije BiH i naknada od priređivanja igara na sreću – 3,54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transfer Institutu za medicinsko vještačenje zdravstvenog stanja - 1,80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transfer za sufinanciranje rada ustanova socijalne zaštite za zbrinjavanje na </w:t>
      </w:r>
      <w:r w:rsidR="003D76CB" w:rsidRPr="00C5016E">
        <w:rPr>
          <w:rFonts w:ascii="Arial" w:hAnsi="Arial" w:cs="Arial"/>
          <w:lang w:val="hr-HR"/>
        </w:rPr>
        <w:t xml:space="preserve">razini </w:t>
      </w:r>
      <w:r w:rsidRPr="00C5016E">
        <w:rPr>
          <w:rFonts w:ascii="Arial" w:hAnsi="Arial" w:cs="Arial"/>
          <w:lang w:val="hr-HR"/>
        </w:rPr>
        <w:t xml:space="preserve">Federacije BiH - 1,35 </w:t>
      </w:r>
      <w:r w:rsidR="004611A5" w:rsidRPr="00C5016E">
        <w:rPr>
          <w:rFonts w:ascii="Arial" w:hAnsi="Arial" w:cs="Arial"/>
          <w:lang w:val="hr-HR"/>
        </w:rPr>
        <w:t>milijun</w:t>
      </w:r>
      <w:r w:rsidR="003D76CB" w:rsidRPr="00C5016E">
        <w:rPr>
          <w:rFonts w:ascii="Arial" w:hAnsi="Arial" w:cs="Arial"/>
          <w:lang w:val="hr-HR"/>
        </w:rPr>
        <w:t xml:space="preserve"> KM</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Crveni krst/križ Federacije BiH - 0,46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podrška fondaciji za stambeno zbrinjavanje RVI i b</w:t>
      </w:r>
      <w:r w:rsidR="003D76CB" w:rsidRPr="00C5016E">
        <w:rPr>
          <w:rFonts w:ascii="Arial" w:hAnsi="Arial" w:cs="Arial"/>
          <w:lang w:val="hr-HR"/>
        </w:rPr>
        <w:t>raniteljsku</w:t>
      </w:r>
      <w:r w:rsidRPr="00C5016E">
        <w:rPr>
          <w:rFonts w:ascii="Arial" w:hAnsi="Arial" w:cs="Arial"/>
          <w:lang w:val="hr-HR"/>
        </w:rPr>
        <w:t xml:space="preserve"> populaciju - 0,2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transfer za obilježavanje značajnih datuma – 0,2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pomoć umirovljenicima/penzionerima za liječenje preko udruga - 0,47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transfer udruženjima građana - 1,1 </w:t>
      </w:r>
      <w:r w:rsidR="004611A5" w:rsidRPr="00C5016E">
        <w:rPr>
          <w:rFonts w:ascii="Arial" w:hAnsi="Arial" w:cs="Arial"/>
          <w:lang w:val="hr-HR"/>
        </w:rPr>
        <w:t>milijun</w:t>
      </w:r>
      <w:r w:rsidR="003D76CB" w:rsidRPr="00C5016E">
        <w:rPr>
          <w:rFonts w:ascii="Arial" w:hAnsi="Arial" w:cs="Arial"/>
          <w:lang w:val="hr-HR"/>
        </w:rPr>
        <w:t xml:space="preserve"> KM</w:t>
      </w:r>
      <w:r w:rsidRPr="00C5016E">
        <w:rPr>
          <w:rFonts w:ascii="Arial" w:hAnsi="Arial" w:cs="Arial"/>
          <w:lang w:val="hr-HR"/>
        </w:rPr>
        <w:t xml:space="preserve"> </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transfer za oblast </w:t>
      </w:r>
      <w:r w:rsidR="003D76CB" w:rsidRPr="00C5016E">
        <w:rPr>
          <w:rFonts w:ascii="Arial" w:hAnsi="Arial" w:cs="Arial"/>
          <w:lang w:val="hr-HR"/>
        </w:rPr>
        <w:t>znanosti</w:t>
      </w:r>
      <w:r w:rsidRPr="00C5016E">
        <w:rPr>
          <w:rFonts w:ascii="Arial" w:hAnsi="Arial" w:cs="Arial"/>
          <w:lang w:val="hr-HR"/>
        </w:rPr>
        <w:t xml:space="preserve"> od značaja za Federaciju BiH – 2,4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transfer za kulturna društva - 1,05 </w:t>
      </w:r>
      <w:r w:rsidR="004611A5" w:rsidRPr="00C5016E">
        <w:rPr>
          <w:rFonts w:ascii="Arial" w:hAnsi="Arial" w:cs="Arial"/>
          <w:lang w:val="hr-HR"/>
        </w:rPr>
        <w:t>milijun</w:t>
      </w:r>
      <w:r w:rsidRPr="00C5016E">
        <w:rPr>
          <w:rFonts w:ascii="Arial" w:hAnsi="Arial" w:cs="Arial"/>
          <w:lang w:val="hr-HR"/>
        </w:rPr>
        <w:t xml:space="preserve">a KM („Preporod“ 0,5 </w:t>
      </w:r>
      <w:r w:rsidR="004611A5" w:rsidRPr="00C5016E">
        <w:rPr>
          <w:rFonts w:ascii="Arial" w:hAnsi="Arial" w:cs="Arial"/>
          <w:lang w:val="hr-HR"/>
        </w:rPr>
        <w:t>milijun</w:t>
      </w:r>
      <w:r w:rsidRPr="00C5016E">
        <w:rPr>
          <w:rFonts w:ascii="Arial" w:hAnsi="Arial" w:cs="Arial"/>
          <w:lang w:val="hr-HR"/>
        </w:rPr>
        <w:t xml:space="preserve">a KM, „Napredak“ 0,34 </w:t>
      </w:r>
      <w:r w:rsidR="004611A5" w:rsidRPr="00C5016E">
        <w:rPr>
          <w:rFonts w:ascii="Arial" w:hAnsi="Arial" w:cs="Arial"/>
          <w:lang w:val="hr-HR"/>
        </w:rPr>
        <w:t>milijun</w:t>
      </w:r>
      <w:r w:rsidRPr="00C5016E">
        <w:rPr>
          <w:rFonts w:ascii="Arial" w:hAnsi="Arial" w:cs="Arial"/>
          <w:lang w:val="hr-HR"/>
        </w:rPr>
        <w:t xml:space="preserve">a KM, „Prosvjeta“ 0,15 </w:t>
      </w:r>
      <w:r w:rsidR="004611A5" w:rsidRPr="00C5016E">
        <w:rPr>
          <w:rFonts w:ascii="Arial" w:hAnsi="Arial" w:cs="Arial"/>
          <w:lang w:val="hr-HR"/>
        </w:rPr>
        <w:t>milijun</w:t>
      </w:r>
      <w:r w:rsidRPr="00C5016E">
        <w:rPr>
          <w:rFonts w:ascii="Arial" w:hAnsi="Arial" w:cs="Arial"/>
          <w:lang w:val="hr-HR"/>
        </w:rPr>
        <w:t xml:space="preserve">a KM i „Benevolencija“ 0,06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transfer za obnovu kulturnog i graditeljskog nasljeđa - 0,7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ListParagraph"/>
        <w:numPr>
          <w:ilvl w:val="0"/>
          <w:numId w:val="38"/>
        </w:numPr>
        <w:rPr>
          <w:rFonts w:ascii="Arial" w:hAnsi="Arial" w:cs="Arial"/>
          <w:lang w:val="hr-HR"/>
        </w:rPr>
      </w:pPr>
      <w:r w:rsidRPr="00C5016E">
        <w:rPr>
          <w:rFonts w:ascii="Arial" w:hAnsi="Arial" w:cs="Arial"/>
          <w:lang w:val="hr-HR"/>
        </w:rPr>
        <w:t xml:space="preserve">transfer vjerskim zajednicama za sufinanciranje izgradnje mezarja i grobalja - 1,9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Heading4"/>
      </w:pPr>
      <w:bookmarkStart w:id="75" w:name="_Toc131505216"/>
      <w:r w:rsidRPr="00C5016E">
        <w:t>Subvencije javnim p</w:t>
      </w:r>
      <w:r w:rsidR="003D76CB" w:rsidRPr="00C5016E">
        <w:t>o</w:t>
      </w:r>
      <w:r w:rsidRPr="00C5016E">
        <w:t>duzećima</w:t>
      </w:r>
      <w:bookmarkEnd w:id="75"/>
    </w:p>
    <w:p w:rsidR="00C025DC" w:rsidRPr="00C5016E" w:rsidRDefault="00C025DC" w:rsidP="00C025DC">
      <w:r w:rsidRPr="00C5016E">
        <w:t>Kad su u pitanju subvencije javnim p</w:t>
      </w:r>
      <w:r w:rsidR="003D76CB" w:rsidRPr="00C5016E">
        <w:t>o</w:t>
      </w:r>
      <w:r w:rsidRPr="00C5016E">
        <w:t xml:space="preserve">duzećima, od ukupno planiranih 54,7 </w:t>
      </w:r>
      <w:r w:rsidR="004611A5" w:rsidRPr="00C5016E">
        <w:t>milijun</w:t>
      </w:r>
      <w:r w:rsidRPr="00C5016E">
        <w:t xml:space="preserve">a KM u 2022. godini </w:t>
      </w:r>
      <w:r w:rsidR="003D76CB" w:rsidRPr="00C5016E">
        <w:t>realizirana</w:t>
      </w:r>
      <w:r w:rsidRPr="00C5016E">
        <w:t xml:space="preserve"> su proračunska sredstva u iznosu od 50,9 </w:t>
      </w:r>
      <w:r w:rsidR="004611A5" w:rsidRPr="00C5016E">
        <w:t>milijun</w:t>
      </w:r>
      <w:r w:rsidRPr="00C5016E">
        <w:t xml:space="preserve">a KM, </w:t>
      </w:r>
      <w:r w:rsidRPr="00C5016E">
        <w:lastRenderedPageBreak/>
        <w:t xml:space="preserve">što je 93% planiranih sredstava Proračunom FBiH za 2022. godinu i za 10% ili 4,7 </w:t>
      </w:r>
      <w:r w:rsidR="004611A5" w:rsidRPr="00C5016E">
        <w:t>milijun</w:t>
      </w:r>
      <w:r w:rsidRPr="00C5016E">
        <w:t xml:space="preserve">a KM više </w:t>
      </w:r>
      <w:r w:rsidR="003D76CB" w:rsidRPr="00C5016E">
        <w:t>realiziranih</w:t>
      </w:r>
      <w:r w:rsidRPr="00C5016E">
        <w:t xml:space="preserve"> sredstava u odnosu na 2022. godinu. Utrošena sredstva odnose se na: </w:t>
      </w:r>
    </w:p>
    <w:p w:rsidR="00C025DC" w:rsidRPr="00C5016E" w:rsidRDefault="00C025DC" w:rsidP="00C025DC">
      <w:pPr>
        <w:pStyle w:val="ListParagraph"/>
        <w:numPr>
          <w:ilvl w:val="0"/>
          <w:numId w:val="12"/>
        </w:numPr>
        <w:rPr>
          <w:rFonts w:ascii="Arial" w:hAnsi="Arial" w:cs="Arial"/>
          <w:lang w:val="hr-HR"/>
        </w:rPr>
      </w:pPr>
      <w:r w:rsidRPr="00C5016E">
        <w:rPr>
          <w:rFonts w:ascii="Arial" w:hAnsi="Arial" w:cs="Arial"/>
          <w:lang w:val="hr-HR"/>
        </w:rPr>
        <w:t xml:space="preserve">transfer JP Željeznice Federacije BiH – redovni transfer 24,5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12"/>
        </w:numPr>
        <w:rPr>
          <w:rFonts w:ascii="Arial" w:hAnsi="Arial" w:cs="Arial"/>
          <w:lang w:val="hr-HR"/>
        </w:rPr>
      </w:pPr>
      <w:r w:rsidRPr="00C5016E">
        <w:rPr>
          <w:rFonts w:ascii="Arial" w:hAnsi="Arial" w:cs="Arial"/>
          <w:lang w:val="hr-HR"/>
        </w:rPr>
        <w:t>transfer JP Željezni</w:t>
      </w:r>
      <w:r w:rsidR="003D76CB" w:rsidRPr="00C5016E">
        <w:rPr>
          <w:rFonts w:ascii="Arial" w:hAnsi="Arial" w:cs="Arial"/>
          <w:lang w:val="hr-HR"/>
        </w:rPr>
        <w:t>ce Federacije BiH (izmirenje ob</w:t>
      </w:r>
      <w:r w:rsidRPr="00C5016E">
        <w:rPr>
          <w:rFonts w:ascii="Arial" w:hAnsi="Arial" w:cs="Arial"/>
          <w:lang w:val="hr-HR"/>
        </w:rPr>
        <w:t xml:space="preserve">veza)  - 6,0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12"/>
        </w:numPr>
        <w:rPr>
          <w:rFonts w:ascii="Arial" w:hAnsi="Arial" w:cs="Arial"/>
          <w:lang w:val="hr-HR"/>
        </w:rPr>
      </w:pPr>
      <w:r w:rsidRPr="00C5016E">
        <w:rPr>
          <w:rFonts w:ascii="Arial" w:hAnsi="Arial" w:cs="Arial"/>
          <w:lang w:val="hr-HR"/>
        </w:rPr>
        <w:t xml:space="preserve">JP Elektrodistribucija BiH na </w:t>
      </w:r>
      <w:r w:rsidR="003D76CB" w:rsidRPr="00C5016E">
        <w:rPr>
          <w:rFonts w:ascii="Arial" w:hAnsi="Arial" w:cs="Arial"/>
          <w:lang w:val="hr-HR"/>
        </w:rPr>
        <w:t>temelju</w:t>
      </w:r>
      <w:r w:rsidRPr="00C5016E">
        <w:rPr>
          <w:rFonts w:ascii="Arial" w:hAnsi="Arial" w:cs="Arial"/>
          <w:lang w:val="hr-HR"/>
        </w:rPr>
        <w:t xml:space="preserve"> Odluke o izmjeni Odluke o provedbi mjera za smanjenje troškova električne energije kućanstvima i stimuliranju energetske učinkovitosti, V. broj: 1933/2021 od 30. </w:t>
      </w:r>
      <w:r w:rsidR="003D76CB" w:rsidRPr="00C5016E">
        <w:rPr>
          <w:rFonts w:ascii="Arial" w:hAnsi="Arial" w:cs="Arial"/>
          <w:lang w:val="hr-HR"/>
        </w:rPr>
        <w:t>prosinca</w:t>
      </w:r>
      <w:r w:rsidRPr="00C5016E">
        <w:rPr>
          <w:rFonts w:ascii="Arial" w:hAnsi="Arial" w:cs="Arial"/>
          <w:lang w:val="hr-HR"/>
        </w:rPr>
        <w:t xml:space="preserve"> 2021. („Službene novine Federacije BiH“, broj: 106/21) – 4,27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12"/>
        </w:numPr>
        <w:rPr>
          <w:rFonts w:ascii="Arial" w:hAnsi="Arial" w:cs="Arial"/>
          <w:lang w:val="hr-HR"/>
        </w:rPr>
      </w:pPr>
      <w:r w:rsidRPr="00C5016E">
        <w:rPr>
          <w:rFonts w:ascii="Arial" w:hAnsi="Arial" w:cs="Arial"/>
          <w:lang w:val="hr-HR"/>
        </w:rPr>
        <w:t xml:space="preserve">subvencija Terminalima Federacije BiH iz sredstava podračuna - 9,86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12"/>
        </w:numPr>
        <w:rPr>
          <w:rFonts w:ascii="Arial" w:hAnsi="Arial" w:cs="Arial"/>
          <w:lang w:val="hr-HR"/>
        </w:rPr>
      </w:pPr>
      <w:r w:rsidRPr="00C5016E">
        <w:rPr>
          <w:rFonts w:ascii="Arial" w:hAnsi="Arial" w:cs="Arial"/>
          <w:lang w:val="hr-HR"/>
        </w:rPr>
        <w:t>subvencije javnim p</w:t>
      </w:r>
      <w:r w:rsidR="003D76CB" w:rsidRPr="00C5016E">
        <w:rPr>
          <w:rFonts w:ascii="Arial" w:hAnsi="Arial" w:cs="Arial"/>
          <w:lang w:val="hr-HR"/>
        </w:rPr>
        <w:t>o</w:t>
      </w:r>
      <w:r w:rsidRPr="00C5016E">
        <w:rPr>
          <w:rFonts w:ascii="Arial" w:hAnsi="Arial" w:cs="Arial"/>
          <w:lang w:val="hr-HR"/>
        </w:rPr>
        <w:t xml:space="preserve">duzećima za uvezivanje radnog staža - 2,25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12"/>
        </w:numPr>
        <w:rPr>
          <w:rFonts w:ascii="Arial" w:hAnsi="Arial" w:cs="Arial"/>
          <w:lang w:val="hr-HR"/>
        </w:rPr>
      </w:pPr>
      <w:r w:rsidRPr="00C5016E">
        <w:rPr>
          <w:rFonts w:ascii="Arial" w:hAnsi="Arial" w:cs="Arial"/>
          <w:lang w:val="hr-HR"/>
        </w:rPr>
        <w:t xml:space="preserve">subvencija Energoinvestu za plaćanje </w:t>
      </w:r>
      <w:r w:rsidR="003D76CB" w:rsidRPr="00C5016E">
        <w:rPr>
          <w:rFonts w:ascii="Arial" w:hAnsi="Arial" w:cs="Arial"/>
          <w:lang w:val="hr-HR"/>
        </w:rPr>
        <w:t>pristojbe za plin</w:t>
      </w:r>
      <w:r w:rsidRPr="00C5016E">
        <w:rPr>
          <w:rFonts w:ascii="Arial" w:hAnsi="Arial" w:cs="Arial"/>
          <w:lang w:val="hr-HR"/>
        </w:rPr>
        <w:t xml:space="preserve"> iz sredstava podračuna - 1,7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12"/>
        </w:numPr>
        <w:rPr>
          <w:rFonts w:ascii="Arial" w:hAnsi="Arial" w:cs="Arial"/>
          <w:lang w:val="hr-HR"/>
        </w:rPr>
      </w:pPr>
      <w:r w:rsidRPr="00C5016E">
        <w:rPr>
          <w:rFonts w:ascii="Arial" w:hAnsi="Arial" w:cs="Arial"/>
          <w:lang w:val="hr-HR"/>
        </w:rPr>
        <w:t xml:space="preserve">subvencija JP Zračna luka Mostar - 1,0 </w:t>
      </w:r>
      <w:r w:rsidR="004611A5" w:rsidRPr="00C5016E">
        <w:rPr>
          <w:rFonts w:ascii="Arial" w:hAnsi="Arial" w:cs="Arial"/>
          <w:lang w:val="hr-HR"/>
        </w:rPr>
        <w:t>milijun</w:t>
      </w:r>
      <w:r w:rsidR="003D76CB" w:rsidRPr="00C5016E">
        <w:rPr>
          <w:rFonts w:ascii="Arial" w:hAnsi="Arial" w:cs="Arial"/>
          <w:lang w:val="hr-HR"/>
        </w:rPr>
        <w:t xml:space="preserve"> KM </w:t>
      </w:r>
    </w:p>
    <w:p w:rsidR="00C025DC" w:rsidRPr="00C5016E" w:rsidRDefault="00C025DC" w:rsidP="00C025DC">
      <w:pPr>
        <w:pStyle w:val="ListParagraph"/>
        <w:numPr>
          <w:ilvl w:val="0"/>
          <w:numId w:val="12"/>
        </w:numPr>
        <w:rPr>
          <w:rFonts w:ascii="Arial" w:hAnsi="Arial" w:cs="Arial"/>
          <w:lang w:val="hr-HR"/>
        </w:rPr>
      </w:pPr>
      <w:r w:rsidRPr="00C5016E">
        <w:rPr>
          <w:rFonts w:ascii="Arial" w:hAnsi="Arial" w:cs="Arial"/>
          <w:lang w:val="hr-HR"/>
        </w:rPr>
        <w:t xml:space="preserve">subvencija JP Međunarodni aerodrom Tuzla - 1,0 </w:t>
      </w:r>
      <w:r w:rsidR="004611A5" w:rsidRPr="00C5016E">
        <w:rPr>
          <w:rFonts w:ascii="Arial" w:hAnsi="Arial" w:cs="Arial"/>
          <w:lang w:val="hr-HR"/>
        </w:rPr>
        <w:t>milijun</w:t>
      </w:r>
      <w:r w:rsidR="003D76CB" w:rsidRPr="00C5016E">
        <w:rPr>
          <w:rFonts w:ascii="Arial" w:hAnsi="Arial" w:cs="Arial"/>
          <w:lang w:val="hr-HR"/>
        </w:rPr>
        <w:t xml:space="preserve"> KM</w:t>
      </w:r>
    </w:p>
    <w:p w:rsidR="00C025DC" w:rsidRPr="00C5016E" w:rsidRDefault="00C025DC" w:rsidP="00C025DC">
      <w:pPr>
        <w:pStyle w:val="ListParagraph"/>
        <w:numPr>
          <w:ilvl w:val="0"/>
          <w:numId w:val="12"/>
        </w:numPr>
        <w:rPr>
          <w:rFonts w:ascii="Arial" w:hAnsi="Arial" w:cs="Arial"/>
          <w:lang w:val="hr-HR"/>
        </w:rPr>
      </w:pPr>
      <w:r w:rsidRPr="00C5016E">
        <w:rPr>
          <w:rFonts w:ascii="Arial" w:hAnsi="Arial" w:cs="Arial"/>
          <w:lang w:val="hr-HR"/>
        </w:rPr>
        <w:t xml:space="preserve">subvencija JP aerodrom Bihać - 0,17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Heading4"/>
      </w:pPr>
      <w:bookmarkStart w:id="76" w:name="_Toc131505217"/>
      <w:r w:rsidRPr="00C5016E">
        <w:t>Subvencije privatnim p</w:t>
      </w:r>
      <w:r w:rsidR="003D76CB" w:rsidRPr="00C5016E">
        <w:t>o</w:t>
      </w:r>
      <w:r w:rsidRPr="00C5016E">
        <w:t>duzećima i poduzetnicima</w:t>
      </w:r>
      <w:bookmarkEnd w:id="76"/>
    </w:p>
    <w:p w:rsidR="00C025DC" w:rsidRPr="00C5016E" w:rsidRDefault="00C025DC" w:rsidP="00C025DC">
      <w:pPr>
        <w:rPr>
          <w:rFonts w:cs="Arial"/>
        </w:rPr>
      </w:pPr>
      <w:r w:rsidRPr="00C5016E">
        <w:rPr>
          <w:rFonts w:cs="Arial"/>
        </w:rPr>
        <w:t>Subvencije privatnim p</w:t>
      </w:r>
      <w:r w:rsidR="003D76CB" w:rsidRPr="00C5016E">
        <w:rPr>
          <w:rFonts w:cs="Arial"/>
        </w:rPr>
        <w:t>o</w:t>
      </w:r>
      <w:r w:rsidRPr="00C5016E">
        <w:rPr>
          <w:rFonts w:cs="Arial"/>
        </w:rPr>
        <w:t xml:space="preserve">duzećima i poduzetnicima u 2022. godini </w:t>
      </w:r>
      <w:r w:rsidR="003D76CB" w:rsidRPr="00C5016E">
        <w:rPr>
          <w:rFonts w:cs="Arial"/>
        </w:rPr>
        <w:t>realizirane</w:t>
      </w:r>
      <w:r w:rsidRPr="00C5016E">
        <w:rPr>
          <w:rFonts w:cs="Arial"/>
        </w:rPr>
        <w:t xml:space="preserve"> su u iznosu od 121,4 </w:t>
      </w:r>
      <w:r w:rsidR="004611A5" w:rsidRPr="00C5016E">
        <w:rPr>
          <w:rFonts w:cs="Arial"/>
        </w:rPr>
        <w:t>milijun</w:t>
      </w:r>
      <w:r w:rsidRPr="00C5016E">
        <w:rPr>
          <w:rFonts w:cs="Arial"/>
        </w:rPr>
        <w:t xml:space="preserve">a KM, što je 101% planiranih sredstava Proračunom Federacije BiH i za 34% ili 62,8 </w:t>
      </w:r>
      <w:r w:rsidR="004611A5" w:rsidRPr="00C5016E">
        <w:rPr>
          <w:rFonts w:cs="Arial"/>
        </w:rPr>
        <w:t>milijun</w:t>
      </w:r>
      <w:r w:rsidRPr="00C5016E">
        <w:rPr>
          <w:rFonts w:cs="Arial"/>
        </w:rPr>
        <w:t xml:space="preserve">a KM manje izvršenje u odnosu na </w:t>
      </w:r>
      <w:r w:rsidR="00DE4C92" w:rsidRPr="00C5016E">
        <w:rPr>
          <w:rFonts w:cs="Arial"/>
        </w:rPr>
        <w:t>isto razdoblje</w:t>
      </w:r>
      <w:r w:rsidRPr="00C5016E">
        <w:rPr>
          <w:rFonts w:cs="Arial"/>
        </w:rPr>
        <w:t xml:space="preserve"> prethodne godine. Navedene subvencije se odnose na:</w:t>
      </w:r>
    </w:p>
    <w:p w:rsidR="00C025DC" w:rsidRPr="00C5016E" w:rsidRDefault="00C025DC" w:rsidP="00C025DC">
      <w:pPr>
        <w:pStyle w:val="ListParagraph"/>
        <w:numPr>
          <w:ilvl w:val="0"/>
          <w:numId w:val="39"/>
        </w:numPr>
        <w:rPr>
          <w:rFonts w:ascii="Arial" w:hAnsi="Arial" w:cs="Arial"/>
          <w:lang w:val="hr-HR"/>
        </w:rPr>
      </w:pPr>
      <w:r w:rsidRPr="00C5016E">
        <w:rPr>
          <w:rFonts w:ascii="Arial" w:hAnsi="Arial" w:cs="Arial"/>
          <w:lang w:val="hr-HR"/>
        </w:rPr>
        <w:t xml:space="preserve">subvencije za poljoprivredu – 105,6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39"/>
        </w:numPr>
        <w:rPr>
          <w:rFonts w:ascii="Arial" w:hAnsi="Arial" w:cs="Arial"/>
          <w:lang w:val="hr-HR"/>
        </w:rPr>
      </w:pPr>
      <w:r w:rsidRPr="00C5016E">
        <w:rPr>
          <w:rFonts w:ascii="Arial" w:hAnsi="Arial" w:cs="Arial"/>
          <w:lang w:val="hr-HR"/>
        </w:rPr>
        <w:t>subvencije privatnim p</w:t>
      </w:r>
      <w:r w:rsidR="003D76CB" w:rsidRPr="00C5016E">
        <w:rPr>
          <w:rFonts w:ascii="Arial" w:hAnsi="Arial" w:cs="Arial"/>
          <w:lang w:val="hr-HR"/>
        </w:rPr>
        <w:t>o</w:t>
      </w:r>
      <w:r w:rsidRPr="00C5016E">
        <w:rPr>
          <w:rFonts w:ascii="Arial" w:hAnsi="Arial" w:cs="Arial"/>
          <w:lang w:val="hr-HR"/>
        </w:rPr>
        <w:t xml:space="preserve">duzećima i poduzetnicima koje su </w:t>
      </w:r>
      <w:r w:rsidR="003D76CB" w:rsidRPr="00C5016E">
        <w:rPr>
          <w:rFonts w:ascii="Arial" w:hAnsi="Arial" w:cs="Arial"/>
          <w:lang w:val="hr-HR"/>
        </w:rPr>
        <w:t>realizirane</w:t>
      </w:r>
      <w:r w:rsidRPr="00C5016E">
        <w:rPr>
          <w:rFonts w:ascii="Arial" w:hAnsi="Arial" w:cs="Arial"/>
          <w:lang w:val="hr-HR"/>
        </w:rPr>
        <w:t xml:space="preserve"> preko Federalnog ministarstva razvoja, poduzetništva i obrta – 4,8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39"/>
        </w:numPr>
        <w:rPr>
          <w:rFonts w:ascii="Arial" w:hAnsi="Arial" w:cs="Arial"/>
          <w:lang w:val="hr-HR"/>
        </w:rPr>
      </w:pPr>
      <w:r w:rsidRPr="00C5016E">
        <w:rPr>
          <w:rFonts w:ascii="Arial" w:hAnsi="Arial" w:cs="Arial"/>
          <w:lang w:val="hr-HR"/>
        </w:rPr>
        <w:t xml:space="preserve">regresiranje kamata – 6,9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39"/>
        </w:numPr>
        <w:rPr>
          <w:rFonts w:ascii="Arial" w:hAnsi="Arial" w:cs="Arial"/>
          <w:lang w:val="hr-HR"/>
        </w:rPr>
      </w:pPr>
      <w:r w:rsidRPr="00C5016E">
        <w:rPr>
          <w:rFonts w:ascii="Arial" w:hAnsi="Arial" w:cs="Arial"/>
          <w:lang w:val="hr-HR"/>
        </w:rPr>
        <w:t>subvencije privatnim p</w:t>
      </w:r>
      <w:r w:rsidR="003D76CB" w:rsidRPr="00C5016E">
        <w:rPr>
          <w:rFonts w:ascii="Arial" w:hAnsi="Arial" w:cs="Arial"/>
          <w:lang w:val="hr-HR"/>
        </w:rPr>
        <w:t>o</w:t>
      </w:r>
      <w:r w:rsidRPr="00C5016E">
        <w:rPr>
          <w:rFonts w:ascii="Arial" w:hAnsi="Arial" w:cs="Arial"/>
          <w:lang w:val="hr-HR"/>
        </w:rPr>
        <w:t xml:space="preserve">duzećima za uvezivanje radnog staža – 1,5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ListParagraph"/>
        <w:numPr>
          <w:ilvl w:val="0"/>
          <w:numId w:val="39"/>
        </w:numPr>
        <w:rPr>
          <w:rFonts w:ascii="Arial" w:hAnsi="Arial" w:cs="Arial"/>
          <w:lang w:val="hr-HR"/>
        </w:rPr>
      </w:pPr>
      <w:r w:rsidRPr="00C5016E">
        <w:rPr>
          <w:rFonts w:ascii="Arial" w:hAnsi="Arial" w:cs="Arial"/>
          <w:lang w:val="hr-HR"/>
        </w:rPr>
        <w:t xml:space="preserve">subvencije za veterinarstvo – 2,5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Heading4"/>
      </w:pPr>
      <w:bookmarkStart w:id="77" w:name="_Toc131505218"/>
      <w:r w:rsidRPr="00C5016E">
        <w:t>Drugi tekući rashodi</w:t>
      </w:r>
      <w:bookmarkEnd w:id="77"/>
    </w:p>
    <w:p w:rsidR="00C025DC" w:rsidRPr="00C5016E" w:rsidRDefault="00C025DC" w:rsidP="00C025DC">
      <w:pPr>
        <w:rPr>
          <w:rFonts w:cs="Arial"/>
        </w:rPr>
      </w:pPr>
      <w:r w:rsidRPr="00C5016E">
        <w:rPr>
          <w:rFonts w:cs="Arial"/>
        </w:rPr>
        <w:t xml:space="preserve">Drugi tekući rashodi (povrat pogrešno ili više uplaćenih prihoda, rješenja o izvršenju) bilježe izvršenje od 20,5 </w:t>
      </w:r>
      <w:r w:rsidR="004611A5" w:rsidRPr="00C5016E">
        <w:rPr>
          <w:rFonts w:cs="Arial"/>
        </w:rPr>
        <w:t>milijun</w:t>
      </w:r>
      <w:r w:rsidRPr="00C5016E">
        <w:rPr>
          <w:rFonts w:cs="Arial"/>
        </w:rPr>
        <w:t xml:space="preserve">a KM, </w:t>
      </w:r>
      <w:r w:rsidRPr="00C5016E">
        <w:rPr>
          <w:szCs w:val="24"/>
        </w:rPr>
        <w:t xml:space="preserve">što je 60% od ukupno planiranih 33,8 </w:t>
      </w:r>
      <w:r w:rsidR="004611A5" w:rsidRPr="00C5016E">
        <w:rPr>
          <w:szCs w:val="24"/>
        </w:rPr>
        <w:t>milijun</w:t>
      </w:r>
      <w:r w:rsidRPr="00C5016E">
        <w:rPr>
          <w:szCs w:val="24"/>
        </w:rPr>
        <w:t xml:space="preserve">a KM za 2022. godinu i za 18% ili 4,5 </w:t>
      </w:r>
      <w:r w:rsidR="004611A5" w:rsidRPr="00C5016E">
        <w:rPr>
          <w:szCs w:val="24"/>
        </w:rPr>
        <w:t>milijun</w:t>
      </w:r>
      <w:r w:rsidRPr="00C5016E">
        <w:rPr>
          <w:szCs w:val="24"/>
        </w:rPr>
        <w:t xml:space="preserve">a KM manje izvršenje u odnosu na </w:t>
      </w:r>
      <w:r w:rsidR="00DE4C92" w:rsidRPr="00C5016E">
        <w:rPr>
          <w:szCs w:val="24"/>
        </w:rPr>
        <w:t>isto razdoblje</w:t>
      </w:r>
      <w:r w:rsidRPr="00C5016E">
        <w:rPr>
          <w:szCs w:val="24"/>
        </w:rPr>
        <w:t xml:space="preserve"> 2021. godine. </w:t>
      </w:r>
      <w:r w:rsidRPr="00C5016E">
        <w:rPr>
          <w:rFonts w:cs="Arial"/>
        </w:rPr>
        <w:t>Izvršenje drugih tekućih rashoda po kategorijama je kako slijedi:</w:t>
      </w:r>
    </w:p>
    <w:p w:rsidR="00C025DC" w:rsidRPr="00C5016E" w:rsidRDefault="00C025DC" w:rsidP="00C025DC">
      <w:pPr>
        <w:pStyle w:val="ListParagraph"/>
        <w:numPr>
          <w:ilvl w:val="0"/>
          <w:numId w:val="13"/>
        </w:numPr>
        <w:rPr>
          <w:rFonts w:ascii="Arial" w:hAnsi="Arial" w:cs="Arial"/>
          <w:lang w:val="hr-HR"/>
        </w:rPr>
      </w:pPr>
      <w:r w:rsidRPr="00C5016E">
        <w:rPr>
          <w:rFonts w:ascii="Arial" w:hAnsi="Arial" w:cs="Arial"/>
          <w:lang w:val="hr-HR"/>
        </w:rPr>
        <w:t xml:space="preserve">4,14 </w:t>
      </w:r>
      <w:r w:rsidR="004611A5" w:rsidRPr="00C5016E">
        <w:rPr>
          <w:rFonts w:ascii="Arial" w:hAnsi="Arial" w:cs="Arial"/>
          <w:lang w:val="hr-HR"/>
        </w:rPr>
        <w:t>milijun</w:t>
      </w:r>
      <w:r w:rsidRPr="00C5016E">
        <w:rPr>
          <w:rFonts w:ascii="Arial" w:hAnsi="Arial" w:cs="Arial"/>
          <w:lang w:val="hr-HR"/>
        </w:rPr>
        <w:t>a KM izvršenje sudskih presuda i rješenja o izvršenju po osnov</w:t>
      </w:r>
      <w:r w:rsidR="003D76CB" w:rsidRPr="00C5016E">
        <w:rPr>
          <w:rFonts w:ascii="Arial" w:hAnsi="Arial" w:cs="Arial"/>
          <w:lang w:val="hr-HR"/>
        </w:rPr>
        <w:t>i</w:t>
      </w:r>
      <w:r w:rsidRPr="00C5016E">
        <w:rPr>
          <w:rFonts w:ascii="Arial" w:hAnsi="Arial" w:cs="Arial"/>
          <w:lang w:val="hr-HR"/>
        </w:rPr>
        <w:t xml:space="preserve"> radnih odnosa, od čega se na redovne presude odnosi 2,92 </w:t>
      </w:r>
      <w:r w:rsidR="004611A5" w:rsidRPr="00C5016E">
        <w:rPr>
          <w:rFonts w:ascii="Arial" w:hAnsi="Arial" w:cs="Arial"/>
          <w:lang w:val="hr-HR"/>
        </w:rPr>
        <w:t>milijun</w:t>
      </w:r>
      <w:r w:rsidRPr="00C5016E">
        <w:rPr>
          <w:rFonts w:ascii="Arial" w:hAnsi="Arial" w:cs="Arial"/>
          <w:lang w:val="hr-HR"/>
        </w:rPr>
        <w:t xml:space="preserve">a KM, a na </w:t>
      </w:r>
      <w:r w:rsidR="003D76CB" w:rsidRPr="00C5016E">
        <w:rPr>
          <w:rFonts w:ascii="Arial" w:hAnsi="Arial" w:cs="Arial"/>
          <w:lang w:val="hr-HR"/>
        </w:rPr>
        <w:t>iz</w:t>
      </w:r>
      <w:r w:rsidRPr="00C5016E">
        <w:rPr>
          <w:rFonts w:ascii="Arial" w:hAnsi="Arial" w:cs="Arial"/>
          <w:lang w:val="hr-HR"/>
        </w:rPr>
        <w:t xml:space="preserve">vansudsku nagodbu 1,22 </w:t>
      </w:r>
      <w:r w:rsidR="004611A5" w:rsidRPr="00C5016E">
        <w:rPr>
          <w:rFonts w:ascii="Arial" w:hAnsi="Arial" w:cs="Arial"/>
          <w:lang w:val="hr-HR"/>
        </w:rPr>
        <w:t>milijun</w:t>
      </w:r>
      <w:r w:rsidR="003D76CB" w:rsidRPr="00C5016E">
        <w:rPr>
          <w:rFonts w:ascii="Arial" w:hAnsi="Arial" w:cs="Arial"/>
          <w:lang w:val="hr-HR"/>
        </w:rPr>
        <w:t>a KM</w:t>
      </w:r>
    </w:p>
    <w:p w:rsidR="00C025DC" w:rsidRPr="00C5016E" w:rsidRDefault="00C025DC" w:rsidP="00C025DC">
      <w:pPr>
        <w:pStyle w:val="ListParagraph"/>
        <w:numPr>
          <w:ilvl w:val="0"/>
          <w:numId w:val="13"/>
        </w:numPr>
        <w:rPr>
          <w:rFonts w:ascii="Arial" w:hAnsi="Arial" w:cs="Arial"/>
          <w:lang w:val="hr-HR"/>
        </w:rPr>
      </w:pPr>
      <w:r w:rsidRPr="00C5016E">
        <w:rPr>
          <w:rFonts w:ascii="Arial" w:hAnsi="Arial" w:cs="Arial"/>
          <w:lang w:val="hr-HR"/>
        </w:rPr>
        <w:lastRenderedPageBreak/>
        <w:t xml:space="preserve">2,98 </w:t>
      </w:r>
      <w:r w:rsidR="004611A5" w:rsidRPr="00C5016E">
        <w:rPr>
          <w:rFonts w:ascii="Arial" w:hAnsi="Arial" w:cs="Arial"/>
          <w:lang w:val="hr-HR"/>
        </w:rPr>
        <w:t>milijun</w:t>
      </w:r>
      <w:r w:rsidRPr="00C5016E">
        <w:rPr>
          <w:rFonts w:ascii="Arial" w:hAnsi="Arial" w:cs="Arial"/>
          <w:lang w:val="hr-HR"/>
        </w:rPr>
        <w:t>a KM povrat pogr</w:t>
      </w:r>
      <w:r w:rsidR="003D76CB" w:rsidRPr="00C5016E">
        <w:rPr>
          <w:rFonts w:ascii="Arial" w:hAnsi="Arial" w:cs="Arial"/>
          <w:lang w:val="hr-HR"/>
        </w:rPr>
        <w:t>ešno ili više uplaćenih prihoda</w:t>
      </w:r>
    </w:p>
    <w:p w:rsidR="00C025DC" w:rsidRPr="00C5016E" w:rsidRDefault="00C025DC" w:rsidP="00C025DC">
      <w:pPr>
        <w:pStyle w:val="ListParagraph"/>
        <w:numPr>
          <w:ilvl w:val="0"/>
          <w:numId w:val="13"/>
        </w:numPr>
        <w:rPr>
          <w:rFonts w:ascii="Arial" w:hAnsi="Arial" w:cs="Arial"/>
          <w:lang w:val="hr-HR"/>
        </w:rPr>
      </w:pPr>
      <w:r w:rsidRPr="00C5016E">
        <w:rPr>
          <w:rFonts w:ascii="Arial" w:hAnsi="Arial" w:cs="Arial"/>
          <w:lang w:val="hr-HR"/>
        </w:rPr>
        <w:t xml:space="preserve">12,0 </w:t>
      </w:r>
      <w:r w:rsidR="004611A5" w:rsidRPr="00C5016E">
        <w:rPr>
          <w:rFonts w:ascii="Arial" w:hAnsi="Arial" w:cs="Arial"/>
          <w:lang w:val="hr-HR"/>
        </w:rPr>
        <w:t>milijun</w:t>
      </w:r>
      <w:r w:rsidRPr="00C5016E">
        <w:rPr>
          <w:rFonts w:ascii="Arial" w:hAnsi="Arial" w:cs="Arial"/>
          <w:lang w:val="hr-HR"/>
        </w:rPr>
        <w:t>a KM izvršenje ostalih sudskih</w:t>
      </w:r>
      <w:r w:rsidR="003D76CB" w:rsidRPr="00C5016E">
        <w:rPr>
          <w:rFonts w:ascii="Arial" w:hAnsi="Arial" w:cs="Arial"/>
          <w:lang w:val="hr-HR"/>
        </w:rPr>
        <w:t xml:space="preserve"> presuda i rješenja o izvršenju</w:t>
      </w:r>
    </w:p>
    <w:p w:rsidR="00C025DC" w:rsidRPr="00C5016E" w:rsidRDefault="00C025DC" w:rsidP="00C025DC">
      <w:pPr>
        <w:pStyle w:val="ListParagraph"/>
        <w:numPr>
          <w:ilvl w:val="0"/>
          <w:numId w:val="13"/>
        </w:numPr>
        <w:rPr>
          <w:rFonts w:ascii="Arial" w:hAnsi="Arial" w:cs="Arial"/>
          <w:lang w:val="hr-HR"/>
        </w:rPr>
      </w:pPr>
      <w:r w:rsidRPr="00C5016E">
        <w:rPr>
          <w:rFonts w:ascii="Arial" w:hAnsi="Arial" w:cs="Arial"/>
          <w:lang w:val="hr-HR"/>
        </w:rPr>
        <w:t xml:space="preserve">0,88 </w:t>
      </w:r>
      <w:r w:rsidR="004611A5" w:rsidRPr="00C5016E">
        <w:rPr>
          <w:rFonts w:ascii="Arial" w:hAnsi="Arial" w:cs="Arial"/>
          <w:lang w:val="hr-HR"/>
        </w:rPr>
        <w:t>milijun</w:t>
      </w:r>
      <w:r w:rsidRPr="00C5016E">
        <w:rPr>
          <w:rFonts w:ascii="Arial" w:hAnsi="Arial" w:cs="Arial"/>
          <w:lang w:val="hr-HR"/>
        </w:rPr>
        <w:t>a KM izvršenje preuzetih obveza Federalnog ministarstva o</w:t>
      </w:r>
      <w:r w:rsidR="003D76CB" w:rsidRPr="00C5016E">
        <w:rPr>
          <w:rFonts w:ascii="Arial" w:hAnsi="Arial" w:cs="Arial"/>
          <w:lang w:val="hr-HR"/>
        </w:rPr>
        <w:t>brane i Vojske FBiH</w:t>
      </w:r>
    </w:p>
    <w:p w:rsidR="00C025DC" w:rsidRPr="00C5016E" w:rsidRDefault="00C025DC" w:rsidP="00C025DC">
      <w:pPr>
        <w:pStyle w:val="ListParagraph"/>
        <w:numPr>
          <w:ilvl w:val="0"/>
          <w:numId w:val="13"/>
        </w:numPr>
        <w:rPr>
          <w:rFonts w:ascii="Arial" w:hAnsi="Arial" w:cs="Arial"/>
          <w:lang w:val="hr-HR"/>
        </w:rPr>
      </w:pPr>
      <w:r w:rsidRPr="00C5016E">
        <w:rPr>
          <w:rFonts w:ascii="Arial" w:hAnsi="Arial" w:cs="Arial"/>
          <w:lang w:val="hr-HR"/>
        </w:rPr>
        <w:t xml:space="preserve">0,20 </w:t>
      </w:r>
      <w:r w:rsidR="004611A5" w:rsidRPr="00C5016E">
        <w:rPr>
          <w:rFonts w:ascii="Arial" w:hAnsi="Arial" w:cs="Arial"/>
          <w:lang w:val="hr-HR"/>
        </w:rPr>
        <w:t>milijun</w:t>
      </w:r>
      <w:r w:rsidRPr="00C5016E">
        <w:rPr>
          <w:rFonts w:ascii="Arial" w:hAnsi="Arial" w:cs="Arial"/>
          <w:lang w:val="hr-HR"/>
        </w:rPr>
        <w:t>a KM izvršenje sudskih pr</w:t>
      </w:r>
      <w:r w:rsidR="003D76CB" w:rsidRPr="00C5016E">
        <w:rPr>
          <w:rFonts w:ascii="Arial" w:hAnsi="Arial" w:cs="Arial"/>
          <w:lang w:val="hr-HR"/>
        </w:rPr>
        <w:t>esuda po odlukama Ustavnog suda.</w:t>
      </w:r>
    </w:p>
    <w:p w:rsidR="00C025DC" w:rsidRPr="00C5016E" w:rsidRDefault="00C025DC" w:rsidP="00C025DC">
      <w:pPr>
        <w:rPr>
          <w:rFonts w:cs="Arial"/>
        </w:rPr>
      </w:pPr>
      <w:r w:rsidRPr="00C5016E">
        <w:rPr>
          <w:rFonts w:cs="Arial"/>
        </w:rPr>
        <w:t>Detaljan pregled izvršenih transfera da</w:t>
      </w:r>
      <w:r w:rsidR="003D76CB" w:rsidRPr="00C5016E">
        <w:rPr>
          <w:rFonts w:cs="Arial"/>
        </w:rPr>
        <w:t>n</w:t>
      </w:r>
      <w:r w:rsidRPr="00C5016E">
        <w:rPr>
          <w:rFonts w:cs="Arial"/>
        </w:rPr>
        <w:t xml:space="preserve"> je u Obrascu 4.</w:t>
      </w:r>
    </w:p>
    <w:p w:rsidR="00C025DC" w:rsidRPr="00C5016E" w:rsidRDefault="00C025DC" w:rsidP="00C025DC">
      <w:pPr>
        <w:pStyle w:val="Heading3"/>
        <w:rPr>
          <w:rFonts w:cs="Arial"/>
        </w:rPr>
      </w:pPr>
      <w:bookmarkStart w:id="78" w:name="_Toc131505219"/>
      <w:r w:rsidRPr="00C5016E">
        <w:rPr>
          <w:rFonts w:cs="Arial"/>
        </w:rPr>
        <w:t>Izdaci za kamate i ostale naknade</w:t>
      </w:r>
      <w:bookmarkEnd w:id="78"/>
      <w:r w:rsidRPr="00C5016E">
        <w:rPr>
          <w:rFonts w:cs="Arial"/>
        </w:rPr>
        <w:tab/>
      </w:r>
    </w:p>
    <w:p w:rsidR="00C025DC" w:rsidRPr="00C5016E" w:rsidRDefault="00C025DC" w:rsidP="00C025DC">
      <w:r w:rsidRPr="00C5016E">
        <w:t xml:space="preserve">Izdaci za kamate i ostale naknade iznose 86,2 </w:t>
      </w:r>
      <w:r w:rsidR="004611A5" w:rsidRPr="00C5016E">
        <w:t>milijun</w:t>
      </w:r>
      <w:r w:rsidRPr="00C5016E">
        <w:t xml:space="preserve">a KM što je 82% planiranih sredstava Proračunom FBiH za 2022. godinu i za 12% ili 9,1 </w:t>
      </w:r>
      <w:r w:rsidR="004611A5" w:rsidRPr="00C5016E">
        <w:t>milijun</w:t>
      </w:r>
      <w:r w:rsidRPr="00C5016E">
        <w:t xml:space="preserve"> KM više u odnosu na prethodnu godinu. Strukturu izdataka za kamate i ostale naknade čine:</w:t>
      </w:r>
    </w:p>
    <w:p w:rsidR="00C025DC" w:rsidRPr="00C5016E" w:rsidRDefault="00C025DC" w:rsidP="00C025DC">
      <w:pPr>
        <w:pStyle w:val="ListParagraph"/>
        <w:numPr>
          <w:ilvl w:val="0"/>
          <w:numId w:val="14"/>
        </w:numPr>
        <w:rPr>
          <w:rFonts w:ascii="Arial" w:hAnsi="Arial" w:cs="Arial"/>
          <w:lang w:val="hr-HR"/>
        </w:rPr>
      </w:pPr>
      <w:r w:rsidRPr="00C5016E">
        <w:rPr>
          <w:rFonts w:ascii="Arial" w:hAnsi="Arial" w:cs="Arial"/>
          <w:lang w:val="hr-HR"/>
        </w:rPr>
        <w:t xml:space="preserve">kamate na pozajmice primljene kroz Državu iznose 74,83 </w:t>
      </w:r>
      <w:r w:rsidR="004611A5" w:rsidRPr="00C5016E">
        <w:rPr>
          <w:rFonts w:ascii="Arial" w:hAnsi="Arial" w:cs="Arial"/>
          <w:lang w:val="hr-HR"/>
        </w:rPr>
        <w:t>milijun</w:t>
      </w:r>
      <w:r w:rsidRPr="00C5016E">
        <w:rPr>
          <w:rFonts w:ascii="Arial" w:hAnsi="Arial" w:cs="Arial"/>
          <w:lang w:val="hr-HR"/>
        </w:rPr>
        <w:t xml:space="preserve">a KM i u odnosu na prethodnu godinu veće su za 15% ili 9,62 </w:t>
      </w:r>
      <w:r w:rsidR="004611A5" w:rsidRPr="00C5016E">
        <w:rPr>
          <w:rFonts w:ascii="Arial" w:hAnsi="Arial" w:cs="Arial"/>
          <w:lang w:val="hr-HR"/>
        </w:rPr>
        <w:t>milijun</w:t>
      </w:r>
      <w:r w:rsidRPr="00C5016E">
        <w:rPr>
          <w:rFonts w:ascii="Arial" w:hAnsi="Arial" w:cs="Arial"/>
          <w:lang w:val="hr-HR"/>
        </w:rPr>
        <w:t>a KM, a u odnosu na plan za 2022. go</w:t>
      </w:r>
      <w:r w:rsidR="005D0FCD" w:rsidRPr="00C5016E">
        <w:rPr>
          <w:rFonts w:ascii="Arial" w:hAnsi="Arial" w:cs="Arial"/>
          <w:lang w:val="hr-HR"/>
        </w:rPr>
        <w:t>dinu postotak izvršenja je 100%</w:t>
      </w:r>
    </w:p>
    <w:p w:rsidR="00C025DC" w:rsidRPr="00C5016E" w:rsidRDefault="00C025DC" w:rsidP="00C025DC">
      <w:pPr>
        <w:pStyle w:val="ListParagraph"/>
        <w:numPr>
          <w:ilvl w:val="0"/>
          <w:numId w:val="14"/>
        </w:numPr>
        <w:rPr>
          <w:rFonts w:ascii="Arial" w:hAnsi="Arial" w:cs="Arial"/>
          <w:lang w:val="hr-HR"/>
        </w:rPr>
      </w:pPr>
      <w:r w:rsidRPr="00C5016E">
        <w:rPr>
          <w:rFonts w:ascii="Arial" w:hAnsi="Arial" w:cs="Arial"/>
          <w:lang w:val="hr-HR"/>
        </w:rPr>
        <w:t>izdaci za ino</w:t>
      </w:r>
      <w:r w:rsidR="005D0FCD" w:rsidRPr="00C5016E">
        <w:rPr>
          <w:rFonts w:ascii="Arial" w:hAnsi="Arial" w:cs="Arial"/>
          <w:lang w:val="hr-HR"/>
        </w:rPr>
        <w:t>zemne kamate – direktne ob</w:t>
      </w:r>
      <w:r w:rsidRPr="00C5016E">
        <w:rPr>
          <w:rFonts w:ascii="Arial" w:hAnsi="Arial" w:cs="Arial"/>
          <w:lang w:val="hr-HR"/>
        </w:rPr>
        <w:t xml:space="preserve">veze Federacije BiH iznose 1,97 </w:t>
      </w:r>
      <w:r w:rsidR="004611A5" w:rsidRPr="00C5016E">
        <w:rPr>
          <w:rFonts w:ascii="Arial" w:hAnsi="Arial" w:cs="Arial"/>
          <w:lang w:val="hr-HR"/>
        </w:rPr>
        <w:t>milijun</w:t>
      </w:r>
      <w:r w:rsidRPr="00C5016E">
        <w:rPr>
          <w:rFonts w:ascii="Arial" w:hAnsi="Arial" w:cs="Arial"/>
          <w:lang w:val="hr-HR"/>
        </w:rPr>
        <w:t xml:space="preserve">a KM i su manje za 9% ili 0,19 </w:t>
      </w:r>
      <w:r w:rsidR="004611A5" w:rsidRPr="00C5016E">
        <w:rPr>
          <w:rFonts w:ascii="Arial" w:hAnsi="Arial" w:cs="Arial"/>
          <w:lang w:val="hr-HR"/>
        </w:rPr>
        <w:t>milijun</w:t>
      </w:r>
      <w:r w:rsidRPr="00C5016E">
        <w:rPr>
          <w:rFonts w:ascii="Arial" w:hAnsi="Arial" w:cs="Arial"/>
          <w:lang w:val="hr-HR"/>
        </w:rPr>
        <w:t>a KM u odnosu na prethodnu godinu, a u odnosu na plan za 2022. god</w:t>
      </w:r>
      <w:r w:rsidR="005D0FCD" w:rsidRPr="00C5016E">
        <w:rPr>
          <w:rFonts w:ascii="Arial" w:hAnsi="Arial" w:cs="Arial"/>
          <w:lang w:val="hr-HR"/>
        </w:rPr>
        <w:t xml:space="preserve">inu postotak izvršenja je 95% </w:t>
      </w:r>
    </w:p>
    <w:p w:rsidR="00C025DC" w:rsidRPr="00C5016E" w:rsidRDefault="00C025DC" w:rsidP="00C025DC">
      <w:pPr>
        <w:pStyle w:val="ListParagraph"/>
        <w:numPr>
          <w:ilvl w:val="0"/>
          <w:numId w:val="14"/>
        </w:numPr>
        <w:rPr>
          <w:rFonts w:ascii="Arial" w:hAnsi="Arial" w:cs="Arial"/>
          <w:lang w:val="hr-HR"/>
        </w:rPr>
      </w:pPr>
      <w:r w:rsidRPr="00C5016E">
        <w:rPr>
          <w:rFonts w:ascii="Arial" w:hAnsi="Arial" w:cs="Arial"/>
          <w:lang w:val="hr-HR"/>
        </w:rPr>
        <w:t xml:space="preserve">kamate na domaće pozajmice – trezorski zapisi i obveznice iznose 9,36 </w:t>
      </w:r>
      <w:r w:rsidR="004611A5" w:rsidRPr="00C5016E">
        <w:rPr>
          <w:rFonts w:ascii="Arial" w:hAnsi="Arial" w:cs="Arial"/>
          <w:lang w:val="hr-HR"/>
        </w:rPr>
        <w:t>milijun</w:t>
      </w:r>
      <w:r w:rsidRPr="00C5016E">
        <w:rPr>
          <w:rFonts w:ascii="Arial" w:hAnsi="Arial" w:cs="Arial"/>
          <w:lang w:val="hr-HR"/>
        </w:rPr>
        <w:t xml:space="preserve">a KM i manje za 3% ili 0,29 </w:t>
      </w:r>
      <w:r w:rsidR="004611A5" w:rsidRPr="00C5016E">
        <w:rPr>
          <w:rFonts w:ascii="Arial" w:hAnsi="Arial" w:cs="Arial"/>
          <w:lang w:val="hr-HR"/>
        </w:rPr>
        <w:t>milijun</w:t>
      </w:r>
      <w:r w:rsidRPr="00C5016E">
        <w:rPr>
          <w:rFonts w:ascii="Arial" w:hAnsi="Arial" w:cs="Arial"/>
          <w:lang w:val="hr-HR"/>
        </w:rPr>
        <w:t>a KM u odnosu na prethodnu godinu, a u odnosu na plan za 2022. godinu postotak izvršenja je 58%.</w:t>
      </w:r>
    </w:p>
    <w:p w:rsidR="00C025DC" w:rsidRPr="00C5016E" w:rsidRDefault="00C025DC" w:rsidP="00C025DC">
      <w:r w:rsidRPr="00C5016E">
        <w:t>Izdaci za kamate vezane za dug po izda</w:t>
      </w:r>
      <w:r w:rsidR="005D0FCD" w:rsidRPr="00C5016E">
        <w:t>n</w:t>
      </w:r>
      <w:r w:rsidRPr="00C5016E">
        <w:t xml:space="preserve">im garancijama su planirane u Proračunu Federacije BiH za 2022. godinu u iznosu od 12 </w:t>
      </w:r>
      <w:r w:rsidR="004611A5" w:rsidRPr="00C5016E">
        <w:t>milijun</w:t>
      </w:r>
      <w:r w:rsidRPr="00C5016E">
        <w:t>a KM, ali nije bilo ostvarenja ovih rashoda u 2022. godini.</w:t>
      </w:r>
    </w:p>
    <w:p w:rsidR="00C025DC" w:rsidRPr="00C5016E" w:rsidRDefault="00C025DC" w:rsidP="00C025DC">
      <w:pPr>
        <w:pStyle w:val="Heading2"/>
        <w:spacing w:after="120" w:line="240" w:lineRule="auto"/>
        <w:ind w:left="578" w:right="57" w:hanging="578"/>
        <w:contextualSpacing/>
        <w:rPr>
          <w:rFonts w:ascii="Arial" w:hAnsi="Arial" w:cs="Arial"/>
        </w:rPr>
      </w:pPr>
      <w:bookmarkStart w:id="79" w:name="_Toc131505220"/>
      <w:r w:rsidRPr="00C5016E">
        <w:rPr>
          <w:rFonts w:ascii="Arial" w:hAnsi="Arial" w:cs="Arial"/>
        </w:rPr>
        <w:t>Kapitalni izdaci</w:t>
      </w:r>
      <w:bookmarkEnd w:id="79"/>
      <w:r w:rsidRPr="00C5016E">
        <w:rPr>
          <w:rFonts w:ascii="Arial" w:hAnsi="Arial" w:cs="Arial"/>
        </w:rPr>
        <w:tab/>
      </w:r>
    </w:p>
    <w:p w:rsidR="00C025DC" w:rsidRPr="00C5016E" w:rsidRDefault="00C025DC" w:rsidP="00C025DC">
      <w:r w:rsidRPr="00C5016E">
        <w:t xml:space="preserve">Kapitalni izdaci </w:t>
      </w:r>
      <w:r w:rsidR="005D0FCD" w:rsidRPr="00C5016E">
        <w:t>realizirani</w:t>
      </w:r>
      <w:r w:rsidRPr="00C5016E">
        <w:t xml:space="preserve"> su u iznosu od 151,3 </w:t>
      </w:r>
      <w:r w:rsidR="004611A5" w:rsidRPr="00C5016E">
        <w:t>milijun</w:t>
      </w:r>
      <w:r w:rsidRPr="00C5016E">
        <w:t xml:space="preserve">a KM što je 35% planiranih sredstava Proračunom Federacije BiH za 2022. godinu i za 75% odnosno za 65 </w:t>
      </w:r>
      <w:r w:rsidR="004611A5" w:rsidRPr="00C5016E">
        <w:t>milijun</w:t>
      </w:r>
      <w:r w:rsidRPr="00C5016E">
        <w:t xml:space="preserve">a KM više u odnosu na izvršenje u prethodnoj godini. </w:t>
      </w:r>
    </w:p>
    <w:p w:rsidR="00C025DC" w:rsidRPr="00C5016E" w:rsidRDefault="00C025DC" w:rsidP="00C025DC">
      <w:pPr>
        <w:spacing w:before="120"/>
        <w:contextualSpacing/>
        <w:rPr>
          <w:rFonts w:cs="Arial"/>
        </w:rPr>
      </w:pPr>
    </w:p>
    <w:p w:rsidR="00C025DC" w:rsidRPr="00C5016E" w:rsidRDefault="00C025DC" w:rsidP="00C025DC">
      <w:r w:rsidRPr="00C5016E">
        <w:rPr>
          <w:noProof/>
          <w:lang w:val="bs-Latn-BA" w:eastAsia="bs-Latn-BA"/>
        </w:rPr>
        <w:lastRenderedPageBreak/>
        <w:drawing>
          <wp:inline distT="0" distB="0" distL="0" distR="0" wp14:anchorId="2A360576" wp14:editId="757C4AA5">
            <wp:extent cx="5611495" cy="2107096"/>
            <wp:effectExtent l="0" t="0" r="825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025DC" w:rsidRPr="00C5016E" w:rsidRDefault="00C025DC" w:rsidP="00C025DC">
      <w:pPr>
        <w:pStyle w:val="Caption"/>
        <w:spacing w:before="0" w:after="0"/>
        <w:contextualSpacing/>
        <w:rPr>
          <w:rFonts w:ascii="Arial" w:hAnsi="Arial" w:cs="Arial"/>
          <w:b w:val="0"/>
          <w:color w:val="auto"/>
          <w:sz w:val="22"/>
          <w:szCs w:val="24"/>
          <w:lang w:val="hr-HR"/>
        </w:rPr>
      </w:pPr>
      <w:bookmarkStart w:id="80" w:name="_Toc99940825"/>
      <w:r w:rsidRPr="00C5016E">
        <w:rPr>
          <w:rFonts w:ascii="Arial" w:hAnsi="Arial" w:cs="Arial"/>
          <w:color w:val="auto"/>
          <w:sz w:val="22"/>
          <w:szCs w:val="24"/>
          <w:lang w:val="hr-HR"/>
        </w:rPr>
        <w:t xml:space="preserve">Grafikon </w:t>
      </w:r>
      <w:r w:rsidRPr="00C5016E">
        <w:rPr>
          <w:rFonts w:ascii="Arial" w:hAnsi="Arial" w:cs="Arial"/>
          <w:color w:val="auto"/>
          <w:sz w:val="22"/>
          <w:szCs w:val="24"/>
          <w:lang w:val="hr-HR"/>
        </w:rPr>
        <w:fldChar w:fldCharType="begin"/>
      </w:r>
      <w:r w:rsidRPr="00C5016E">
        <w:rPr>
          <w:rFonts w:ascii="Arial" w:hAnsi="Arial" w:cs="Arial"/>
          <w:color w:val="auto"/>
          <w:sz w:val="22"/>
          <w:szCs w:val="24"/>
          <w:lang w:val="hr-HR"/>
        </w:rPr>
        <w:instrText xml:space="preserve"> SEQ Grafikon \* ARABIC </w:instrText>
      </w:r>
      <w:r w:rsidRPr="00C5016E">
        <w:rPr>
          <w:rFonts w:ascii="Arial" w:hAnsi="Arial" w:cs="Arial"/>
          <w:color w:val="auto"/>
          <w:sz w:val="22"/>
          <w:szCs w:val="24"/>
          <w:lang w:val="hr-HR"/>
        </w:rPr>
        <w:fldChar w:fldCharType="separate"/>
      </w:r>
      <w:r w:rsidR="0070505C" w:rsidRPr="00C5016E">
        <w:rPr>
          <w:rFonts w:ascii="Arial" w:hAnsi="Arial" w:cs="Arial"/>
          <w:noProof/>
          <w:color w:val="auto"/>
          <w:sz w:val="22"/>
          <w:szCs w:val="24"/>
          <w:lang w:val="hr-HR"/>
        </w:rPr>
        <w:t>10</w:t>
      </w:r>
      <w:r w:rsidRPr="00C5016E">
        <w:rPr>
          <w:rFonts w:ascii="Arial" w:hAnsi="Arial" w:cs="Arial"/>
          <w:color w:val="auto"/>
          <w:sz w:val="22"/>
          <w:szCs w:val="24"/>
          <w:lang w:val="hr-HR"/>
        </w:rPr>
        <w:fldChar w:fldCharType="end"/>
      </w:r>
      <w:r w:rsidRPr="00C5016E">
        <w:rPr>
          <w:rFonts w:ascii="Arial" w:hAnsi="Arial" w:cs="Arial"/>
          <w:color w:val="auto"/>
          <w:sz w:val="22"/>
          <w:szCs w:val="24"/>
          <w:lang w:val="hr-HR"/>
        </w:rPr>
        <w:t xml:space="preserve">: </w:t>
      </w:r>
      <w:r w:rsidRPr="00C5016E">
        <w:rPr>
          <w:rFonts w:ascii="Arial" w:hAnsi="Arial" w:cs="Arial"/>
          <w:b w:val="0"/>
          <w:color w:val="auto"/>
          <w:sz w:val="22"/>
          <w:szCs w:val="24"/>
          <w:lang w:val="hr-HR"/>
        </w:rPr>
        <w:t>Struktura kapitalnih izdataka</w:t>
      </w:r>
      <w:bookmarkEnd w:id="80"/>
    </w:p>
    <w:p w:rsidR="00C025DC" w:rsidRPr="00C5016E" w:rsidRDefault="00C025DC" w:rsidP="00C025DC">
      <w:r w:rsidRPr="00C5016E">
        <w:t xml:space="preserve">Na </w:t>
      </w:r>
      <w:r w:rsidR="005D0FCD" w:rsidRPr="00C5016E">
        <w:t>temelju</w:t>
      </w:r>
      <w:r w:rsidRPr="00C5016E">
        <w:t xml:space="preserve"> prethodnog grafikona uočavamo da se izdvajanja po osnov</w:t>
      </w:r>
      <w:r w:rsidR="005D0FCD" w:rsidRPr="00C5016E">
        <w:t>i</w:t>
      </w:r>
      <w:r w:rsidRPr="00C5016E">
        <w:t xml:space="preserve"> kapitalnih izdataka odnose na kapitalne transfere u iznosu od 109,1 </w:t>
      </w:r>
      <w:r w:rsidR="004611A5" w:rsidRPr="00C5016E">
        <w:t>milijun</w:t>
      </w:r>
      <w:r w:rsidRPr="00C5016E">
        <w:t xml:space="preserve"> KM, što čini 72 % ukupnih kapitalnih izdataka i 42,2 </w:t>
      </w:r>
      <w:r w:rsidR="004611A5" w:rsidRPr="00C5016E">
        <w:t>milijun</w:t>
      </w:r>
      <w:r w:rsidR="005D0FCD" w:rsidRPr="00C5016E">
        <w:t>a KM za nabav</w:t>
      </w:r>
      <w:r w:rsidRPr="00C5016E">
        <w:t>u stalnih sredstava, odnosno 28% ukupnih kapitalnih izdataka.</w:t>
      </w:r>
    </w:p>
    <w:p w:rsidR="00C025DC" w:rsidRPr="00C5016E" w:rsidRDefault="005D0FCD" w:rsidP="00C025DC">
      <w:pPr>
        <w:pStyle w:val="Heading3"/>
        <w:spacing w:after="120"/>
        <w:contextualSpacing/>
        <w:rPr>
          <w:rFonts w:cs="Arial"/>
        </w:rPr>
      </w:pPr>
      <w:bookmarkStart w:id="81" w:name="_Toc131505221"/>
      <w:r w:rsidRPr="00C5016E">
        <w:rPr>
          <w:rFonts w:cs="Arial"/>
        </w:rPr>
        <w:t>Izdaci za nabav</w:t>
      </w:r>
      <w:r w:rsidR="00C025DC" w:rsidRPr="00C5016E">
        <w:rPr>
          <w:rFonts w:cs="Arial"/>
        </w:rPr>
        <w:t>u stalnih sredstava</w:t>
      </w:r>
      <w:bookmarkEnd w:id="81"/>
    </w:p>
    <w:p w:rsidR="00C025DC" w:rsidRPr="00C5016E" w:rsidRDefault="005D0FCD" w:rsidP="00C025DC">
      <w:pPr>
        <w:spacing w:before="120"/>
        <w:contextualSpacing/>
        <w:rPr>
          <w:rFonts w:cs="Arial"/>
        </w:rPr>
      </w:pPr>
      <w:r w:rsidRPr="00C5016E">
        <w:rPr>
          <w:rFonts w:cs="Arial"/>
        </w:rPr>
        <w:t>Za nabav</w:t>
      </w:r>
      <w:r w:rsidR="00C025DC" w:rsidRPr="00C5016E">
        <w:rPr>
          <w:rFonts w:cs="Arial"/>
        </w:rPr>
        <w:t xml:space="preserve">u stalnih sredstava izdvojena su sredstva u ukupnom iznosu od 42,2 </w:t>
      </w:r>
      <w:r w:rsidR="004611A5" w:rsidRPr="00C5016E">
        <w:rPr>
          <w:rFonts w:cs="Arial"/>
        </w:rPr>
        <w:t>milijun</w:t>
      </w:r>
      <w:r w:rsidR="00C025DC" w:rsidRPr="00C5016E">
        <w:rPr>
          <w:rFonts w:cs="Arial"/>
        </w:rPr>
        <w:t xml:space="preserve">a KM, što je 36% od planiranog za 2022. godinu i 191% odnosno 27,7 </w:t>
      </w:r>
      <w:r w:rsidR="004611A5" w:rsidRPr="00C5016E">
        <w:rPr>
          <w:rFonts w:cs="Arial"/>
        </w:rPr>
        <w:t>milijun</w:t>
      </w:r>
      <w:r w:rsidR="00C025DC" w:rsidRPr="00C5016E">
        <w:rPr>
          <w:rFonts w:cs="Arial"/>
        </w:rPr>
        <w:t>a KM više izvršenje u odnosu na 2021. godinu. Navedeni utrošak odnosi se na:</w:t>
      </w:r>
    </w:p>
    <w:p w:rsidR="00C025DC" w:rsidRPr="00C5016E" w:rsidRDefault="00C025DC" w:rsidP="00C025DC">
      <w:pPr>
        <w:numPr>
          <w:ilvl w:val="0"/>
          <w:numId w:val="24"/>
        </w:numPr>
        <w:spacing w:before="120"/>
        <w:contextualSpacing/>
        <w:rPr>
          <w:rFonts w:cs="Arial"/>
        </w:rPr>
      </w:pPr>
      <w:r w:rsidRPr="00C5016E">
        <w:rPr>
          <w:rFonts w:cs="Arial"/>
        </w:rPr>
        <w:t xml:space="preserve">6,6 </w:t>
      </w:r>
      <w:r w:rsidR="004611A5" w:rsidRPr="00C5016E">
        <w:rPr>
          <w:rFonts w:cs="Arial"/>
        </w:rPr>
        <w:t>milijun</w:t>
      </w:r>
      <w:r w:rsidR="005D0FCD" w:rsidRPr="00C5016E">
        <w:rPr>
          <w:rFonts w:cs="Arial"/>
        </w:rPr>
        <w:t>a KM za nabavu građevina</w:t>
      </w:r>
    </w:p>
    <w:p w:rsidR="00C025DC" w:rsidRPr="00C5016E" w:rsidRDefault="00C025DC" w:rsidP="00C025DC">
      <w:pPr>
        <w:numPr>
          <w:ilvl w:val="0"/>
          <w:numId w:val="24"/>
        </w:numPr>
        <w:spacing w:before="120"/>
        <w:contextualSpacing/>
        <w:rPr>
          <w:rFonts w:cs="Arial"/>
        </w:rPr>
      </w:pPr>
      <w:r w:rsidRPr="00C5016E">
        <w:rPr>
          <w:rFonts w:cs="Arial"/>
        </w:rPr>
        <w:t xml:space="preserve">11,7 </w:t>
      </w:r>
      <w:r w:rsidR="004611A5" w:rsidRPr="00C5016E">
        <w:rPr>
          <w:rFonts w:cs="Arial"/>
        </w:rPr>
        <w:t>milijun</w:t>
      </w:r>
      <w:r w:rsidR="005D0FCD" w:rsidRPr="00C5016E">
        <w:rPr>
          <w:rFonts w:cs="Arial"/>
        </w:rPr>
        <w:t>a KM nabavu opreme,</w:t>
      </w:r>
    </w:p>
    <w:p w:rsidR="00C025DC" w:rsidRPr="00C5016E" w:rsidRDefault="00C025DC" w:rsidP="00C025DC">
      <w:pPr>
        <w:numPr>
          <w:ilvl w:val="0"/>
          <w:numId w:val="24"/>
        </w:numPr>
        <w:spacing w:before="120"/>
        <w:contextualSpacing/>
        <w:rPr>
          <w:rFonts w:cs="Arial"/>
        </w:rPr>
      </w:pPr>
      <w:r w:rsidRPr="00C5016E">
        <w:rPr>
          <w:rFonts w:cs="Arial"/>
        </w:rPr>
        <w:t xml:space="preserve">19,5 </w:t>
      </w:r>
      <w:r w:rsidR="004611A5" w:rsidRPr="00C5016E">
        <w:rPr>
          <w:rFonts w:cs="Arial"/>
        </w:rPr>
        <w:t>milijun</w:t>
      </w:r>
      <w:r w:rsidR="005D0FCD" w:rsidRPr="00C5016E">
        <w:rPr>
          <w:rFonts w:cs="Arial"/>
        </w:rPr>
        <w:t>a KM nabava ostalih stalnih sredstava</w:t>
      </w:r>
    </w:p>
    <w:p w:rsidR="00C025DC" w:rsidRPr="00C5016E" w:rsidRDefault="00C025DC" w:rsidP="00C025DC">
      <w:pPr>
        <w:numPr>
          <w:ilvl w:val="0"/>
          <w:numId w:val="24"/>
        </w:numPr>
        <w:spacing w:before="120"/>
        <w:contextualSpacing/>
        <w:rPr>
          <w:rFonts w:cs="Arial"/>
        </w:rPr>
      </w:pPr>
      <w:r w:rsidRPr="00C5016E">
        <w:rPr>
          <w:rFonts w:cs="Arial"/>
        </w:rPr>
        <w:t xml:space="preserve">3,6 </w:t>
      </w:r>
      <w:r w:rsidR="004611A5" w:rsidRPr="00C5016E">
        <w:rPr>
          <w:rFonts w:cs="Arial"/>
        </w:rPr>
        <w:t>milijun</w:t>
      </w:r>
      <w:r w:rsidR="005D0FCD" w:rsidRPr="00C5016E">
        <w:rPr>
          <w:rFonts w:cs="Arial"/>
        </w:rPr>
        <w:t>a KM nabav</w:t>
      </w:r>
      <w:r w:rsidRPr="00C5016E">
        <w:rPr>
          <w:rFonts w:cs="Arial"/>
        </w:rPr>
        <w:t>u s</w:t>
      </w:r>
      <w:r w:rsidR="005D0FCD" w:rsidRPr="00C5016E">
        <w:rPr>
          <w:rFonts w:cs="Arial"/>
        </w:rPr>
        <w:t>talnih sredstava u obliku prava</w:t>
      </w:r>
      <w:r w:rsidRPr="00C5016E">
        <w:rPr>
          <w:rFonts w:cs="Arial"/>
        </w:rPr>
        <w:t xml:space="preserve"> te </w:t>
      </w:r>
    </w:p>
    <w:p w:rsidR="00C025DC" w:rsidRPr="00C5016E" w:rsidRDefault="00C025DC" w:rsidP="00C025DC">
      <w:pPr>
        <w:numPr>
          <w:ilvl w:val="0"/>
          <w:numId w:val="24"/>
        </w:numPr>
        <w:spacing w:before="120"/>
        <w:contextualSpacing/>
        <w:rPr>
          <w:rFonts w:cs="Arial"/>
        </w:rPr>
      </w:pPr>
      <w:r w:rsidRPr="00C5016E">
        <w:rPr>
          <w:rFonts w:cs="Arial"/>
        </w:rPr>
        <w:t xml:space="preserve">0,8 </w:t>
      </w:r>
      <w:r w:rsidR="004611A5" w:rsidRPr="00C5016E">
        <w:rPr>
          <w:rFonts w:cs="Arial"/>
        </w:rPr>
        <w:t>milijun</w:t>
      </w:r>
      <w:r w:rsidRPr="00C5016E">
        <w:rPr>
          <w:rFonts w:cs="Arial"/>
        </w:rPr>
        <w:t>a KM odnosi na rekonstrukciju i investici</w:t>
      </w:r>
      <w:r w:rsidR="005D0FCD" w:rsidRPr="00C5016E">
        <w:rPr>
          <w:rFonts w:cs="Arial"/>
        </w:rPr>
        <w:t>jsko</w:t>
      </w:r>
      <w:r w:rsidRPr="00C5016E">
        <w:rPr>
          <w:rFonts w:cs="Arial"/>
        </w:rPr>
        <w:t xml:space="preserve"> održavanje.</w:t>
      </w:r>
    </w:p>
    <w:p w:rsidR="00C025DC" w:rsidRPr="00C5016E" w:rsidRDefault="00C025DC" w:rsidP="00C025DC">
      <w:pPr>
        <w:pStyle w:val="Heading3"/>
        <w:spacing w:after="120"/>
        <w:contextualSpacing/>
        <w:rPr>
          <w:rFonts w:cs="Arial"/>
        </w:rPr>
      </w:pPr>
      <w:bookmarkStart w:id="82" w:name="_Toc131505222"/>
      <w:r w:rsidRPr="00C5016E">
        <w:rPr>
          <w:rFonts w:cs="Arial"/>
        </w:rPr>
        <w:t>Kapitalni transferi</w:t>
      </w:r>
      <w:bookmarkEnd w:id="82"/>
    </w:p>
    <w:p w:rsidR="00C025DC" w:rsidRPr="00C5016E" w:rsidRDefault="00C025DC" w:rsidP="00C025DC">
      <w:pPr>
        <w:spacing w:before="0" w:after="0"/>
        <w:rPr>
          <w:rFonts w:cs="Arial"/>
        </w:rPr>
      </w:pPr>
      <w:r w:rsidRPr="00C5016E">
        <w:rPr>
          <w:rFonts w:cs="Arial"/>
        </w:rPr>
        <w:t xml:space="preserve">Kapitalni transferi </w:t>
      </w:r>
      <w:r w:rsidR="005D0FCD" w:rsidRPr="00C5016E">
        <w:rPr>
          <w:rFonts w:cs="Arial"/>
        </w:rPr>
        <w:t>realizirani</w:t>
      </w:r>
      <w:r w:rsidRPr="00C5016E">
        <w:rPr>
          <w:rFonts w:cs="Arial"/>
        </w:rPr>
        <w:t xml:space="preserve"> su u iznosu od 109,1 </w:t>
      </w:r>
      <w:r w:rsidR="004611A5" w:rsidRPr="00C5016E">
        <w:rPr>
          <w:rFonts w:cs="Arial"/>
        </w:rPr>
        <w:t>milijun</w:t>
      </w:r>
      <w:r w:rsidRPr="00C5016E">
        <w:rPr>
          <w:rFonts w:cs="Arial"/>
        </w:rPr>
        <w:t xml:space="preserve"> KM, što je 34% od </w:t>
      </w:r>
      <w:r w:rsidRPr="00C5016E">
        <w:t>ukupno planiranih sredstava Proračunom Federacije BiH za 2022. godinu</w:t>
      </w:r>
      <w:r w:rsidRPr="00C5016E">
        <w:rPr>
          <w:rFonts w:cs="Arial"/>
        </w:rPr>
        <w:t xml:space="preserve"> i za 52% ili 37,3 </w:t>
      </w:r>
      <w:r w:rsidR="004611A5" w:rsidRPr="00C5016E">
        <w:rPr>
          <w:rFonts w:cs="Arial"/>
        </w:rPr>
        <w:t>milijun</w:t>
      </w:r>
      <w:r w:rsidRPr="00C5016E">
        <w:rPr>
          <w:rFonts w:cs="Arial"/>
        </w:rPr>
        <w:t xml:space="preserve">a većim ostvarenjem u odnosu na 2021. godinu. Shodno navedenom iznos kapitalnih izdataka odnosi se na: </w:t>
      </w:r>
    </w:p>
    <w:p w:rsidR="00C025DC" w:rsidRPr="00C5016E" w:rsidRDefault="00C025DC" w:rsidP="005D0FCD">
      <w:pPr>
        <w:pStyle w:val="ListParagraph"/>
        <w:numPr>
          <w:ilvl w:val="0"/>
          <w:numId w:val="40"/>
        </w:numPr>
        <w:spacing w:before="0" w:after="0"/>
        <w:rPr>
          <w:rFonts w:ascii="Arial" w:hAnsi="Arial" w:cs="Arial"/>
          <w:szCs w:val="24"/>
          <w:lang w:val="hr-HR"/>
        </w:rPr>
      </w:pPr>
      <w:r w:rsidRPr="00C5016E">
        <w:rPr>
          <w:rFonts w:ascii="Arial" w:hAnsi="Arial" w:cs="Arial"/>
          <w:lang w:val="hr-HR"/>
        </w:rPr>
        <w:t xml:space="preserve">kapitalni transfer drugim </w:t>
      </w:r>
      <w:r w:rsidR="005D0FCD" w:rsidRPr="00C5016E">
        <w:rPr>
          <w:rFonts w:ascii="Arial" w:hAnsi="Arial" w:cs="Arial"/>
          <w:lang w:val="hr-HR"/>
        </w:rPr>
        <w:t>razinama</w:t>
      </w:r>
      <w:r w:rsidRPr="00C5016E">
        <w:rPr>
          <w:rFonts w:ascii="Arial" w:hAnsi="Arial" w:cs="Arial"/>
          <w:lang w:val="hr-HR"/>
        </w:rPr>
        <w:t xml:space="preserve"> vlasti u iznosu od 42,2 </w:t>
      </w:r>
      <w:r w:rsidR="004611A5" w:rsidRPr="00C5016E">
        <w:rPr>
          <w:rFonts w:ascii="Arial" w:hAnsi="Arial" w:cs="Arial"/>
          <w:lang w:val="hr-HR"/>
        </w:rPr>
        <w:t>milijun</w:t>
      </w:r>
      <w:r w:rsidR="005D0FCD" w:rsidRPr="00C5016E">
        <w:rPr>
          <w:rFonts w:ascii="Arial" w:hAnsi="Arial" w:cs="Arial"/>
          <w:lang w:val="hr-HR"/>
        </w:rPr>
        <w:t>a KM</w:t>
      </w:r>
    </w:p>
    <w:p w:rsidR="00C025DC" w:rsidRPr="00C5016E" w:rsidRDefault="00C025DC" w:rsidP="00C025DC">
      <w:pPr>
        <w:pStyle w:val="ListParagraph"/>
        <w:numPr>
          <w:ilvl w:val="0"/>
          <w:numId w:val="40"/>
        </w:numPr>
        <w:spacing w:before="0" w:after="0"/>
        <w:rPr>
          <w:rFonts w:ascii="Arial" w:hAnsi="Arial" w:cs="Arial"/>
          <w:szCs w:val="24"/>
          <w:lang w:val="hr-HR"/>
        </w:rPr>
      </w:pPr>
      <w:r w:rsidRPr="00C5016E">
        <w:rPr>
          <w:rFonts w:ascii="Arial" w:hAnsi="Arial" w:cs="Arial"/>
          <w:lang w:val="hr-HR"/>
        </w:rPr>
        <w:t xml:space="preserve">kapitalni transfer neprofitnim organizacijama u iznosu od 2,7 </w:t>
      </w:r>
      <w:r w:rsidR="004611A5" w:rsidRPr="00C5016E">
        <w:rPr>
          <w:rFonts w:ascii="Arial" w:hAnsi="Arial" w:cs="Arial"/>
          <w:lang w:val="hr-HR"/>
        </w:rPr>
        <w:t>milijun</w:t>
      </w:r>
      <w:r w:rsidR="005D0FCD" w:rsidRPr="00C5016E">
        <w:rPr>
          <w:rFonts w:ascii="Arial" w:hAnsi="Arial" w:cs="Arial"/>
          <w:lang w:val="hr-HR"/>
        </w:rPr>
        <w:t>a KM</w:t>
      </w:r>
    </w:p>
    <w:p w:rsidR="00C025DC" w:rsidRPr="00C5016E" w:rsidRDefault="00C025DC" w:rsidP="00C025DC">
      <w:pPr>
        <w:pStyle w:val="ListParagraph"/>
        <w:numPr>
          <w:ilvl w:val="0"/>
          <w:numId w:val="40"/>
        </w:numPr>
        <w:spacing w:before="0" w:after="0"/>
        <w:rPr>
          <w:rFonts w:ascii="Arial" w:hAnsi="Arial" w:cs="Arial"/>
          <w:szCs w:val="24"/>
          <w:lang w:val="hr-HR"/>
        </w:rPr>
      </w:pPr>
      <w:r w:rsidRPr="00C5016E">
        <w:rPr>
          <w:rFonts w:ascii="Arial" w:hAnsi="Arial" w:cs="Arial"/>
          <w:lang w:val="hr-HR"/>
        </w:rPr>
        <w:t xml:space="preserve">kapitalni transfer pojedincima (automobili za invalide) u iznosu od 1,5 </w:t>
      </w:r>
      <w:r w:rsidR="004611A5" w:rsidRPr="00C5016E">
        <w:rPr>
          <w:rFonts w:ascii="Arial" w:hAnsi="Arial" w:cs="Arial"/>
          <w:lang w:val="hr-HR"/>
        </w:rPr>
        <w:t>milijun</w:t>
      </w:r>
      <w:r w:rsidR="005D0FCD" w:rsidRPr="00C5016E">
        <w:rPr>
          <w:rFonts w:ascii="Arial" w:hAnsi="Arial" w:cs="Arial"/>
          <w:lang w:val="hr-HR"/>
        </w:rPr>
        <w:t>a KM</w:t>
      </w:r>
    </w:p>
    <w:p w:rsidR="00C025DC" w:rsidRPr="00C5016E" w:rsidRDefault="00C025DC" w:rsidP="00C025DC">
      <w:pPr>
        <w:pStyle w:val="ListParagraph"/>
        <w:numPr>
          <w:ilvl w:val="0"/>
          <w:numId w:val="40"/>
        </w:numPr>
        <w:spacing w:before="0" w:after="0"/>
        <w:rPr>
          <w:rFonts w:ascii="Arial" w:hAnsi="Arial" w:cs="Arial"/>
          <w:szCs w:val="24"/>
          <w:lang w:val="hr-HR"/>
        </w:rPr>
      </w:pPr>
      <w:r w:rsidRPr="00C5016E">
        <w:rPr>
          <w:rFonts w:ascii="Arial" w:hAnsi="Arial" w:cs="Arial"/>
          <w:lang w:val="hr-HR"/>
        </w:rPr>
        <w:t>kapitalni transfer javnim p</w:t>
      </w:r>
      <w:r w:rsidR="005D0FCD" w:rsidRPr="00C5016E">
        <w:rPr>
          <w:rFonts w:ascii="Arial" w:hAnsi="Arial" w:cs="Arial"/>
          <w:lang w:val="hr-HR"/>
        </w:rPr>
        <w:t>o</w:t>
      </w:r>
      <w:r w:rsidRPr="00C5016E">
        <w:rPr>
          <w:rFonts w:ascii="Arial" w:hAnsi="Arial" w:cs="Arial"/>
          <w:lang w:val="hr-HR"/>
        </w:rPr>
        <w:t xml:space="preserve">duzećima u iznosu od 62,7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ListParagraph"/>
        <w:numPr>
          <w:ilvl w:val="0"/>
          <w:numId w:val="41"/>
        </w:numPr>
        <w:spacing w:before="0" w:after="0"/>
        <w:rPr>
          <w:rFonts w:ascii="Arial" w:hAnsi="Arial" w:cs="Arial"/>
          <w:szCs w:val="24"/>
          <w:lang w:val="hr-HR"/>
        </w:rPr>
      </w:pPr>
      <w:r w:rsidRPr="00C5016E">
        <w:rPr>
          <w:rFonts w:ascii="Arial" w:hAnsi="Arial" w:cs="Arial"/>
          <w:lang w:val="hr-HR"/>
        </w:rPr>
        <w:t xml:space="preserve">transfer za izgradnju autocesta i brzih cesta iz sredstava podračuna „Upravljanje razvojnim sredstvima za implementaciju sredstava namijenjenih za financiranje kapitalnih infrastrukturnih projekata“ u iznosu od 44,7 </w:t>
      </w:r>
      <w:r w:rsidR="004611A5" w:rsidRPr="00C5016E">
        <w:rPr>
          <w:rFonts w:ascii="Arial" w:hAnsi="Arial" w:cs="Arial"/>
          <w:lang w:val="hr-HR"/>
        </w:rPr>
        <w:t>milijun</w:t>
      </w:r>
      <w:r w:rsidRPr="00C5016E">
        <w:rPr>
          <w:rFonts w:ascii="Arial" w:hAnsi="Arial" w:cs="Arial"/>
          <w:lang w:val="hr-HR"/>
        </w:rPr>
        <w:t>a KM</w:t>
      </w:r>
      <w:r w:rsidR="005D0FCD" w:rsidRPr="00C5016E">
        <w:rPr>
          <w:rFonts w:ascii="Arial" w:hAnsi="Arial" w:cs="Arial"/>
          <w:lang w:val="hr-HR"/>
        </w:rPr>
        <w:t>;</w:t>
      </w:r>
      <w:r w:rsidRPr="00C5016E">
        <w:rPr>
          <w:rFonts w:ascii="Arial" w:hAnsi="Arial" w:cs="Arial"/>
          <w:lang w:val="hr-HR"/>
        </w:rPr>
        <w:t xml:space="preserve"> </w:t>
      </w:r>
    </w:p>
    <w:p w:rsidR="00C025DC" w:rsidRPr="00C5016E" w:rsidRDefault="00C025DC" w:rsidP="00C025DC">
      <w:pPr>
        <w:pStyle w:val="ListParagraph"/>
        <w:numPr>
          <w:ilvl w:val="0"/>
          <w:numId w:val="41"/>
        </w:numPr>
        <w:spacing w:before="0" w:after="0"/>
        <w:rPr>
          <w:rFonts w:ascii="Arial" w:hAnsi="Arial" w:cs="Arial"/>
          <w:szCs w:val="24"/>
          <w:lang w:val="hr-HR"/>
        </w:rPr>
      </w:pPr>
      <w:r w:rsidRPr="00C5016E">
        <w:rPr>
          <w:rFonts w:ascii="Arial" w:hAnsi="Arial" w:cs="Arial"/>
          <w:lang w:val="hr-HR"/>
        </w:rPr>
        <w:lastRenderedPageBreak/>
        <w:t xml:space="preserve">transfer za povećanje kapitala NTF d.o.o. Ploče u iznosu od 4,00 </w:t>
      </w:r>
      <w:r w:rsidR="004611A5" w:rsidRPr="00C5016E">
        <w:rPr>
          <w:rFonts w:ascii="Arial" w:hAnsi="Arial" w:cs="Arial"/>
          <w:lang w:val="hr-HR"/>
        </w:rPr>
        <w:t>milijun</w:t>
      </w:r>
      <w:r w:rsidRPr="00C5016E">
        <w:rPr>
          <w:rFonts w:ascii="Arial" w:hAnsi="Arial" w:cs="Arial"/>
          <w:lang w:val="hr-HR"/>
        </w:rPr>
        <w:t>a KM</w:t>
      </w:r>
      <w:r w:rsidR="005D0FCD" w:rsidRPr="00C5016E">
        <w:rPr>
          <w:rFonts w:ascii="Arial" w:hAnsi="Arial" w:cs="Arial"/>
          <w:lang w:val="hr-HR"/>
        </w:rPr>
        <w:t>;</w:t>
      </w:r>
    </w:p>
    <w:p w:rsidR="00C025DC" w:rsidRPr="00C5016E" w:rsidRDefault="00C025DC" w:rsidP="00C025DC">
      <w:pPr>
        <w:pStyle w:val="ListParagraph"/>
        <w:numPr>
          <w:ilvl w:val="0"/>
          <w:numId w:val="41"/>
        </w:numPr>
        <w:spacing w:before="0" w:after="0"/>
        <w:rPr>
          <w:rFonts w:ascii="Arial" w:hAnsi="Arial" w:cs="Arial"/>
          <w:szCs w:val="24"/>
          <w:lang w:val="hr-HR"/>
        </w:rPr>
      </w:pPr>
      <w:r w:rsidRPr="00C5016E">
        <w:rPr>
          <w:rFonts w:ascii="Arial" w:hAnsi="Arial" w:cs="Arial"/>
          <w:szCs w:val="24"/>
          <w:lang w:val="hr-HR" w:eastAsia="bs-Latn-BA"/>
        </w:rPr>
        <w:t xml:space="preserve">transfer za sufinanciranje izgradnje željezničke infrastrukture u iznosu od 5,00 </w:t>
      </w:r>
      <w:r w:rsidR="004611A5" w:rsidRPr="00C5016E">
        <w:rPr>
          <w:rFonts w:ascii="Arial" w:hAnsi="Arial" w:cs="Arial"/>
          <w:szCs w:val="24"/>
          <w:lang w:val="hr-HR" w:eastAsia="bs-Latn-BA"/>
        </w:rPr>
        <w:t>milijun</w:t>
      </w:r>
      <w:r w:rsidRPr="00C5016E">
        <w:rPr>
          <w:rFonts w:ascii="Arial" w:hAnsi="Arial" w:cs="Arial"/>
          <w:szCs w:val="24"/>
          <w:lang w:val="hr-HR" w:eastAsia="bs-Latn-BA"/>
        </w:rPr>
        <w:t>a KM</w:t>
      </w:r>
      <w:r w:rsidR="005D0FCD" w:rsidRPr="00C5016E">
        <w:rPr>
          <w:rFonts w:ascii="Arial" w:hAnsi="Arial" w:cs="Arial"/>
          <w:szCs w:val="24"/>
          <w:lang w:val="hr-HR" w:eastAsia="bs-Latn-BA"/>
        </w:rPr>
        <w:t>;</w:t>
      </w:r>
    </w:p>
    <w:p w:rsidR="00C025DC" w:rsidRPr="00C5016E" w:rsidRDefault="00C025DC" w:rsidP="00C025DC">
      <w:pPr>
        <w:pStyle w:val="ListParagraph"/>
        <w:numPr>
          <w:ilvl w:val="0"/>
          <w:numId w:val="41"/>
        </w:numPr>
        <w:spacing w:before="0" w:after="0"/>
        <w:rPr>
          <w:rFonts w:ascii="Arial" w:hAnsi="Arial" w:cs="Arial"/>
          <w:szCs w:val="24"/>
          <w:lang w:val="hr-HR"/>
        </w:rPr>
      </w:pPr>
      <w:r w:rsidRPr="00C5016E">
        <w:rPr>
          <w:rFonts w:ascii="Arial" w:hAnsi="Arial" w:cs="Arial"/>
          <w:szCs w:val="24"/>
          <w:lang w:val="hr-HR" w:eastAsia="bs-Latn-BA"/>
        </w:rPr>
        <w:t xml:space="preserve">transfer </w:t>
      </w:r>
      <w:r w:rsidRPr="00C5016E">
        <w:rPr>
          <w:rFonts w:ascii="Arial" w:hAnsi="Arial" w:cs="Arial"/>
          <w:lang w:val="hr-HR"/>
        </w:rPr>
        <w:t xml:space="preserve">za pomoć aerodromima s Posebnog transakcijskog računa - razvoj i unapređenje </w:t>
      </w:r>
      <w:r w:rsidR="00750D39" w:rsidRPr="00C5016E">
        <w:rPr>
          <w:rFonts w:ascii="Arial" w:hAnsi="Arial" w:cs="Arial"/>
          <w:lang w:val="hr-HR"/>
        </w:rPr>
        <w:t xml:space="preserve">zračnog </w:t>
      </w:r>
      <w:r w:rsidRPr="00C5016E">
        <w:rPr>
          <w:rFonts w:ascii="Arial" w:hAnsi="Arial" w:cs="Arial"/>
          <w:lang w:val="hr-HR"/>
        </w:rPr>
        <w:t>prometa u iznosu od 6 mili</w:t>
      </w:r>
      <w:r w:rsidR="005D0FCD" w:rsidRPr="00C5016E">
        <w:rPr>
          <w:rFonts w:ascii="Arial" w:hAnsi="Arial" w:cs="Arial"/>
          <w:lang w:val="hr-HR"/>
        </w:rPr>
        <w:t>juna KM;</w:t>
      </w:r>
    </w:p>
    <w:p w:rsidR="00C025DC" w:rsidRPr="00C5016E" w:rsidRDefault="00C025DC" w:rsidP="00C025DC">
      <w:pPr>
        <w:pStyle w:val="ListParagraph"/>
        <w:numPr>
          <w:ilvl w:val="0"/>
          <w:numId w:val="41"/>
        </w:numPr>
        <w:spacing w:before="0" w:after="0"/>
        <w:rPr>
          <w:rFonts w:ascii="Arial" w:hAnsi="Arial" w:cs="Arial"/>
          <w:szCs w:val="24"/>
          <w:lang w:val="hr-HR"/>
        </w:rPr>
      </w:pPr>
      <w:r w:rsidRPr="00C5016E">
        <w:rPr>
          <w:rFonts w:ascii="Arial" w:hAnsi="Arial" w:cs="Arial"/>
          <w:szCs w:val="24"/>
          <w:lang w:val="hr-HR" w:eastAsia="bs-Latn-BA"/>
        </w:rPr>
        <w:t xml:space="preserve">transfer za JP „Aerodrom Bihać“ u iznosu od 3 </w:t>
      </w:r>
      <w:r w:rsidR="004611A5" w:rsidRPr="00C5016E">
        <w:rPr>
          <w:rFonts w:ascii="Arial" w:hAnsi="Arial" w:cs="Arial"/>
          <w:szCs w:val="24"/>
          <w:lang w:val="hr-HR" w:eastAsia="bs-Latn-BA"/>
        </w:rPr>
        <w:t>milijun</w:t>
      </w:r>
      <w:r w:rsidRPr="00C5016E">
        <w:rPr>
          <w:rFonts w:ascii="Arial" w:hAnsi="Arial" w:cs="Arial"/>
          <w:szCs w:val="24"/>
          <w:lang w:val="hr-HR" w:eastAsia="bs-Latn-BA"/>
        </w:rPr>
        <w:t>a KM</w:t>
      </w:r>
      <w:r w:rsidRPr="00C5016E">
        <w:rPr>
          <w:rFonts w:ascii="Arial" w:hAnsi="Arial" w:cs="Arial"/>
          <w:szCs w:val="24"/>
          <w:lang w:val="hr-HR"/>
        </w:rPr>
        <w:t>.</w:t>
      </w:r>
    </w:p>
    <w:p w:rsidR="00C025DC" w:rsidRPr="00C5016E" w:rsidRDefault="00C025DC" w:rsidP="00C025DC">
      <w:pPr>
        <w:pStyle w:val="Heading2"/>
        <w:spacing w:after="120" w:line="240" w:lineRule="auto"/>
        <w:ind w:left="578" w:right="57" w:hanging="578"/>
        <w:contextualSpacing/>
        <w:rPr>
          <w:rFonts w:ascii="Arial" w:hAnsi="Arial" w:cs="Arial"/>
        </w:rPr>
      </w:pPr>
      <w:bookmarkStart w:id="83" w:name="_Toc131505223"/>
      <w:r w:rsidRPr="00C5016E">
        <w:rPr>
          <w:rFonts w:ascii="Arial" w:hAnsi="Arial" w:cs="Arial"/>
        </w:rPr>
        <w:t>Izdaci za financijsku imovinu</w:t>
      </w:r>
      <w:bookmarkEnd w:id="83"/>
      <w:r w:rsidRPr="00C5016E">
        <w:rPr>
          <w:rFonts w:ascii="Arial" w:hAnsi="Arial" w:cs="Arial"/>
        </w:rPr>
        <w:tab/>
      </w:r>
    </w:p>
    <w:p w:rsidR="00C025DC" w:rsidRPr="00C5016E" w:rsidRDefault="00C025DC" w:rsidP="00C025DC">
      <w:r w:rsidRPr="00C5016E">
        <w:t xml:space="preserve">Izdaci za financijsku imovinu iznose 18,5 </w:t>
      </w:r>
      <w:r w:rsidR="004611A5" w:rsidRPr="00C5016E">
        <w:t>milijun</w:t>
      </w:r>
      <w:r w:rsidRPr="00C5016E">
        <w:t xml:space="preserve">a KM što je za 3% ili 0,54 </w:t>
      </w:r>
      <w:r w:rsidR="004611A5" w:rsidRPr="00C5016E">
        <w:t>milijun</w:t>
      </w:r>
      <w:r w:rsidRPr="00C5016E">
        <w:t>a KM veće ostvarenje u odnosu na prethodnu godinu. P</w:t>
      </w:r>
      <w:r w:rsidR="005D0FCD" w:rsidRPr="00C5016E">
        <w:t>ostotak</w:t>
      </w:r>
      <w:r w:rsidRPr="00C5016E">
        <w:t xml:space="preserve"> izvršenja u odnosu na Proračun Federacije BiH za 2022. godinu je 100%. Strukturu izdataka za kamate i ostale naknade čine:</w:t>
      </w:r>
    </w:p>
    <w:p w:rsidR="00C025DC" w:rsidRPr="00C5016E" w:rsidRDefault="00C025DC" w:rsidP="00C025DC">
      <w:pPr>
        <w:pStyle w:val="ListParagraph"/>
        <w:numPr>
          <w:ilvl w:val="0"/>
          <w:numId w:val="28"/>
        </w:numPr>
        <w:spacing w:before="120" w:after="0"/>
        <w:ind w:left="757"/>
        <w:contextualSpacing w:val="0"/>
        <w:rPr>
          <w:rFonts w:ascii="Arial" w:hAnsi="Arial" w:cs="Arial"/>
          <w:lang w:val="hr-HR"/>
        </w:rPr>
      </w:pPr>
      <w:r w:rsidRPr="00C5016E">
        <w:rPr>
          <w:rFonts w:ascii="Arial" w:hAnsi="Arial" w:cs="Arial"/>
          <w:lang w:val="hr-HR"/>
        </w:rPr>
        <w:t>ostala domaća pozajmljivanja u sklad</w:t>
      </w:r>
      <w:r w:rsidR="005D0FCD" w:rsidRPr="00C5016E">
        <w:rPr>
          <w:rFonts w:ascii="Arial" w:hAnsi="Arial" w:cs="Arial"/>
          <w:lang w:val="hr-HR"/>
        </w:rPr>
        <w:t>u s</w:t>
      </w:r>
      <w:r w:rsidRPr="00C5016E">
        <w:rPr>
          <w:rFonts w:ascii="Arial" w:hAnsi="Arial" w:cs="Arial"/>
          <w:lang w:val="hr-HR"/>
        </w:rPr>
        <w:t xml:space="preserve"> Odlukom o odobravanju kredita Union banci d.d. Sarajevo po subordiniranim uvjetima V. broj: 714/2022 od 19. </w:t>
      </w:r>
      <w:r w:rsidR="005D0FCD" w:rsidRPr="00C5016E">
        <w:rPr>
          <w:rFonts w:ascii="Arial" w:hAnsi="Arial" w:cs="Arial"/>
          <w:lang w:val="hr-HR"/>
        </w:rPr>
        <w:t>svibnja</w:t>
      </w:r>
      <w:r w:rsidRPr="00C5016E">
        <w:rPr>
          <w:rFonts w:ascii="Arial" w:hAnsi="Arial" w:cs="Arial"/>
          <w:lang w:val="hr-HR"/>
        </w:rPr>
        <w:t xml:space="preserve"> 2022. („Službene novine Federacije BiH“, broj: 39/22) u iznosu od 15,00 </w:t>
      </w:r>
      <w:r w:rsidR="004611A5" w:rsidRPr="00C5016E">
        <w:rPr>
          <w:rFonts w:ascii="Arial" w:hAnsi="Arial" w:cs="Arial"/>
          <w:lang w:val="hr-HR"/>
        </w:rPr>
        <w:t>milijun</w:t>
      </w:r>
      <w:r w:rsidRPr="00C5016E">
        <w:rPr>
          <w:rFonts w:ascii="Arial" w:hAnsi="Arial" w:cs="Arial"/>
          <w:lang w:val="hr-HR"/>
        </w:rPr>
        <w:t xml:space="preserve">a KM za plasiranje kreditne linije namijenjene mladima za rješavanje stambenog pitanja i 2,5 </w:t>
      </w:r>
      <w:r w:rsidR="004611A5" w:rsidRPr="00C5016E">
        <w:rPr>
          <w:rFonts w:ascii="Arial" w:hAnsi="Arial" w:cs="Arial"/>
          <w:lang w:val="hr-HR"/>
        </w:rPr>
        <w:t>milijun</w:t>
      </w:r>
      <w:r w:rsidRPr="00C5016E">
        <w:rPr>
          <w:rFonts w:ascii="Arial" w:hAnsi="Arial" w:cs="Arial"/>
          <w:lang w:val="hr-HR"/>
        </w:rPr>
        <w:t xml:space="preserve">a KM na </w:t>
      </w:r>
      <w:r w:rsidR="005D0FCD" w:rsidRPr="00C5016E">
        <w:rPr>
          <w:rFonts w:ascii="Arial" w:hAnsi="Arial" w:cs="Arial"/>
          <w:lang w:val="hr-HR"/>
        </w:rPr>
        <w:t>temelju</w:t>
      </w:r>
      <w:r w:rsidRPr="00C5016E">
        <w:rPr>
          <w:rFonts w:ascii="Arial" w:hAnsi="Arial" w:cs="Arial"/>
          <w:lang w:val="hr-HR"/>
        </w:rPr>
        <w:t xml:space="preserve"> Aneksa 1. Ugovora o komisionim poslovima</w:t>
      </w:r>
    </w:p>
    <w:p w:rsidR="00C025DC" w:rsidRPr="00C5016E" w:rsidRDefault="00C025DC" w:rsidP="00C025DC">
      <w:pPr>
        <w:pStyle w:val="ListParagraph"/>
        <w:numPr>
          <w:ilvl w:val="0"/>
          <w:numId w:val="28"/>
        </w:numPr>
        <w:spacing w:before="120" w:after="0"/>
        <w:ind w:left="757"/>
        <w:rPr>
          <w:rFonts w:ascii="Arial" w:hAnsi="Arial" w:cs="Arial"/>
          <w:lang w:val="hr-HR"/>
        </w:rPr>
      </w:pPr>
      <w:r w:rsidRPr="00C5016E">
        <w:rPr>
          <w:rFonts w:ascii="Arial" w:hAnsi="Arial" w:cs="Arial"/>
          <w:lang w:val="hr-HR"/>
        </w:rPr>
        <w:t xml:space="preserve">„Kreditni poticaj razvoja, poduzetništva i obrta“ u iznosu od 1,00 </w:t>
      </w:r>
      <w:r w:rsidR="004611A5" w:rsidRPr="00C5016E">
        <w:rPr>
          <w:rFonts w:ascii="Arial" w:hAnsi="Arial" w:cs="Arial"/>
          <w:lang w:val="hr-HR"/>
        </w:rPr>
        <w:t>milijun</w:t>
      </w:r>
      <w:r w:rsidRPr="00C5016E">
        <w:rPr>
          <w:rFonts w:ascii="Arial" w:hAnsi="Arial" w:cs="Arial"/>
          <w:lang w:val="hr-HR"/>
        </w:rPr>
        <w:t xml:space="preserve"> KM koji će biti </w:t>
      </w:r>
      <w:r w:rsidR="005D0FCD" w:rsidRPr="00C5016E">
        <w:rPr>
          <w:rFonts w:ascii="Arial" w:hAnsi="Arial" w:cs="Arial"/>
          <w:lang w:val="hr-HR"/>
        </w:rPr>
        <w:t>realiziran</w:t>
      </w:r>
      <w:r w:rsidRPr="00C5016E">
        <w:rPr>
          <w:rFonts w:ascii="Arial" w:hAnsi="Arial" w:cs="Arial"/>
          <w:lang w:val="hr-HR"/>
        </w:rPr>
        <w:t xml:space="preserve"> putem Razvojne banke Federacije BiH.</w:t>
      </w:r>
    </w:p>
    <w:p w:rsidR="00C025DC" w:rsidRPr="00C5016E" w:rsidRDefault="00C025DC" w:rsidP="00C025DC">
      <w:pPr>
        <w:pStyle w:val="Heading2"/>
        <w:rPr>
          <w:rFonts w:ascii="Arial" w:hAnsi="Arial" w:cs="Arial"/>
        </w:rPr>
      </w:pPr>
      <w:bookmarkStart w:id="84" w:name="_Toc131505224"/>
      <w:r w:rsidRPr="00C5016E">
        <w:rPr>
          <w:rFonts w:ascii="Arial" w:hAnsi="Arial" w:cs="Arial"/>
        </w:rPr>
        <w:t>Izdaci za otplate dugova</w:t>
      </w:r>
      <w:bookmarkEnd w:id="84"/>
    </w:p>
    <w:p w:rsidR="00C025DC" w:rsidRPr="00C5016E" w:rsidRDefault="00C025DC" w:rsidP="00C025DC">
      <w:pPr>
        <w:spacing w:before="0" w:after="0"/>
        <w:rPr>
          <w:rFonts w:cs="Arial"/>
          <w:szCs w:val="24"/>
        </w:rPr>
      </w:pPr>
      <w:r w:rsidRPr="00C5016E">
        <w:rPr>
          <w:rFonts w:cs="Arial"/>
          <w:szCs w:val="24"/>
        </w:rPr>
        <w:t xml:space="preserve">U 2022. godini izdvojena su sredstva u iznosu od 730,5 </w:t>
      </w:r>
      <w:r w:rsidR="004611A5" w:rsidRPr="00C5016E">
        <w:rPr>
          <w:rFonts w:cs="Arial"/>
          <w:szCs w:val="24"/>
        </w:rPr>
        <w:t>milijun</w:t>
      </w:r>
      <w:r w:rsidRPr="00C5016E">
        <w:rPr>
          <w:rFonts w:cs="Arial"/>
          <w:szCs w:val="24"/>
        </w:rPr>
        <w:t xml:space="preserve">a KM za otplatu duga, što je 86% planiranog za 2022. godinu. Izdaci za otplate duga su za 27,4 </w:t>
      </w:r>
      <w:r w:rsidR="004611A5" w:rsidRPr="00C5016E">
        <w:rPr>
          <w:rFonts w:cs="Arial"/>
          <w:szCs w:val="24"/>
        </w:rPr>
        <w:t>milijun</w:t>
      </w:r>
      <w:r w:rsidRPr="00C5016E">
        <w:rPr>
          <w:rFonts w:cs="Arial"/>
          <w:szCs w:val="24"/>
        </w:rPr>
        <w:t xml:space="preserve">a KM ili 4% manji u odnosu na prethodnu godinu. </w:t>
      </w:r>
      <w:r w:rsidRPr="00C5016E">
        <w:t>Strukturu otplate duga čini:</w:t>
      </w:r>
    </w:p>
    <w:p w:rsidR="00C025DC" w:rsidRPr="00C5016E" w:rsidRDefault="00C025DC" w:rsidP="00C025DC">
      <w:pPr>
        <w:pStyle w:val="ListParagraph"/>
        <w:numPr>
          <w:ilvl w:val="0"/>
          <w:numId w:val="19"/>
        </w:numPr>
        <w:rPr>
          <w:rFonts w:ascii="Arial" w:hAnsi="Arial" w:cs="Arial"/>
          <w:lang w:val="hr-HR"/>
        </w:rPr>
      </w:pPr>
      <w:r w:rsidRPr="00C5016E">
        <w:rPr>
          <w:rFonts w:ascii="Arial" w:hAnsi="Arial" w:cs="Arial"/>
          <w:lang w:val="hr-HR"/>
        </w:rPr>
        <w:t xml:space="preserve">otplata vanjskog duga 464,2 </w:t>
      </w:r>
      <w:r w:rsidR="004611A5" w:rsidRPr="00C5016E">
        <w:rPr>
          <w:rFonts w:ascii="Arial" w:hAnsi="Arial" w:cs="Arial"/>
          <w:lang w:val="hr-HR"/>
        </w:rPr>
        <w:t>milijun</w:t>
      </w:r>
      <w:r w:rsidRPr="00C5016E">
        <w:rPr>
          <w:rFonts w:ascii="Arial" w:hAnsi="Arial" w:cs="Arial"/>
          <w:lang w:val="hr-HR"/>
        </w:rPr>
        <w:t>a KM i to:</w:t>
      </w:r>
    </w:p>
    <w:p w:rsidR="00C025DC" w:rsidRPr="00C5016E" w:rsidRDefault="00C025DC" w:rsidP="00C025DC">
      <w:pPr>
        <w:pStyle w:val="ListParagraph"/>
        <w:numPr>
          <w:ilvl w:val="0"/>
          <w:numId w:val="20"/>
        </w:numPr>
        <w:rPr>
          <w:rFonts w:ascii="Arial" w:hAnsi="Arial" w:cs="Arial"/>
          <w:lang w:val="hr-HR"/>
        </w:rPr>
      </w:pPr>
      <w:r w:rsidRPr="00C5016E">
        <w:rPr>
          <w:rFonts w:ascii="Arial" w:hAnsi="Arial" w:cs="Arial"/>
          <w:lang w:val="hr-HR"/>
        </w:rPr>
        <w:t xml:space="preserve">otplate dugova primljenih kroz Državu 456 </w:t>
      </w:r>
      <w:r w:rsidR="004611A5" w:rsidRPr="00C5016E">
        <w:rPr>
          <w:rFonts w:ascii="Arial" w:hAnsi="Arial" w:cs="Arial"/>
          <w:lang w:val="hr-HR"/>
        </w:rPr>
        <w:t>milijun</w:t>
      </w:r>
      <w:r w:rsidR="005D0FCD" w:rsidRPr="00C5016E">
        <w:rPr>
          <w:rFonts w:ascii="Arial" w:hAnsi="Arial" w:cs="Arial"/>
          <w:lang w:val="hr-HR"/>
        </w:rPr>
        <w:t>a KM</w:t>
      </w:r>
    </w:p>
    <w:p w:rsidR="00C025DC" w:rsidRPr="00C5016E" w:rsidRDefault="00C025DC" w:rsidP="00C025DC">
      <w:pPr>
        <w:pStyle w:val="ListParagraph"/>
        <w:numPr>
          <w:ilvl w:val="0"/>
          <w:numId w:val="20"/>
        </w:numPr>
        <w:rPr>
          <w:rFonts w:ascii="Arial" w:hAnsi="Arial" w:cs="Arial"/>
          <w:lang w:val="hr-HR"/>
        </w:rPr>
      </w:pPr>
      <w:r w:rsidRPr="00C5016E">
        <w:rPr>
          <w:rFonts w:ascii="Arial" w:hAnsi="Arial" w:cs="Arial"/>
          <w:lang w:val="hr-HR"/>
        </w:rPr>
        <w:t xml:space="preserve">direktne obaveze Federacije-INO dug 8,2 </w:t>
      </w:r>
      <w:r w:rsidR="004611A5" w:rsidRPr="00C5016E">
        <w:rPr>
          <w:rFonts w:ascii="Arial" w:hAnsi="Arial" w:cs="Arial"/>
          <w:lang w:val="hr-HR"/>
        </w:rPr>
        <w:t>milijun</w:t>
      </w:r>
      <w:r w:rsidR="005D0FCD" w:rsidRPr="00C5016E">
        <w:rPr>
          <w:rFonts w:ascii="Arial" w:hAnsi="Arial" w:cs="Arial"/>
          <w:lang w:val="hr-HR"/>
        </w:rPr>
        <w:t>a KM</w:t>
      </w:r>
    </w:p>
    <w:p w:rsidR="00C025DC" w:rsidRPr="00C5016E" w:rsidRDefault="00C025DC" w:rsidP="00C025DC">
      <w:pPr>
        <w:pStyle w:val="ListParagraph"/>
        <w:numPr>
          <w:ilvl w:val="0"/>
          <w:numId w:val="19"/>
        </w:numPr>
        <w:rPr>
          <w:rFonts w:ascii="Arial" w:hAnsi="Arial" w:cs="Arial"/>
          <w:lang w:val="hr-HR"/>
        </w:rPr>
      </w:pPr>
      <w:r w:rsidRPr="00C5016E">
        <w:rPr>
          <w:rFonts w:ascii="Arial" w:hAnsi="Arial" w:cs="Arial"/>
          <w:lang w:val="hr-HR"/>
        </w:rPr>
        <w:t xml:space="preserve">otplate domaćeg pozajmljivanja 220,0 </w:t>
      </w:r>
      <w:r w:rsidR="004611A5" w:rsidRPr="00C5016E">
        <w:rPr>
          <w:rFonts w:ascii="Arial" w:hAnsi="Arial" w:cs="Arial"/>
          <w:lang w:val="hr-HR"/>
        </w:rPr>
        <w:t>milijun</w:t>
      </w:r>
      <w:r w:rsidRPr="00C5016E">
        <w:rPr>
          <w:rFonts w:ascii="Arial" w:hAnsi="Arial" w:cs="Arial"/>
          <w:lang w:val="hr-HR"/>
        </w:rPr>
        <w:t>a KM i to:</w:t>
      </w:r>
    </w:p>
    <w:p w:rsidR="00C025DC" w:rsidRPr="00C5016E" w:rsidRDefault="00C025DC" w:rsidP="00C025DC">
      <w:pPr>
        <w:pStyle w:val="ListParagraph"/>
        <w:numPr>
          <w:ilvl w:val="0"/>
          <w:numId w:val="21"/>
        </w:numPr>
        <w:rPr>
          <w:rFonts w:ascii="Arial" w:hAnsi="Arial" w:cs="Arial"/>
          <w:lang w:val="hr-HR"/>
        </w:rPr>
      </w:pPr>
      <w:r w:rsidRPr="00C5016E">
        <w:rPr>
          <w:rFonts w:ascii="Arial" w:hAnsi="Arial" w:cs="Arial"/>
          <w:lang w:val="hr-HR"/>
        </w:rPr>
        <w:t xml:space="preserve">otplata trezorskih zapisa 50,0 </w:t>
      </w:r>
      <w:r w:rsidR="004611A5" w:rsidRPr="00C5016E">
        <w:rPr>
          <w:rFonts w:ascii="Arial" w:hAnsi="Arial" w:cs="Arial"/>
          <w:lang w:val="hr-HR"/>
        </w:rPr>
        <w:t>milijun</w:t>
      </w:r>
      <w:r w:rsidR="005D0FCD" w:rsidRPr="00C5016E">
        <w:rPr>
          <w:rFonts w:ascii="Arial" w:hAnsi="Arial" w:cs="Arial"/>
          <w:lang w:val="hr-HR"/>
        </w:rPr>
        <w:t>a KM</w:t>
      </w:r>
    </w:p>
    <w:p w:rsidR="00C025DC" w:rsidRPr="00C5016E" w:rsidRDefault="00C025DC" w:rsidP="00C025DC">
      <w:pPr>
        <w:pStyle w:val="ListParagraph"/>
        <w:numPr>
          <w:ilvl w:val="0"/>
          <w:numId w:val="21"/>
        </w:numPr>
        <w:rPr>
          <w:rFonts w:ascii="Arial" w:hAnsi="Arial" w:cs="Arial"/>
          <w:lang w:val="hr-HR"/>
        </w:rPr>
      </w:pPr>
      <w:r w:rsidRPr="00C5016E">
        <w:rPr>
          <w:rFonts w:ascii="Arial" w:hAnsi="Arial" w:cs="Arial"/>
          <w:lang w:val="hr-HR"/>
        </w:rPr>
        <w:t xml:space="preserve">otplata dugoročnih obveznica 170,0 </w:t>
      </w:r>
      <w:r w:rsidR="004611A5" w:rsidRPr="00C5016E">
        <w:rPr>
          <w:rFonts w:ascii="Arial" w:hAnsi="Arial" w:cs="Arial"/>
          <w:lang w:val="hr-HR"/>
        </w:rPr>
        <w:t>milijun</w:t>
      </w:r>
      <w:r w:rsidR="005D0FCD" w:rsidRPr="00C5016E">
        <w:rPr>
          <w:rFonts w:ascii="Arial" w:hAnsi="Arial" w:cs="Arial"/>
          <w:lang w:val="hr-HR"/>
        </w:rPr>
        <w:t>a KM</w:t>
      </w:r>
    </w:p>
    <w:p w:rsidR="00C025DC" w:rsidRPr="00C5016E" w:rsidRDefault="00C025DC" w:rsidP="00C025DC">
      <w:pPr>
        <w:pStyle w:val="ListParagraph"/>
        <w:numPr>
          <w:ilvl w:val="0"/>
          <w:numId w:val="19"/>
        </w:numPr>
        <w:rPr>
          <w:rFonts w:ascii="Arial" w:hAnsi="Arial" w:cs="Arial"/>
          <w:lang w:val="hr-HR"/>
        </w:rPr>
      </w:pPr>
      <w:r w:rsidRPr="00C5016E">
        <w:rPr>
          <w:rFonts w:ascii="Arial" w:hAnsi="Arial" w:cs="Arial"/>
          <w:lang w:val="hr-HR"/>
        </w:rPr>
        <w:t>otplate unu</w:t>
      </w:r>
      <w:r w:rsidR="005D0FCD" w:rsidRPr="00C5016E">
        <w:rPr>
          <w:rFonts w:ascii="Arial" w:hAnsi="Arial" w:cs="Arial"/>
          <w:lang w:val="hr-HR"/>
        </w:rPr>
        <w:t>tar</w:t>
      </w:r>
      <w:r w:rsidRPr="00C5016E">
        <w:rPr>
          <w:rFonts w:ascii="Arial" w:hAnsi="Arial" w:cs="Arial"/>
          <w:lang w:val="hr-HR"/>
        </w:rPr>
        <w:t xml:space="preserve">njeg duga 46,3 </w:t>
      </w:r>
      <w:r w:rsidR="004611A5" w:rsidRPr="00C5016E">
        <w:rPr>
          <w:rFonts w:ascii="Arial" w:hAnsi="Arial" w:cs="Arial"/>
          <w:lang w:val="hr-HR"/>
        </w:rPr>
        <w:t>milijun</w:t>
      </w:r>
      <w:r w:rsidRPr="00C5016E">
        <w:rPr>
          <w:rFonts w:ascii="Arial" w:hAnsi="Arial" w:cs="Arial"/>
          <w:lang w:val="hr-HR"/>
        </w:rPr>
        <w:t xml:space="preserve">a KM i to:     </w:t>
      </w:r>
    </w:p>
    <w:p w:rsidR="00C025DC" w:rsidRPr="00C5016E" w:rsidRDefault="00C025DC" w:rsidP="00C025DC">
      <w:pPr>
        <w:pStyle w:val="ListParagraph"/>
        <w:numPr>
          <w:ilvl w:val="0"/>
          <w:numId w:val="22"/>
        </w:numPr>
        <w:spacing w:before="120"/>
        <w:rPr>
          <w:rFonts w:ascii="Arial" w:hAnsi="Arial" w:cs="Arial"/>
          <w:lang w:val="hr-HR"/>
        </w:rPr>
      </w:pPr>
      <w:r w:rsidRPr="00C5016E">
        <w:rPr>
          <w:rFonts w:ascii="Arial" w:hAnsi="Arial" w:cs="Arial"/>
          <w:lang w:val="hr-HR"/>
        </w:rPr>
        <w:t xml:space="preserve">stara devizna štednja – 8,6 </w:t>
      </w:r>
      <w:r w:rsidR="004611A5" w:rsidRPr="00C5016E">
        <w:rPr>
          <w:rFonts w:ascii="Arial" w:hAnsi="Arial" w:cs="Arial"/>
          <w:lang w:val="hr-HR"/>
        </w:rPr>
        <w:t>milijun</w:t>
      </w:r>
      <w:r w:rsidRPr="00C5016E">
        <w:rPr>
          <w:rFonts w:ascii="Arial" w:hAnsi="Arial" w:cs="Arial"/>
          <w:lang w:val="hr-HR"/>
        </w:rPr>
        <w:t xml:space="preserve">a KM (glavnica 8,3 </w:t>
      </w:r>
      <w:r w:rsidR="004611A5" w:rsidRPr="00C5016E">
        <w:rPr>
          <w:rFonts w:ascii="Arial" w:hAnsi="Arial" w:cs="Arial"/>
          <w:lang w:val="hr-HR"/>
        </w:rPr>
        <w:t>milijun</w:t>
      </w:r>
      <w:r w:rsidRPr="00C5016E">
        <w:rPr>
          <w:rFonts w:ascii="Arial" w:hAnsi="Arial" w:cs="Arial"/>
          <w:lang w:val="hr-HR"/>
        </w:rPr>
        <w:t xml:space="preserve">a KM, kamata 0,1 </w:t>
      </w:r>
      <w:r w:rsidR="004611A5" w:rsidRPr="00C5016E">
        <w:rPr>
          <w:rFonts w:ascii="Arial" w:hAnsi="Arial" w:cs="Arial"/>
          <w:lang w:val="hr-HR"/>
        </w:rPr>
        <w:t>milijun</w:t>
      </w:r>
      <w:r w:rsidRPr="00C5016E">
        <w:rPr>
          <w:rFonts w:ascii="Arial" w:hAnsi="Arial" w:cs="Arial"/>
          <w:lang w:val="hr-HR"/>
        </w:rPr>
        <w:t xml:space="preserve"> KM, gotovinska isplata 0,2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ListParagraph"/>
        <w:numPr>
          <w:ilvl w:val="0"/>
          <w:numId w:val="22"/>
        </w:numPr>
        <w:spacing w:before="120"/>
        <w:rPr>
          <w:rFonts w:ascii="Arial" w:hAnsi="Arial" w:cs="Arial"/>
          <w:lang w:val="hr-HR"/>
        </w:rPr>
      </w:pPr>
      <w:r w:rsidRPr="00C5016E">
        <w:rPr>
          <w:rFonts w:ascii="Arial" w:hAnsi="Arial" w:cs="Arial"/>
          <w:lang w:val="hr-HR"/>
        </w:rPr>
        <w:t xml:space="preserve">ratna potraživanja 37,7 </w:t>
      </w:r>
      <w:r w:rsidR="004611A5" w:rsidRPr="00C5016E">
        <w:rPr>
          <w:rFonts w:ascii="Arial" w:hAnsi="Arial" w:cs="Arial"/>
          <w:lang w:val="hr-HR"/>
        </w:rPr>
        <w:t>milijun</w:t>
      </w:r>
      <w:r w:rsidRPr="00C5016E">
        <w:rPr>
          <w:rFonts w:ascii="Arial" w:hAnsi="Arial" w:cs="Arial"/>
          <w:lang w:val="hr-HR"/>
        </w:rPr>
        <w:t xml:space="preserve">a </w:t>
      </w:r>
      <w:r w:rsidR="005D0FCD" w:rsidRPr="00C5016E">
        <w:rPr>
          <w:rFonts w:ascii="Arial" w:hAnsi="Arial" w:cs="Arial"/>
          <w:lang w:val="hr-HR"/>
        </w:rPr>
        <w:t xml:space="preserve">KM </w:t>
      </w:r>
    </w:p>
    <w:p w:rsidR="00C025DC" w:rsidRPr="00C5016E" w:rsidRDefault="00C025DC" w:rsidP="00C025DC">
      <w:pPr>
        <w:pStyle w:val="ListParagraph"/>
        <w:numPr>
          <w:ilvl w:val="0"/>
          <w:numId w:val="22"/>
        </w:numPr>
        <w:spacing w:before="120"/>
        <w:rPr>
          <w:rFonts w:ascii="Arial" w:hAnsi="Arial" w:cs="Arial"/>
          <w:lang w:val="hr-HR"/>
        </w:rPr>
      </w:pPr>
      <w:r w:rsidRPr="00C5016E">
        <w:rPr>
          <w:rFonts w:ascii="Arial" w:hAnsi="Arial" w:cs="Arial"/>
          <w:lang w:val="hr-HR"/>
        </w:rPr>
        <w:t xml:space="preserve">plaće i naknade Vojske FBiH 2,5 </w:t>
      </w:r>
      <w:r w:rsidR="004611A5" w:rsidRPr="00C5016E">
        <w:rPr>
          <w:rFonts w:ascii="Arial" w:hAnsi="Arial" w:cs="Arial"/>
          <w:lang w:val="hr-HR"/>
        </w:rPr>
        <w:t>tisuć</w:t>
      </w:r>
      <w:r w:rsidR="005D0FCD" w:rsidRPr="00C5016E">
        <w:rPr>
          <w:rFonts w:ascii="Arial" w:hAnsi="Arial" w:cs="Arial"/>
          <w:lang w:val="hr-HR"/>
        </w:rPr>
        <w:t>a KM.</w:t>
      </w:r>
    </w:p>
    <w:p w:rsidR="00C025DC" w:rsidRPr="00C5016E" w:rsidRDefault="00C025DC" w:rsidP="00C025DC">
      <w:r w:rsidRPr="00C5016E">
        <w:t>Vanjski dug Federacije BiH na dan 31.</w:t>
      </w:r>
      <w:r w:rsidR="005D0FCD" w:rsidRPr="00C5016E">
        <w:t xml:space="preserve"> </w:t>
      </w:r>
      <w:r w:rsidRPr="00C5016E">
        <w:t>12.</w:t>
      </w:r>
      <w:r w:rsidR="005D0FCD" w:rsidRPr="00C5016E">
        <w:t xml:space="preserve"> </w:t>
      </w:r>
      <w:r w:rsidRPr="00C5016E">
        <w:t xml:space="preserve">2022. iznosio je 5.410.490.261,30 KM što je više za 8,5 </w:t>
      </w:r>
      <w:r w:rsidR="004611A5" w:rsidRPr="00C5016E">
        <w:t>milijun</w:t>
      </w:r>
      <w:r w:rsidRPr="00C5016E">
        <w:t xml:space="preserve">a KM u odnosu na 2021. godinu kada je vanjski dug iznosio 5.402.005.565,09 </w:t>
      </w:r>
      <w:r w:rsidRPr="00C5016E">
        <w:rPr>
          <w:bCs/>
        </w:rPr>
        <w:t>KM</w:t>
      </w:r>
      <w:r w:rsidRPr="00C5016E">
        <w:t>. Odnos vanjskog duga prema BDP-u na dan 31.</w:t>
      </w:r>
      <w:r w:rsidR="005D0FCD" w:rsidRPr="00C5016E">
        <w:t xml:space="preserve"> </w:t>
      </w:r>
      <w:r w:rsidRPr="00C5016E">
        <w:t>12.</w:t>
      </w:r>
      <w:r w:rsidR="005D0FCD" w:rsidRPr="00C5016E">
        <w:t xml:space="preserve"> </w:t>
      </w:r>
      <w:r w:rsidRPr="00C5016E">
        <w:t xml:space="preserve">2022. iznosi 25,66%. Struktura vanjskog duga: </w:t>
      </w:r>
    </w:p>
    <w:p w:rsidR="00C025DC" w:rsidRPr="00C5016E" w:rsidRDefault="00C025DC" w:rsidP="00C025DC">
      <w:pPr>
        <w:pStyle w:val="ListParagraph"/>
        <w:numPr>
          <w:ilvl w:val="0"/>
          <w:numId w:val="27"/>
        </w:numPr>
        <w:rPr>
          <w:rFonts w:ascii="Arial" w:hAnsi="Arial" w:cs="Arial"/>
          <w:lang w:val="hr-HR"/>
        </w:rPr>
      </w:pPr>
      <w:r w:rsidRPr="00C5016E">
        <w:rPr>
          <w:rFonts w:ascii="Arial" w:hAnsi="Arial" w:cs="Arial"/>
          <w:bCs/>
          <w:lang w:val="hr-HR"/>
        </w:rPr>
        <w:lastRenderedPageBreak/>
        <w:t xml:space="preserve">5.352.962.392,30 </w:t>
      </w:r>
      <w:r w:rsidRPr="00C5016E">
        <w:rPr>
          <w:rFonts w:ascii="Arial" w:hAnsi="Arial" w:cs="Arial"/>
          <w:lang w:val="hr-HR"/>
        </w:rPr>
        <w:t xml:space="preserve">KM vanjski dug koji je ugovorila Bosna i Hercegovina i </w:t>
      </w:r>
    </w:p>
    <w:p w:rsidR="00C025DC" w:rsidRPr="00C5016E" w:rsidRDefault="00C025DC" w:rsidP="00C025DC">
      <w:pPr>
        <w:pStyle w:val="ListParagraph"/>
        <w:numPr>
          <w:ilvl w:val="0"/>
          <w:numId w:val="27"/>
        </w:numPr>
        <w:rPr>
          <w:rFonts w:ascii="Arial" w:hAnsi="Arial" w:cs="Arial"/>
          <w:lang w:val="hr-HR"/>
        </w:rPr>
      </w:pPr>
      <w:r w:rsidRPr="00C5016E">
        <w:rPr>
          <w:rFonts w:ascii="Arial" w:hAnsi="Arial" w:cs="Arial"/>
          <w:bCs/>
          <w:lang w:val="hr-HR"/>
        </w:rPr>
        <w:t xml:space="preserve">57.527.869,00 </w:t>
      </w:r>
      <w:r w:rsidRPr="00C5016E">
        <w:rPr>
          <w:rFonts w:ascii="Arial" w:hAnsi="Arial" w:cs="Arial"/>
          <w:lang w:val="hr-HR"/>
        </w:rPr>
        <w:t>KM vanjski dug (direktni) koji je ugovorila Federacija BiH.</w:t>
      </w:r>
    </w:p>
    <w:p w:rsidR="00C025DC" w:rsidRPr="00C5016E" w:rsidRDefault="00C025DC" w:rsidP="00C025DC">
      <w:pPr>
        <w:pStyle w:val="BodyText"/>
        <w:rPr>
          <w:rFonts w:ascii="Arial" w:eastAsia="Times New Roman" w:hAnsi="Arial" w:cs="Arial"/>
          <w:sz w:val="16"/>
          <w:szCs w:val="16"/>
          <w:lang w:val="hr-HR"/>
        </w:rPr>
      </w:pPr>
      <w:r w:rsidRPr="00C5016E">
        <w:rPr>
          <w:rFonts w:ascii="Arial" w:hAnsi="Arial" w:cs="Arial"/>
          <w:lang w:val="hr-HR"/>
        </w:rPr>
        <w:t>Stanje unut</w:t>
      </w:r>
      <w:r w:rsidR="005D0FCD" w:rsidRPr="00C5016E">
        <w:rPr>
          <w:rFonts w:ascii="Arial" w:hAnsi="Arial" w:cs="Arial"/>
          <w:lang w:val="hr-HR"/>
        </w:rPr>
        <w:t>ar</w:t>
      </w:r>
      <w:r w:rsidRPr="00C5016E">
        <w:rPr>
          <w:rFonts w:ascii="Arial" w:hAnsi="Arial" w:cs="Arial"/>
          <w:lang w:val="hr-HR"/>
        </w:rPr>
        <w:t>njeg duga Federacije BiH na dan 31.</w:t>
      </w:r>
      <w:r w:rsidR="005D0FCD" w:rsidRPr="00C5016E">
        <w:rPr>
          <w:rFonts w:ascii="Arial" w:hAnsi="Arial" w:cs="Arial"/>
          <w:lang w:val="hr-HR"/>
        </w:rPr>
        <w:t xml:space="preserve"> </w:t>
      </w:r>
      <w:r w:rsidRPr="00C5016E">
        <w:rPr>
          <w:rFonts w:ascii="Arial" w:hAnsi="Arial" w:cs="Arial"/>
          <w:lang w:val="hr-HR"/>
        </w:rPr>
        <w:t>12.</w:t>
      </w:r>
      <w:r w:rsidR="005D0FCD" w:rsidRPr="00C5016E">
        <w:rPr>
          <w:rFonts w:ascii="Arial" w:hAnsi="Arial" w:cs="Arial"/>
          <w:lang w:val="hr-HR"/>
        </w:rPr>
        <w:t xml:space="preserve"> </w:t>
      </w:r>
      <w:r w:rsidRPr="00C5016E">
        <w:rPr>
          <w:rFonts w:ascii="Arial" w:hAnsi="Arial" w:cs="Arial"/>
          <w:lang w:val="hr-HR"/>
        </w:rPr>
        <w:t>2022. je 683.760.169</w:t>
      </w:r>
      <w:r w:rsidRPr="00C5016E">
        <w:rPr>
          <w:rFonts w:ascii="Arial" w:hAnsi="Arial" w:cs="Arial"/>
          <w:b/>
          <w:lang w:val="hr-HR"/>
        </w:rPr>
        <w:t xml:space="preserve"> </w:t>
      </w:r>
      <w:r w:rsidRPr="00C5016E">
        <w:rPr>
          <w:rFonts w:ascii="Arial" w:hAnsi="Arial" w:cs="Arial"/>
          <w:lang w:val="hr-HR"/>
        </w:rPr>
        <w:t xml:space="preserve">KM </w:t>
      </w:r>
      <w:bookmarkStart w:id="85" w:name="_Toc99939231"/>
    </w:p>
    <w:tbl>
      <w:tblPr>
        <w:tblW w:w="0" w:type="auto"/>
        <w:tblInd w:w="-10" w:type="dxa"/>
        <w:tblLayout w:type="fixed"/>
        <w:tblLook w:val="04A0" w:firstRow="1" w:lastRow="0" w:firstColumn="1" w:lastColumn="0" w:noHBand="0" w:noVBand="1"/>
      </w:tblPr>
      <w:tblGrid>
        <w:gridCol w:w="6663"/>
        <w:gridCol w:w="2126"/>
      </w:tblGrid>
      <w:tr w:rsidR="00C5016E" w:rsidRPr="00C5016E" w:rsidTr="00C025DC">
        <w:trPr>
          <w:trHeight w:val="227"/>
        </w:trPr>
        <w:tc>
          <w:tcPr>
            <w:tcW w:w="6663" w:type="dxa"/>
            <w:tcBorders>
              <w:top w:val="single" w:sz="8" w:space="0" w:color="95B3D7"/>
              <w:left w:val="single" w:sz="8" w:space="0" w:color="95B3D7"/>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center"/>
              <w:rPr>
                <w:rFonts w:cs="Arial"/>
                <w:sz w:val="20"/>
                <w:szCs w:val="20"/>
              </w:rPr>
            </w:pPr>
            <w:r w:rsidRPr="00C5016E">
              <w:rPr>
                <w:rFonts w:cs="Arial"/>
                <w:sz w:val="20"/>
                <w:szCs w:val="20"/>
              </w:rPr>
              <w:t xml:space="preserve">Opis </w:t>
            </w:r>
          </w:p>
        </w:tc>
        <w:tc>
          <w:tcPr>
            <w:tcW w:w="2126" w:type="dxa"/>
            <w:tcBorders>
              <w:top w:val="single" w:sz="8" w:space="0" w:color="95B3D7"/>
              <w:left w:val="nil"/>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center"/>
              <w:rPr>
                <w:rFonts w:cs="Arial"/>
                <w:sz w:val="20"/>
                <w:szCs w:val="20"/>
              </w:rPr>
            </w:pPr>
            <w:r w:rsidRPr="00C5016E">
              <w:rPr>
                <w:rFonts w:cs="Arial"/>
                <w:sz w:val="20"/>
                <w:szCs w:val="20"/>
              </w:rPr>
              <w:t xml:space="preserve">KM </w:t>
            </w:r>
          </w:p>
        </w:tc>
      </w:tr>
      <w:tr w:rsidR="00C5016E" w:rsidRPr="00C5016E" w:rsidTr="00C025DC">
        <w:trPr>
          <w:trHeight w:val="227"/>
        </w:trPr>
        <w:tc>
          <w:tcPr>
            <w:tcW w:w="6663" w:type="dxa"/>
            <w:tcBorders>
              <w:top w:val="nil"/>
              <w:left w:val="single" w:sz="8" w:space="0" w:color="95B3D7"/>
              <w:bottom w:val="single" w:sz="8" w:space="0" w:color="95B3D7"/>
              <w:right w:val="single" w:sz="8" w:space="0" w:color="95B3D7"/>
            </w:tcBorders>
            <w:shd w:val="clear" w:color="000000" w:fill="DDEBF7"/>
            <w:vAlign w:val="center"/>
            <w:hideMark/>
          </w:tcPr>
          <w:p w:rsidR="00C025DC" w:rsidRPr="00C5016E" w:rsidRDefault="00C025DC" w:rsidP="00C025DC">
            <w:pPr>
              <w:spacing w:before="0" w:after="0"/>
              <w:jc w:val="left"/>
              <w:rPr>
                <w:rFonts w:cs="Arial"/>
                <w:b/>
                <w:bCs/>
                <w:sz w:val="20"/>
                <w:szCs w:val="20"/>
              </w:rPr>
            </w:pPr>
            <w:r w:rsidRPr="00C5016E">
              <w:rPr>
                <w:rFonts w:cs="Arial"/>
                <w:b/>
                <w:bCs/>
                <w:sz w:val="20"/>
                <w:szCs w:val="20"/>
              </w:rPr>
              <w:t xml:space="preserve">Dug u vrijednosnim papirima, od čega: </w:t>
            </w:r>
          </w:p>
        </w:tc>
        <w:tc>
          <w:tcPr>
            <w:tcW w:w="2126" w:type="dxa"/>
            <w:tcBorders>
              <w:top w:val="nil"/>
              <w:left w:val="nil"/>
              <w:bottom w:val="single" w:sz="8" w:space="0" w:color="95B3D7"/>
              <w:right w:val="single" w:sz="8" w:space="0" w:color="95B3D7"/>
            </w:tcBorders>
            <w:shd w:val="clear" w:color="000000" w:fill="DDEBF7"/>
            <w:vAlign w:val="center"/>
            <w:hideMark/>
          </w:tcPr>
          <w:p w:rsidR="00C025DC" w:rsidRPr="00C5016E" w:rsidRDefault="00C025DC" w:rsidP="00C025DC">
            <w:pPr>
              <w:spacing w:before="0" w:after="0"/>
              <w:jc w:val="right"/>
              <w:rPr>
                <w:rFonts w:cs="Arial"/>
                <w:b/>
                <w:bCs/>
                <w:iCs/>
                <w:sz w:val="20"/>
                <w:szCs w:val="20"/>
              </w:rPr>
            </w:pPr>
            <w:r w:rsidRPr="00C5016E">
              <w:rPr>
                <w:rFonts w:cs="Arial"/>
                <w:b/>
                <w:bCs/>
                <w:iCs/>
                <w:sz w:val="20"/>
                <w:szCs w:val="20"/>
              </w:rPr>
              <w:t>679.822.061</w:t>
            </w:r>
          </w:p>
        </w:tc>
      </w:tr>
      <w:tr w:rsidR="00C5016E" w:rsidRPr="00C5016E" w:rsidTr="00C025DC">
        <w:trPr>
          <w:trHeight w:val="227"/>
        </w:trPr>
        <w:tc>
          <w:tcPr>
            <w:tcW w:w="6663" w:type="dxa"/>
            <w:tcBorders>
              <w:top w:val="nil"/>
              <w:left w:val="single" w:sz="8" w:space="0" w:color="95B3D7"/>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left"/>
              <w:rPr>
                <w:rFonts w:cs="Arial"/>
                <w:sz w:val="20"/>
                <w:szCs w:val="20"/>
              </w:rPr>
            </w:pPr>
            <w:r w:rsidRPr="00C5016E">
              <w:rPr>
                <w:rFonts w:cs="Arial"/>
                <w:sz w:val="20"/>
                <w:szCs w:val="20"/>
              </w:rPr>
              <w:t xml:space="preserve">                            Trezorski zapisi </w:t>
            </w:r>
          </w:p>
        </w:tc>
        <w:tc>
          <w:tcPr>
            <w:tcW w:w="2126" w:type="dxa"/>
            <w:tcBorders>
              <w:top w:val="nil"/>
              <w:left w:val="nil"/>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right"/>
              <w:rPr>
                <w:rFonts w:cs="Arial"/>
                <w:iCs/>
                <w:sz w:val="20"/>
                <w:szCs w:val="20"/>
              </w:rPr>
            </w:pPr>
            <w:r w:rsidRPr="00C5016E">
              <w:rPr>
                <w:rFonts w:cs="Arial"/>
                <w:iCs/>
                <w:sz w:val="20"/>
                <w:szCs w:val="20"/>
              </w:rPr>
              <w:t>50.000.000</w:t>
            </w:r>
          </w:p>
        </w:tc>
      </w:tr>
      <w:tr w:rsidR="00C5016E" w:rsidRPr="00C5016E" w:rsidTr="00C025DC">
        <w:trPr>
          <w:trHeight w:val="227"/>
        </w:trPr>
        <w:tc>
          <w:tcPr>
            <w:tcW w:w="6663" w:type="dxa"/>
            <w:tcBorders>
              <w:top w:val="nil"/>
              <w:left w:val="single" w:sz="8" w:space="0" w:color="95B3D7"/>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left"/>
              <w:rPr>
                <w:rFonts w:cs="Arial"/>
                <w:sz w:val="20"/>
                <w:szCs w:val="20"/>
              </w:rPr>
            </w:pPr>
            <w:r w:rsidRPr="00C5016E">
              <w:rPr>
                <w:rFonts w:cs="Arial"/>
                <w:sz w:val="20"/>
                <w:szCs w:val="20"/>
              </w:rPr>
              <w:t xml:space="preserve">                            Trezorske obveznice </w:t>
            </w:r>
          </w:p>
        </w:tc>
        <w:tc>
          <w:tcPr>
            <w:tcW w:w="2126" w:type="dxa"/>
            <w:tcBorders>
              <w:top w:val="nil"/>
              <w:left w:val="nil"/>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right"/>
              <w:rPr>
                <w:rFonts w:cs="Arial"/>
                <w:iCs/>
                <w:sz w:val="20"/>
                <w:szCs w:val="20"/>
              </w:rPr>
            </w:pPr>
            <w:r w:rsidRPr="00C5016E">
              <w:rPr>
                <w:rFonts w:cs="Arial"/>
                <w:iCs/>
                <w:sz w:val="20"/>
                <w:szCs w:val="20"/>
              </w:rPr>
              <w:t>590.000.000</w:t>
            </w:r>
          </w:p>
        </w:tc>
      </w:tr>
      <w:tr w:rsidR="00C5016E" w:rsidRPr="00C5016E" w:rsidTr="00C025DC">
        <w:trPr>
          <w:trHeight w:val="227"/>
        </w:trPr>
        <w:tc>
          <w:tcPr>
            <w:tcW w:w="6663" w:type="dxa"/>
            <w:tcBorders>
              <w:top w:val="nil"/>
              <w:left w:val="single" w:sz="8" w:space="0" w:color="95B3D7"/>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center"/>
              <w:rPr>
                <w:rFonts w:cs="Arial"/>
                <w:sz w:val="20"/>
                <w:szCs w:val="20"/>
              </w:rPr>
            </w:pPr>
            <w:r w:rsidRPr="00C5016E">
              <w:rPr>
                <w:rFonts w:cs="Arial"/>
                <w:sz w:val="20"/>
                <w:szCs w:val="20"/>
              </w:rPr>
              <w:t xml:space="preserve">      Obveznice ratnih potraživanja  </w:t>
            </w:r>
          </w:p>
        </w:tc>
        <w:tc>
          <w:tcPr>
            <w:tcW w:w="2126" w:type="dxa"/>
            <w:tcBorders>
              <w:top w:val="nil"/>
              <w:left w:val="nil"/>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right"/>
              <w:rPr>
                <w:rFonts w:cs="Arial"/>
                <w:iCs/>
                <w:sz w:val="20"/>
                <w:szCs w:val="20"/>
              </w:rPr>
            </w:pPr>
            <w:r w:rsidRPr="00C5016E">
              <w:rPr>
                <w:rFonts w:cs="Arial"/>
                <w:iCs/>
                <w:sz w:val="20"/>
                <w:szCs w:val="20"/>
              </w:rPr>
              <w:t>38.691.968</w:t>
            </w:r>
          </w:p>
        </w:tc>
      </w:tr>
      <w:tr w:rsidR="00C5016E" w:rsidRPr="00C5016E" w:rsidTr="00C025DC">
        <w:trPr>
          <w:trHeight w:val="227"/>
        </w:trPr>
        <w:tc>
          <w:tcPr>
            <w:tcW w:w="6663" w:type="dxa"/>
            <w:tcBorders>
              <w:top w:val="nil"/>
              <w:left w:val="single" w:sz="8" w:space="0" w:color="95B3D7"/>
              <w:bottom w:val="single" w:sz="8" w:space="0" w:color="95B3D7"/>
              <w:right w:val="single" w:sz="8" w:space="0" w:color="95B3D7"/>
            </w:tcBorders>
            <w:shd w:val="clear" w:color="auto" w:fill="auto"/>
            <w:vAlign w:val="center"/>
          </w:tcPr>
          <w:p w:rsidR="00C025DC" w:rsidRPr="00C5016E" w:rsidRDefault="00C025DC" w:rsidP="00C025DC">
            <w:pPr>
              <w:spacing w:before="0" w:after="0"/>
              <w:jc w:val="center"/>
              <w:rPr>
                <w:rFonts w:cs="Arial"/>
                <w:sz w:val="20"/>
                <w:szCs w:val="20"/>
              </w:rPr>
            </w:pPr>
            <w:r w:rsidRPr="00C5016E">
              <w:rPr>
                <w:rFonts w:cs="Arial"/>
                <w:sz w:val="20"/>
                <w:szCs w:val="20"/>
              </w:rPr>
              <w:t xml:space="preserve">                       Kamate na obveznice ratnih potraživanja</w:t>
            </w:r>
          </w:p>
        </w:tc>
        <w:tc>
          <w:tcPr>
            <w:tcW w:w="2126" w:type="dxa"/>
            <w:tcBorders>
              <w:top w:val="nil"/>
              <w:left w:val="nil"/>
              <w:bottom w:val="single" w:sz="8" w:space="0" w:color="95B3D7"/>
              <w:right w:val="single" w:sz="8" w:space="0" w:color="95B3D7"/>
            </w:tcBorders>
            <w:shd w:val="clear" w:color="auto" w:fill="auto"/>
            <w:vAlign w:val="center"/>
          </w:tcPr>
          <w:p w:rsidR="00C025DC" w:rsidRPr="00C5016E" w:rsidRDefault="00C025DC" w:rsidP="00C025DC">
            <w:pPr>
              <w:spacing w:before="0" w:after="0"/>
              <w:jc w:val="right"/>
              <w:rPr>
                <w:rFonts w:cs="Arial"/>
                <w:iCs/>
                <w:sz w:val="20"/>
                <w:szCs w:val="20"/>
              </w:rPr>
            </w:pPr>
            <w:r w:rsidRPr="00C5016E">
              <w:rPr>
                <w:rFonts w:cs="Arial"/>
                <w:iCs/>
                <w:sz w:val="20"/>
                <w:szCs w:val="20"/>
              </w:rPr>
              <w:t>1.130.093</w:t>
            </w:r>
          </w:p>
        </w:tc>
      </w:tr>
      <w:tr w:rsidR="00C5016E" w:rsidRPr="00C5016E" w:rsidTr="00C025DC">
        <w:trPr>
          <w:trHeight w:val="227"/>
        </w:trPr>
        <w:tc>
          <w:tcPr>
            <w:tcW w:w="6663" w:type="dxa"/>
            <w:tcBorders>
              <w:top w:val="nil"/>
              <w:left w:val="single" w:sz="8" w:space="0" w:color="95B3D7"/>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left"/>
              <w:rPr>
                <w:rFonts w:cs="Arial"/>
                <w:sz w:val="20"/>
                <w:szCs w:val="20"/>
              </w:rPr>
            </w:pPr>
            <w:r w:rsidRPr="00C5016E">
              <w:rPr>
                <w:rFonts w:cs="Arial"/>
                <w:sz w:val="20"/>
                <w:szCs w:val="20"/>
              </w:rPr>
              <w:t xml:space="preserve">                            Obveznice stare devizne štednje  </w:t>
            </w:r>
          </w:p>
        </w:tc>
        <w:tc>
          <w:tcPr>
            <w:tcW w:w="2126" w:type="dxa"/>
            <w:tcBorders>
              <w:top w:val="nil"/>
              <w:left w:val="nil"/>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right"/>
              <w:rPr>
                <w:rFonts w:cs="Arial"/>
                <w:iCs/>
                <w:sz w:val="20"/>
                <w:szCs w:val="20"/>
              </w:rPr>
            </w:pPr>
            <w:r w:rsidRPr="00C5016E">
              <w:rPr>
                <w:rFonts w:cs="Arial"/>
                <w:iCs/>
                <w:sz w:val="20"/>
                <w:szCs w:val="20"/>
              </w:rPr>
              <w:t>0</w:t>
            </w:r>
          </w:p>
        </w:tc>
      </w:tr>
      <w:tr w:rsidR="00C5016E" w:rsidRPr="00C5016E" w:rsidTr="00C025DC">
        <w:trPr>
          <w:trHeight w:val="227"/>
        </w:trPr>
        <w:tc>
          <w:tcPr>
            <w:tcW w:w="6663" w:type="dxa"/>
            <w:tcBorders>
              <w:top w:val="nil"/>
              <w:left w:val="single" w:sz="8" w:space="0" w:color="95B3D7"/>
              <w:bottom w:val="single" w:sz="8" w:space="0" w:color="95B3D7"/>
              <w:right w:val="single" w:sz="8" w:space="0" w:color="95B3D7"/>
            </w:tcBorders>
            <w:shd w:val="clear" w:color="auto" w:fill="auto"/>
            <w:vAlign w:val="center"/>
          </w:tcPr>
          <w:p w:rsidR="00C025DC" w:rsidRPr="00C5016E" w:rsidRDefault="00C025DC" w:rsidP="00C025DC">
            <w:pPr>
              <w:spacing w:before="0" w:after="0"/>
              <w:jc w:val="left"/>
              <w:rPr>
                <w:rFonts w:cs="Arial"/>
                <w:sz w:val="20"/>
                <w:szCs w:val="20"/>
              </w:rPr>
            </w:pPr>
            <w:r w:rsidRPr="00C5016E">
              <w:rPr>
                <w:rFonts w:cs="Arial"/>
                <w:sz w:val="20"/>
                <w:szCs w:val="20"/>
              </w:rPr>
              <w:t xml:space="preserve">                            Kamate na obveznice stare devizne štednje</w:t>
            </w:r>
          </w:p>
        </w:tc>
        <w:tc>
          <w:tcPr>
            <w:tcW w:w="2126" w:type="dxa"/>
            <w:tcBorders>
              <w:top w:val="nil"/>
              <w:left w:val="nil"/>
              <w:bottom w:val="single" w:sz="8" w:space="0" w:color="95B3D7"/>
              <w:right w:val="single" w:sz="8" w:space="0" w:color="95B3D7"/>
            </w:tcBorders>
            <w:shd w:val="clear" w:color="auto" w:fill="auto"/>
            <w:vAlign w:val="center"/>
          </w:tcPr>
          <w:p w:rsidR="00C025DC" w:rsidRPr="00C5016E" w:rsidRDefault="00C025DC" w:rsidP="00C025DC">
            <w:pPr>
              <w:spacing w:before="0" w:after="0"/>
              <w:jc w:val="right"/>
              <w:rPr>
                <w:rFonts w:cs="Arial"/>
                <w:iCs/>
                <w:sz w:val="20"/>
                <w:szCs w:val="20"/>
              </w:rPr>
            </w:pPr>
            <w:r w:rsidRPr="00C5016E">
              <w:rPr>
                <w:rFonts w:cs="Arial"/>
                <w:iCs/>
                <w:sz w:val="20"/>
                <w:szCs w:val="20"/>
              </w:rPr>
              <w:t>0</w:t>
            </w:r>
          </w:p>
        </w:tc>
      </w:tr>
      <w:tr w:rsidR="00C5016E" w:rsidRPr="00C5016E" w:rsidTr="00C025DC">
        <w:trPr>
          <w:trHeight w:val="227"/>
        </w:trPr>
        <w:tc>
          <w:tcPr>
            <w:tcW w:w="6663" w:type="dxa"/>
            <w:tcBorders>
              <w:top w:val="nil"/>
              <w:left w:val="single" w:sz="8" w:space="0" w:color="95B3D7"/>
              <w:bottom w:val="single" w:sz="8" w:space="0" w:color="95B3D7"/>
              <w:right w:val="single" w:sz="8" w:space="0" w:color="95B3D7"/>
            </w:tcBorders>
            <w:shd w:val="clear" w:color="auto" w:fill="auto"/>
            <w:vAlign w:val="center"/>
            <w:hideMark/>
          </w:tcPr>
          <w:p w:rsidR="00C025DC" w:rsidRPr="00C5016E" w:rsidRDefault="00C025DC" w:rsidP="005D0FCD">
            <w:pPr>
              <w:spacing w:before="0" w:after="0"/>
              <w:jc w:val="left"/>
              <w:rPr>
                <w:rFonts w:cs="Arial"/>
                <w:b/>
                <w:bCs/>
                <w:sz w:val="20"/>
                <w:szCs w:val="20"/>
              </w:rPr>
            </w:pPr>
            <w:r w:rsidRPr="00C5016E">
              <w:rPr>
                <w:rFonts w:cs="Arial"/>
                <w:b/>
                <w:bCs/>
                <w:sz w:val="20"/>
                <w:szCs w:val="20"/>
              </w:rPr>
              <w:t>Verifi</w:t>
            </w:r>
            <w:r w:rsidR="005D0FCD" w:rsidRPr="00C5016E">
              <w:rPr>
                <w:rFonts w:cs="Arial"/>
                <w:b/>
                <w:bCs/>
                <w:sz w:val="20"/>
                <w:szCs w:val="20"/>
              </w:rPr>
              <w:t>cirani</w:t>
            </w:r>
            <w:r w:rsidRPr="00C5016E">
              <w:rPr>
                <w:rFonts w:cs="Arial"/>
                <w:b/>
                <w:bCs/>
                <w:sz w:val="20"/>
                <w:szCs w:val="20"/>
              </w:rPr>
              <w:t>/registr</w:t>
            </w:r>
            <w:r w:rsidR="005D0FCD" w:rsidRPr="00C5016E">
              <w:rPr>
                <w:rFonts w:cs="Arial"/>
                <w:b/>
                <w:bCs/>
                <w:sz w:val="20"/>
                <w:szCs w:val="20"/>
              </w:rPr>
              <w:t>irani</w:t>
            </w:r>
            <w:r w:rsidRPr="00C5016E">
              <w:rPr>
                <w:rFonts w:cs="Arial"/>
                <w:b/>
                <w:bCs/>
                <w:sz w:val="20"/>
                <w:szCs w:val="20"/>
              </w:rPr>
              <w:t xml:space="preserve"> dug, od čega:</w:t>
            </w:r>
          </w:p>
        </w:tc>
        <w:tc>
          <w:tcPr>
            <w:tcW w:w="2126" w:type="dxa"/>
            <w:tcBorders>
              <w:top w:val="nil"/>
              <w:left w:val="nil"/>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right"/>
              <w:rPr>
                <w:rFonts w:cs="Arial"/>
                <w:b/>
                <w:bCs/>
                <w:iCs/>
                <w:sz w:val="20"/>
                <w:szCs w:val="20"/>
              </w:rPr>
            </w:pPr>
            <w:r w:rsidRPr="00C5016E">
              <w:rPr>
                <w:rFonts w:cs="Arial"/>
                <w:b/>
                <w:bCs/>
                <w:iCs/>
                <w:sz w:val="20"/>
                <w:szCs w:val="20"/>
              </w:rPr>
              <w:t>3.938.108</w:t>
            </w:r>
          </w:p>
        </w:tc>
      </w:tr>
      <w:tr w:rsidR="00C5016E" w:rsidRPr="00C5016E" w:rsidTr="00C025DC">
        <w:trPr>
          <w:trHeight w:val="227"/>
        </w:trPr>
        <w:tc>
          <w:tcPr>
            <w:tcW w:w="6663" w:type="dxa"/>
            <w:tcBorders>
              <w:top w:val="nil"/>
              <w:left w:val="single" w:sz="8" w:space="0" w:color="95B3D7"/>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left"/>
              <w:rPr>
                <w:rFonts w:cs="Arial"/>
                <w:sz w:val="20"/>
                <w:szCs w:val="20"/>
              </w:rPr>
            </w:pPr>
            <w:r w:rsidRPr="00C5016E">
              <w:rPr>
                <w:rFonts w:cs="Arial"/>
                <w:sz w:val="20"/>
                <w:szCs w:val="20"/>
              </w:rPr>
              <w:t xml:space="preserve">          </w:t>
            </w:r>
            <w:r w:rsidR="005D0FCD" w:rsidRPr="00C5016E">
              <w:rPr>
                <w:rFonts w:cs="Arial"/>
                <w:sz w:val="20"/>
                <w:szCs w:val="20"/>
              </w:rPr>
              <w:t>Ob</w:t>
            </w:r>
            <w:r w:rsidRPr="00C5016E">
              <w:rPr>
                <w:rFonts w:cs="Arial"/>
                <w:sz w:val="20"/>
                <w:szCs w:val="20"/>
              </w:rPr>
              <w:t>veze za staru deviznu štednju za verifikaciju u 2022.</w:t>
            </w:r>
          </w:p>
        </w:tc>
        <w:tc>
          <w:tcPr>
            <w:tcW w:w="2126" w:type="dxa"/>
            <w:tcBorders>
              <w:top w:val="nil"/>
              <w:left w:val="nil"/>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right"/>
              <w:rPr>
                <w:rFonts w:cs="Arial"/>
                <w:iCs/>
                <w:sz w:val="20"/>
                <w:szCs w:val="20"/>
              </w:rPr>
            </w:pPr>
            <w:r w:rsidRPr="00C5016E">
              <w:rPr>
                <w:rFonts w:cs="Arial"/>
                <w:iCs/>
                <w:sz w:val="20"/>
                <w:szCs w:val="20"/>
              </w:rPr>
              <w:t>3.908.183</w:t>
            </w:r>
          </w:p>
        </w:tc>
      </w:tr>
      <w:tr w:rsidR="00C5016E" w:rsidRPr="00C5016E" w:rsidTr="00C025DC">
        <w:trPr>
          <w:trHeight w:val="227"/>
        </w:trPr>
        <w:tc>
          <w:tcPr>
            <w:tcW w:w="6663" w:type="dxa"/>
            <w:tcBorders>
              <w:top w:val="nil"/>
              <w:left w:val="single" w:sz="8" w:space="0" w:color="95B3D7"/>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left"/>
              <w:rPr>
                <w:rFonts w:cs="Arial"/>
                <w:sz w:val="20"/>
                <w:szCs w:val="20"/>
              </w:rPr>
            </w:pPr>
            <w:r w:rsidRPr="00C5016E">
              <w:rPr>
                <w:rFonts w:cs="Arial"/>
                <w:sz w:val="20"/>
                <w:szCs w:val="20"/>
              </w:rPr>
              <w:t xml:space="preserve">          </w:t>
            </w:r>
            <w:r w:rsidR="005D0FCD" w:rsidRPr="00C5016E">
              <w:rPr>
                <w:rFonts w:cs="Arial"/>
                <w:sz w:val="20"/>
                <w:szCs w:val="20"/>
              </w:rPr>
              <w:t>Ob</w:t>
            </w:r>
            <w:r w:rsidRPr="00C5016E">
              <w:rPr>
                <w:rFonts w:cs="Arial"/>
                <w:sz w:val="20"/>
                <w:szCs w:val="20"/>
              </w:rPr>
              <w:t xml:space="preserve">veze za ratna potraživanja po sudskim presudama </w:t>
            </w:r>
          </w:p>
        </w:tc>
        <w:tc>
          <w:tcPr>
            <w:tcW w:w="2126" w:type="dxa"/>
            <w:tcBorders>
              <w:top w:val="nil"/>
              <w:left w:val="nil"/>
              <w:bottom w:val="single" w:sz="8" w:space="0" w:color="95B3D7"/>
              <w:right w:val="single" w:sz="8" w:space="0" w:color="95B3D7"/>
            </w:tcBorders>
            <w:shd w:val="clear" w:color="auto" w:fill="auto"/>
            <w:vAlign w:val="center"/>
            <w:hideMark/>
          </w:tcPr>
          <w:p w:rsidR="00C025DC" w:rsidRPr="00C5016E" w:rsidRDefault="00C025DC" w:rsidP="00C025DC">
            <w:pPr>
              <w:spacing w:before="0" w:after="0"/>
              <w:jc w:val="right"/>
              <w:rPr>
                <w:rFonts w:cs="Arial"/>
                <w:iCs/>
                <w:sz w:val="20"/>
                <w:szCs w:val="20"/>
              </w:rPr>
            </w:pPr>
            <w:r w:rsidRPr="00C5016E">
              <w:rPr>
                <w:rFonts w:cs="Arial"/>
                <w:iCs/>
                <w:sz w:val="20"/>
                <w:szCs w:val="20"/>
              </w:rPr>
              <w:t>29.925</w:t>
            </w:r>
          </w:p>
        </w:tc>
      </w:tr>
      <w:tr w:rsidR="00C5016E" w:rsidRPr="00C5016E" w:rsidTr="00C025DC">
        <w:trPr>
          <w:trHeight w:val="227"/>
        </w:trPr>
        <w:tc>
          <w:tcPr>
            <w:tcW w:w="6663" w:type="dxa"/>
            <w:tcBorders>
              <w:top w:val="nil"/>
              <w:left w:val="single" w:sz="8" w:space="0" w:color="95B3D7"/>
              <w:bottom w:val="single" w:sz="8" w:space="0" w:color="95B3D7"/>
              <w:right w:val="single" w:sz="8" w:space="0" w:color="95B3D7"/>
            </w:tcBorders>
            <w:shd w:val="clear" w:color="000000" w:fill="DDEBF7"/>
            <w:vAlign w:val="center"/>
            <w:hideMark/>
          </w:tcPr>
          <w:p w:rsidR="00C025DC" w:rsidRPr="00C5016E" w:rsidRDefault="00C025DC" w:rsidP="005D0FCD">
            <w:pPr>
              <w:spacing w:before="0" w:after="0"/>
              <w:jc w:val="left"/>
              <w:rPr>
                <w:rFonts w:cs="Arial"/>
                <w:b/>
                <w:sz w:val="20"/>
                <w:szCs w:val="20"/>
              </w:rPr>
            </w:pPr>
            <w:r w:rsidRPr="00C5016E">
              <w:rPr>
                <w:rFonts w:cs="Arial"/>
                <w:b/>
                <w:sz w:val="20"/>
                <w:szCs w:val="20"/>
              </w:rPr>
              <w:t>Ukupan unut</w:t>
            </w:r>
            <w:r w:rsidR="005D0FCD" w:rsidRPr="00C5016E">
              <w:rPr>
                <w:rFonts w:cs="Arial"/>
                <w:b/>
                <w:sz w:val="20"/>
                <w:szCs w:val="20"/>
              </w:rPr>
              <w:t>ar</w:t>
            </w:r>
            <w:r w:rsidRPr="00C5016E">
              <w:rPr>
                <w:rFonts w:cs="Arial"/>
                <w:b/>
                <w:sz w:val="20"/>
                <w:szCs w:val="20"/>
              </w:rPr>
              <w:t xml:space="preserve">nji dug Vlade Federacije BiH </w:t>
            </w:r>
          </w:p>
        </w:tc>
        <w:tc>
          <w:tcPr>
            <w:tcW w:w="2126" w:type="dxa"/>
            <w:tcBorders>
              <w:top w:val="nil"/>
              <w:left w:val="nil"/>
              <w:bottom w:val="single" w:sz="8" w:space="0" w:color="95B3D7"/>
              <w:right w:val="single" w:sz="8" w:space="0" w:color="95B3D7"/>
            </w:tcBorders>
            <w:shd w:val="clear" w:color="000000" w:fill="DDEBF7"/>
            <w:vAlign w:val="center"/>
            <w:hideMark/>
          </w:tcPr>
          <w:p w:rsidR="00C025DC" w:rsidRPr="00C5016E" w:rsidRDefault="00C025DC" w:rsidP="00C025DC">
            <w:pPr>
              <w:spacing w:before="0" w:after="0"/>
              <w:jc w:val="right"/>
              <w:rPr>
                <w:rFonts w:cs="Arial"/>
                <w:b/>
                <w:bCs/>
                <w:iCs/>
                <w:sz w:val="20"/>
                <w:szCs w:val="20"/>
                <w:highlight w:val="magenta"/>
              </w:rPr>
            </w:pPr>
            <w:r w:rsidRPr="00C5016E">
              <w:rPr>
                <w:rFonts w:cs="Arial"/>
                <w:b/>
                <w:bCs/>
                <w:iCs/>
                <w:sz w:val="20"/>
                <w:szCs w:val="20"/>
              </w:rPr>
              <w:t>683.760.169</w:t>
            </w:r>
          </w:p>
        </w:tc>
      </w:tr>
    </w:tbl>
    <w:p w:rsidR="00C025DC" w:rsidRPr="00C5016E" w:rsidRDefault="00EF4C3C" w:rsidP="00C025DC">
      <w:pPr>
        <w:spacing w:before="0"/>
        <w:rPr>
          <w:rFonts w:cs="Arial"/>
          <w:b/>
          <w:sz w:val="22"/>
          <w:szCs w:val="24"/>
        </w:rPr>
      </w:pPr>
      <w:r w:rsidRPr="00C5016E">
        <w:rPr>
          <w:rFonts w:cs="Arial"/>
          <w:b/>
          <w:sz w:val="22"/>
          <w:szCs w:val="24"/>
        </w:rPr>
        <w:t>Tablica</w:t>
      </w:r>
      <w:r w:rsidR="00C025DC" w:rsidRPr="00C5016E">
        <w:rPr>
          <w:rFonts w:cs="Arial"/>
          <w:b/>
          <w:sz w:val="22"/>
          <w:szCs w:val="24"/>
        </w:rPr>
        <w:t xml:space="preserve"> 7</w:t>
      </w:r>
      <w:r w:rsidR="00C025DC" w:rsidRPr="00C5016E">
        <w:rPr>
          <w:rFonts w:cs="Arial"/>
          <w:sz w:val="22"/>
          <w:szCs w:val="24"/>
        </w:rPr>
        <w:t>: Stanje unut</w:t>
      </w:r>
      <w:r w:rsidR="005D0FCD" w:rsidRPr="00C5016E">
        <w:rPr>
          <w:rFonts w:cs="Arial"/>
          <w:sz w:val="22"/>
          <w:szCs w:val="24"/>
        </w:rPr>
        <w:t>ar</w:t>
      </w:r>
      <w:r w:rsidR="00C025DC" w:rsidRPr="00C5016E">
        <w:rPr>
          <w:rFonts w:cs="Arial"/>
          <w:sz w:val="22"/>
          <w:szCs w:val="24"/>
        </w:rPr>
        <w:t>njeg duga Federacije BiH na dan 31.</w:t>
      </w:r>
      <w:r w:rsidR="005D0FCD" w:rsidRPr="00C5016E">
        <w:rPr>
          <w:rFonts w:cs="Arial"/>
          <w:sz w:val="22"/>
          <w:szCs w:val="24"/>
        </w:rPr>
        <w:t xml:space="preserve"> </w:t>
      </w:r>
      <w:r w:rsidR="00C025DC" w:rsidRPr="00C5016E">
        <w:rPr>
          <w:rFonts w:cs="Arial"/>
          <w:sz w:val="22"/>
          <w:szCs w:val="24"/>
        </w:rPr>
        <w:t>12.</w:t>
      </w:r>
      <w:r w:rsidR="005D0FCD" w:rsidRPr="00C5016E">
        <w:rPr>
          <w:rFonts w:cs="Arial"/>
          <w:sz w:val="22"/>
          <w:szCs w:val="24"/>
        </w:rPr>
        <w:t xml:space="preserve"> </w:t>
      </w:r>
      <w:r w:rsidR="00C025DC" w:rsidRPr="00C5016E">
        <w:rPr>
          <w:rFonts w:cs="Arial"/>
          <w:sz w:val="22"/>
          <w:szCs w:val="24"/>
        </w:rPr>
        <w:t xml:space="preserve">2022. </w:t>
      </w:r>
      <w:bookmarkEnd w:id="85"/>
    </w:p>
    <w:p w:rsidR="00C025DC" w:rsidRPr="00C5016E" w:rsidRDefault="00C025DC" w:rsidP="00C025DC">
      <w:pPr>
        <w:spacing w:before="0" w:after="0"/>
        <w:rPr>
          <w:rFonts w:cs="Arial"/>
        </w:rPr>
      </w:pPr>
    </w:p>
    <w:p w:rsidR="00C025DC" w:rsidRPr="00C5016E" w:rsidRDefault="00C025DC" w:rsidP="00C025DC">
      <w:pPr>
        <w:spacing w:before="0" w:after="0"/>
        <w:rPr>
          <w:szCs w:val="24"/>
        </w:rPr>
      </w:pPr>
      <w:r w:rsidRPr="00C5016E">
        <w:rPr>
          <w:szCs w:val="24"/>
        </w:rPr>
        <w:t>U narednoj tab</w:t>
      </w:r>
      <w:r w:rsidR="005D0FCD" w:rsidRPr="00C5016E">
        <w:rPr>
          <w:szCs w:val="24"/>
        </w:rPr>
        <w:t>lici</w:t>
      </w:r>
      <w:r w:rsidRPr="00C5016E">
        <w:rPr>
          <w:szCs w:val="24"/>
        </w:rPr>
        <w:t xml:space="preserve"> su prikazane izvršene emisije vrijednosnih papira u obliku tržišnih obveznica, trezorskih zapisa i obveznica stare devizne štednje u 2022. godini:</w:t>
      </w:r>
    </w:p>
    <w:p w:rsidR="00C025DC" w:rsidRPr="00C5016E" w:rsidRDefault="00C025DC" w:rsidP="00C025DC">
      <w:pPr>
        <w:spacing w:before="0" w:after="0"/>
        <w:rPr>
          <w:szCs w:val="24"/>
        </w:rPr>
      </w:pPr>
    </w:p>
    <w:tbl>
      <w:tblPr>
        <w:tblW w:w="8789" w:type="dxa"/>
        <w:tblInd w:w="-10"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4"/>
        <w:gridCol w:w="1134"/>
        <w:gridCol w:w="1016"/>
        <w:gridCol w:w="1276"/>
        <w:gridCol w:w="992"/>
        <w:gridCol w:w="1134"/>
        <w:gridCol w:w="1843"/>
      </w:tblGrid>
      <w:tr w:rsidR="00C5016E" w:rsidRPr="00C5016E" w:rsidTr="00C025DC">
        <w:trPr>
          <w:trHeight w:val="416"/>
        </w:trPr>
        <w:tc>
          <w:tcPr>
            <w:tcW w:w="1394" w:type="dxa"/>
            <w:tcBorders>
              <w:top w:val="single" w:sz="8" w:space="0" w:color="auto"/>
              <w:bottom w:val="single" w:sz="8" w:space="0" w:color="auto"/>
            </w:tcBorders>
            <w:shd w:val="clear" w:color="auto" w:fill="auto"/>
            <w:vAlign w:val="center"/>
          </w:tcPr>
          <w:p w:rsidR="00C025DC" w:rsidRPr="00C5016E" w:rsidRDefault="00C025DC" w:rsidP="00C025DC">
            <w:pPr>
              <w:jc w:val="center"/>
              <w:rPr>
                <w:rFonts w:ascii="Arial Narrow" w:hAnsi="Arial Narrow"/>
                <w:b/>
                <w:sz w:val="18"/>
                <w:szCs w:val="18"/>
              </w:rPr>
            </w:pPr>
            <w:r w:rsidRPr="00C5016E">
              <w:rPr>
                <w:rFonts w:ascii="Arial Narrow" w:hAnsi="Arial Narrow"/>
                <w:b/>
                <w:sz w:val="18"/>
                <w:szCs w:val="18"/>
              </w:rPr>
              <w:t>Datum emisije</w:t>
            </w:r>
          </w:p>
        </w:tc>
        <w:tc>
          <w:tcPr>
            <w:tcW w:w="1134" w:type="dxa"/>
            <w:tcBorders>
              <w:top w:val="single" w:sz="8" w:space="0" w:color="auto"/>
              <w:bottom w:val="single" w:sz="8" w:space="0" w:color="auto"/>
            </w:tcBorders>
            <w:shd w:val="clear" w:color="auto" w:fill="auto"/>
            <w:vAlign w:val="center"/>
          </w:tcPr>
          <w:p w:rsidR="00C025DC" w:rsidRPr="00C5016E" w:rsidRDefault="00C025DC" w:rsidP="00C025DC">
            <w:pPr>
              <w:jc w:val="center"/>
              <w:rPr>
                <w:rFonts w:ascii="Arial Narrow" w:hAnsi="Arial Narrow"/>
                <w:b/>
                <w:sz w:val="18"/>
                <w:szCs w:val="18"/>
              </w:rPr>
            </w:pPr>
            <w:r w:rsidRPr="00C5016E">
              <w:rPr>
                <w:rFonts w:ascii="Arial Narrow" w:hAnsi="Arial Narrow"/>
                <w:b/>
                <w:sz w:val="18"/>
                <w:szCs w:val="18"/>
              </w:rPr>
              <w:t>Vrsta VP</w:t>
            </w:r>
          </w:p>
        </w:tc>
        <w:tc>
          <w:tcPr>
            <w:tcW w:w="1016" w:type="dxa"/>
            <w:tcBorders>
              <w:top w:val="single" w:sz="8" w:space="0" w:color="auto"/>
              <w:bottom w:val="single" w:sz="8" w:space="0" w:color="auto"/>
            </w:tcBorders>
            <w:shd w:val="clear" w:color="auto" w:fill="auto"/>
            <w:vAlign w:val="center"/>
          </w:tcPr>
          <w:p w:rsidR="00C025DC" w:rsidRPr="00C5016E" w:rsidRDefault="00C025DC" w:rsidP="00C025DC">
            <w:pPr>
              <w:ind w:left="-119" w:right="-137"/>
              <w:jc w:val="center"/>
              <w:rPr>
                <w:rFonts w:ascii="Arial Narrow" w:hAnsi="Arial Narrow"/>
                <w:b/>
                <w:sz w:val="18"/>
                <w:szCs w:val="18"/>
              </w:rPr>
            </w:pPr>
            <w:r w:rsidRPr="00C5016E">
              <w:rPr>
                <w:rFonts w:ascii="Arial Narrow" w:hAnsi="Arial Narrow"/>
                <w:b/>
                <w:sz w:val="18"/>
                <w:szCs w:val="18"/>
              </w:rPr>
              <w:t>Oznaka</w:t>
            </w:r>
          </w:p>
        </w:tc>
        <w:tc>
          <w:tcPr>
            <w:tcW w:w="1276" w:type="dxa"/>
            <w:tcBorders>
              <w:top w:val="single" w:sz="8" w:space="0" w:color="auto"/>
              <w:bottom w:val="single" w:sz="8" w:space="0" w:color="auto"/>
            </w:tcBorders>
            <w:shd w:val="clear" w:color="auto" w:fill="auto"/>
            <w:vAlign w:val="center"/>
          </w:tcPr>
          <w:p w:rsidR="00C025DC" w:rsidRPr="00C5016E" w:rsidRDefault="00C025DC" w:rsidP="00C025DC">
            <w:pPr>
              <w:jc w:val="center"/>
              <w:rPr>
                <w:rFonts w:ascii="Arial Narrow" w:hAnsi="Arial Narrow"/>
                <w:b/>
                <w:sz w:val="18"/>
                <w:szCs w:val="18"/>
              </w:rPr>
            </w:pPr>
            <w:r w:rsidRPr="00C5016E">
              <w:rPr>
                <w:rFonts w:ascii="Arial Narrow" w:hAnsi="Arial Narrow"/>
                <w:b/>
                <w:sz w:val="18"/>
                <w:szCs w:val="18"/>
              </w:rPr>
              <w:t>Iznos</w:t>
            </w:r>
          </w:p>
        </w:tc>
        <w:tc>
          <w:tcPr>
            <w:tcW w:w="992" w:type="dxa"/>
            <w:tcBorders>
              <w:top w:val="single" w:sz="8" w:space="0" w:color="auto"/>
              <w:bottom w:val="single" w:sz="8" w:space="0" w:color="auto"/>
            </w:tcBorders>
            <w:shd w:val="clear" w:color="auto" w:fill="auto"/>
            <w:vAlign w:val="center"/>
          </w:tcPr>
          <w:p w:rsidR="00C025DC" w:rsidRPr="00C5016E" w:rsidRDefault="00C025DC" w:rsidP="00C025DC">
            <w:pPr>
              <w:jc w:val="center"/>
              <w:rPr>
                <w:rFonts w:ascii="Arial Narrow" w:hAnsi="Arial Narrow"/>
                <w:b/>
                <w:sz w:val="18"/>
                <w:szCs w:val="18"/>
              </w:rPr>
            </w:pPr>
            <w:r w:rsidRPr="00C5016E">
              <w:rPr>
                <w:rFonts w:ascii="Arial Narrow" w:hAnsi="Arial Narrow"/>
                <w:b/>
                <w:sz w:val="18"/>
                <w:szCs w:val="18"/>
              </w:rPr>
              <w:t>Ročnost</w:t>
            </w:r>
          </w:p>
        </w:tc>
        <w:tc>
          <w:tcPr>
            <w:tcW w:w="1134" w:type="dxa"/>
            <w:tcBorders>
              <w:top w:val="single" w:sz="8" w:space="0" w:color="auto"/>
              <w:bottom w:val="single" w:sz="8" w:space="0" w:color="auto"/>
            </w:tcBorders>
            <w:shd w:val="clear" w:color="auto" w:fill="auto"/>
            <w:vAlign w:val="center"/>
          </w:tcPr>
          <w:p w:rsidR="00C025DC" w:rsidRPr="00C5016E" w:rsidRDefault="00C025DC" w:rsidP="00C025DC">
            <w:pPr>
              <w:jc w:val="center"/>
              <w:rPr>
                <w:rFonts w:ascii="Arial Narrow" w:hAnsi="Arial Narrow"/>
                <w:b/>
                <w:sz w:val="18"/>
                <w:szCs w:val="18"/>
              </w:rPr>
            </w:pPr>
            <w:r w:rsidRPr="00C5016E">
              <w:rPr>
                <w:rFonts w:ascii="Arial Narrow" w:hAnsi="Arial Narrow"/>
                <w:b/>
                <w:sz w:val="18"/>
                <w:szCs w:val="18"/>
              </w:rPr>
              <w:t>Kam.</w:t>
            </w:r>
            <w:r w:rsidR="005D0FCD" w:rsidRPr="00C5016E">
              <w:rPr>
                <w:rFonts w:ascii="Arial Narrow" w:hAnsi="Arial Narrow"/>
                <w:b/>
                <w:sz w:val="18"/>
                <w:szCs w:val="18"/>
              </w:rPr>
              <w:t xml:space="preserve"> </w:t>
            </w:r>
            <w:r w:rsidRPr="00C5016E">
              <w:rPr>
                <w:rFonts w:ascii="Arial Narrow" w:hAnsi="Arial Narrow"/>
                <w:b/>
                <w:sz w:val="18"/>
                <w:szCs w:val="18"/>
              </w:rPr>
              <w:t>stopa</w:t>
            </w:r>
          </w:p>
        </w:tc>
        <w:tc>
          <w:tcPr>
            <w:tcW w:w="1843" w:type="dxa"/>
            <w:tcBorders>
              <w:top w:val="single" w:sz="8" w:space="0" w:color="auto"/>
              <w:bottom w:val="single" w:sz="8" w:space="0" w:color="auto"/>
            </w:tcBorders>
            <w:shd w:val="clear" w:color="auto" w:fill="auto"/>
            <w:vAlign w:val="center"/>
          </w:tcPr>
          <w:p w:rsidR="00C025DC" w:rsidRPr="00C5016E" w:rsidRDefault="00C025DC" w:rsidP="00C025DC">
            <w:pPr>
              <w:jc w:val="center"/>
              <w:rPr>
                <w:rFonts w:ascii="Arial Narrow" w:hAnsi="Arial Narrow"/>
                <w:b/>
                <w:sz w:val="18"/>
                <w:szCs w:val="18"/>
              </w:rPr>
            </w:pPr>
            <w:r w:rsidRPr="00C5016E">
              <w:rPr>
                <w:rFonts w:ascii="Arial Narrow" w:hAnsi="Arial Narrow"/>
                <w:b/>
                <w:sz w:val="18"/>
                <w:szCs w:val="18"/>
              </w:rPr>
              <w:t xml:space="preserve">Datum </w:t>
            </w:r>
            <w:r w:rsidR="005D0FCD" w:rsidRPr="00C5016E">
              <w:rPr>
                <w:rFonts w:ascii="Arial Narrow" w:hAnsi="Arial Narrow"/>
                <w:b/>
                <w:sz w:val="18"/>
                <w:szCs w:val="18"/>
              </w:rPr>
              <w:t>dospijeća</w:t>
            </w:r>
          </w:p>
        </w:tc>
      </w:tr>
      <w:tr w:rsidR="00C5016E" w:rsidRPr="00C5016E" w:rsidTr="00C025DC">
        <w:trPr>
          <w:trHeight w:val="416"/>
        </w:trPr>
        <w:tc>
          <w:tcPr>
            <w:tcW w:w="1394" w:type="dxa"/>
            <w:tcBorders>
              <w:top w:val="single" w:sz="8" w:space="0" w:color="auto"/>
            </w:tcBorders>
            <w:shd w:val="clear" w:color="auto" w:fill="auto"/>
            <w:vAlign w:val="center"/>
          </w:tcPr>
          <w:p w:rsidR="00C025DC" w:rsidRPr="00C5016E" w:rsidRDefault="00C025DC" w:rsidP="005D0FCD">
            <w:pPr>
              <w:jc w:val="center"/>
              <w:rPr>
                <w:rFonts w:ascii="Arial Narrow" w:hAnsi="Arial Narrow"/>
                <w:sz w:val="20"/>
                <w:szCs w:val="20"/>
              </w:rPr>
            </w:pPr>
            <w:r w:rsidRPr="00C5016E">
              <w:rPr>
                <w:rFonts w:ascii="Arial Narrow" w:hAnsi="Arial Narrow"/>
                <w:sz w:val="20"/>
                <w:szCs w:val="20"/>
              </w:rPr>
              <w:t>31.</w:t>
            </w:r>
            <w:r w:rsidR="005D0FCD" w:rsidRPr="00C5016E">
              <w:rPr>
                <w:rFonts w:ascii="Arial Narrow" w:hAnsi="Arial Narrow"/>
                <w:sz w:val="20"/>
                <w:szCs w:val="20"/>
              </w:rPr>
              <w:t xml:space="preserve"> </w:t>
            </w:r>
            <w:r w:rsidRPr="00C5016E">
              <w:rPr>
                <w:rFonts w:ascii="Arial Narrow" w:hAnsi="Arial Narrow"/>
                <w:sz w:val="20"/>
                <w:szCs w:val="20"/>
              </w:rPr>
              <w:t>3.</w:t>
            </w:r>
            <w:r w:rsidR="00355C4C" w:rsidRPr="00C5016E">
              <w:rPr>
                <w:rFonts w:ascii="Arial Narrow" w:hAnsi="Arial Narrow"/>
                <w:sz w:val="20"/>
                <w:szCs w:val="20"/>
              </w:rPr>
              <w:t xml:space="preserve"> </w:t>
            </w:r>
            <w:r w:rsidRPr="00C5016E">
              <w:rPr>
                <w:rFonts w:ascii="Arial Narrow" w:hAnsi="Arial Narrow"/>
                <w:sz w:val="20"/>
                <w:szCs w:val="20"/>
              </w:rPr>
              <w:t>2022.</w:t>
            </w:r>
          </w:p>
        </w:tc>
        <w:tc>
          <w:tcPr>
            <w:tcW w:w="1134" w:type="dxa"/>
            <w:tcBorders>
              <w:top w:val="single" w:sz="8" w:space="0" w:color="auto"/>
            </w:tcBorders>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Obveznice dev.</w:t>
            </w:r>
            <w:r w:rsidR="005D0FCD" w:rsidRPr="00C5016E">
              <w:rPr>
                <w:rFonts w:ascii="Arial Narrow" w:hAnsi="Arial Narrow"/>
                <w:sz w:val="20"/>
                <w:szCs w:val="20"/>
              </w:rPr>
              <w:t xml:space="preserve"> </w:t>
            </w:r>
            <w:r w:rsidRPr="00C5016E">
              <w:rPr>
                <w:rFonts w:ascii="Arial Narrow" w:hAnsi="Arial Narrow"/>
                <w:sz w:val="20"/>
                <w:szCs w:val="20"/>
              </w:rPr>
              <w:t>štednje</w:t>
            </w:r>
          </w:p>
        </w:tc>
        <w:tc>
          <w:tcPr>
            <w:tcW w:w="1016" w:type="dxa"/>
            <w:tcBorders>
              <w:top w:val="single" w:sz="8" w:space="0" w:color="auto"/>
            </w:tcBorders>
            <w:shd w:val="clear" w:color="auto" w:fill="auto"/>
            <w:vAlign w:val="center"/>
          </w:tcPr>
          <w:p w:rsidR="00C025DC" w:rsidRPr="00C5016E" w:rsidRDefault="00C025DC" w:rsidP="00C025DC">
            <w:pPr>
              <w:ind w:left="-119" w:right="-137"/>
              <w:jc w:val="center"/>
              <w:rPr>
                <w:rFonts w:ascii="Arial Narrow" w:hAnsi="Arial Narrow"/>
                <w:sz w:val="20"/>
                <w:szCs w:val="20"/>
              </w:rPr>
            </w:pPr>
            <w:r w:rsidRPr="00C5016E">
              <w:rPr>
                <w:rFonts w:ascii="Arial Narrow" w:hAnsi="Arial Narrow"/>
                <w:sz w:val="20"/>
                <w:szCs w:val="20"/>
              </w:rPr>
              <w:t>FBIHKZ1</w:t>
            </w:r>
          </w:p>
        </w:tc>
        <w:tc>
          <w:tcPr>
            <w:tcW w:w="1276" w:type="dxa"/>
            <w:tcBorders>
              <w:top w:val="single" w:sz="8" w:space="0" w:color="auto"/>
            </w:tcBorders>
            <w:shd w:val="clear" w:color="auto" w:fill="auto"/>
            <w:vAlign w:val="center"/>
          </w:tcPr>
          <w:p w:rsidR="00C025DC" w:rsidRPr="00C5016E" w:rsidRDefault="00C025DC" w:rsidP="00C025DC">
            <w:pPr>
              <w:ind w:right="-108"/>
              <w:jc w:val="center"/>
              <w:rPr>
                <w:rFonts w:ascii="Arial Narrow" w:hAnsi="Arial Narrow"/>
                <w:sz w:val="20"/>
                <w:szCs w:val="20"/>
              </w:rPr>
            </w:pPr>
            <w:r w:rsidRPr="00C5016E">
              <w:rPr>
                <w:rFonts w:ascii="Arial Narrow" w:hAnsi="Arial Narrow"/>
                <w:sz w:val="20"/>
                <w:szCs w:val="20"/>
              </w:rPr>
              <w:t>8.297.732</w:t>
            </w:r>
          </w:p>
        </w:tc>
        <w:tc>
          <w:tcPr>
            <w:tcW w:w="992" w:type="dxa"/>
            <w:tcBorders>
              <w:top w:val="single" w:sz="8" w:space="0" w:color="auto"/>
            </w:tcBorders>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6-mjeseci</w:t>
            </w:r>
          </w:p>
        </w:tc>
        <w:tc>
          <w:tcPr>
            <w:tcW w:w="1134" w:type="dxa"/>
            <w:tcBorders>
              <w:top w:val="single" w:sz="8" w:space="0" w:color="auto"/>
            </w:tcBorders>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2,5%</w:t>
            </w:r>
          </w:p>
        </w:tc>
        <w:tc>
          <w:tcPr>
            <w:tcW w:w="1843" w:type="dxa"/>
            <w:tcBorders>
              <w:top w:val="single" w:sz="8" w:space="0" w:color="auto"/>
            </w:tcBorders>
            <w:shd w:val="clear" w:color="auto" w:fill="auto"/>
            <w:vAlign w:val="center"/>
          </w:tcPr>
          <w:p w:rsidR="00C025DC" w:rsidRPr="00C5016E" w:rsidRDefault="00C025DC" w:rsidP="005D0FCD">
            <w:pPr>
              <w:jc w:val="center"/>
              <w:rPr>
                <w:rFonts w:ascii="Arial Narrow" w:hAnsi="Arial Narrow"/>
                <w:sz w:val="20"/>
                <w:szCs w:val="20"/>
              </w:rPr>
            </w:pPr>
            <w:r w:rsidRPr="00C5016E">
              <w:rPr>
                <w:rFonts w:ascii="Arial Narrow" w:hAnsi="Arial Narrow"/>
                <w:sz w:val="20"/>
                <w:szCs w:val="20"/>
              </w:rPr>
              <w:t>30.</w:t>
            </w:r>
            <w:r w:rsidR="005D0FCD" w:rsidRPr="00C5016E">
              <w:rPr>
                <w:rFonts w:ascii="Arial Narrow" w:hAnsi="Arial Narrow"/>
                <w:sz w:val="20"/>
                <w:szCs w:val="20"/>
              </w:rPr>
              <w:t xml:space="preserve"> </w:t>
            </w:r>
            <w:r w:rsidRPr="00C5016E">
              <w:rPr>
                <w:rFonts w:ascii="Arial Narrow" w:hAnsi="Arial Narrow"/>
                <w:sz w:val="20"/>
                <w:szCs w:val="20"/>
              </w:rPr>
              <w:t>9.</w:t>
            </w:r>
            <w:r w:rsidR="005D0FCD" w:rsidRPr="00C5016E">
              <w:rPr>
                <w:rFonts w:ascii="Arial Narrow" w:hAnsi="Arial Narrow"/>
                <w:sz w:val="20"/>
                <w:szCs w:val="20"/>
              </w:rPr>
              <w:t xml:space="preserve"> </w:t>
            </w:r>
            <w:r w:rsidRPr="00C5016E">
              <w:rPr>
                <w:rFonts w:ascii="Arial Narrow" w:hAnsi="Arial Narrow"/>
                <w:sz w:val="20"/>
                <w:szCs w:val="20"/>
              </w:rPr>
              <w:t>2022.</w:t>
            </w:r>
          </w:p>
        </w:tc>
      </w:tr>
      <w:tr w:rsidR="00C5016E" w:rsidRPr="00C5016E" w:rsidTr="00C025DC">
        <w:trPr>
          <w:trHeight w:val="416"/>
        </w:trPr>
        <w:tc>
          <w:tcPr>
            <w:tcW w:w="1394" w:type="dxa"/>
            <w:shd w:val="clear" w:color="auto" w:fill="auto"/>
            <w:vAlign w:val="center"/>
          </w:tcPr>
          <w:p w:rsidR="00C025DC" w:rsidRPr="00C5016E" w:rsidRDefault="00C025DC" w:rsidP="00355C4C">
            <w:pPr>
              <w:jc w:val="center"/>
              <w:rPr>
                <w:rFonts w:ascii="Arial Narrow" w:hAnsi="Arial Narrow"/>
                <w:sz w:val="20"/>
                <w:szCs w:val="20"/>
              </w:rPr>
            </w:pPr>
            <w:r w:rsidRPr="00C5016E">
              <w:rPr>
                <w:rFonts w:ascii="Arial Narrow" w:hAnsi="Arial Narrow"/>
                <w:sz w:val="20"/>
                <w:szCs w:val="20"/>
              </w:rPr>
              <w:t>14.</w:t>
            </w:r>
            <w:r w:rsidR="00355C4C" w:rsidRPr="00C5016E">
              <w:rPr>
                <w:rFonts w:ascii="Arial Narrow" w:hAnsi="Arial Narrow"/>
                <w:sz w:val="20"/>
                <w:szCs w:val="20"/>
              </w:rPr>
              <w:t xml:space="preserve"> </w:t>
            </w:r>
            <w:r w:rsidRPr="00C5016E">
              <w:rPr>
                <w:rFonts w:ascii="Arial Narrow" w:hAnsi="Arial Narrow"/>
                <w:sz w:val="20"/>
                <w:szCs w:val="20"/>
              </w:rPr>
              <w:t>6.</w:t>
            </w:r>
            <w:r w:rsidR="00355C4C" w:rsidRPr="00C5016E">
              <w:rPr>
                <w:rFonts w:ascii="Arial Narrow" w:hAnsi="Arial Narrow"/>
                <w:sz w:val="20"/>
                <w:szCs w:val="20"/>
              </w:rPr>
              <w:t xml:space="preserve"> </w:t>
            </w:r>
            <w:r w:rsidRPr="00C5016E">
              <w:rPr>
                <w:rFonts w:ascii="Arial Narrow" w:hAnsi="Arial Narrow"/>
                <w:sz w:val="20"/>
                <w:szCs w:val="20"/>
              </w:rPr>
              <w:t>2022.</w:t>
            </w:r>
          </w:p>
        </w:tc>
        <w:tc>
          <w:tcPr>
            <w:tcW w:w="1134" w:type="dxa"/>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Trezorski zapis</w:t>
            </w:r>
          </w:p>
        </w:tc>
        <w:tc>
          <w:tcPr>
            <w:tcW w:w="1016" w:type="dxa"/>
            <w:shd w:val="clear" w:color="auto" w:fill="auto"/>
            <w:vAlign w:val="center"/>
          </w:tcPr>
          <w:p w:rsidR="00C025DC" w:rsidRPr="00C5016E" w:rsidRDefault="00C025DC" w:rsidP="00C025DC">
            <w:pPr>
              <w:ind w:left="-119" w:right="-137"/>
              <w:jc w:val="center"/>
              <w:rPr>
                <w:rFonts w:ascii="Arial Narrow" w:hAnsi="Arial Narrow"/>
                <w:sz w:val="20"/>
                <w:szCs w:val="20"/>
              </w:rPr>
            </w:pPr>
            <w:r w:rsidRPr="00C5016E">
              <w:rPr>
                <w:rFonts w:ascii="Arial Narrow" w:hAnsi="Arial Narrow"/>
                <w:sz w:val="20"/>
                <w:szCs w:val="20"/>
              </w:rPr>
              <w:t>FBIHT75</w:t>
            </w:r>
          </w:p>
        </w:tc>
        <w:tc>
          <w:tcPr>
            <w:tcW w:w="1276" w:type="dxa"/>
            <w:shd w:val="clear" w:color="auto" w:fill="auto"/>
            <w:vAlign w:val="center"/>
          </w:tcPr>
          <w:p w:rsidR="00C025DC" w:rsidRPr="00C5016E" w:rsidRDefault="00C025DC" w:rsidP="00C025DC">
            <w:pPr>
              <w:ind w:right="-108"/>
              <w:rPr>
                <w:rFonts w:ascii="Arial Narrow" w:hAnsi="Arial Narrow"/>
                <w:sz w:val="20"/>
                <w:szCs w:val="20"/>
              </w:rPr>
            </w:pPr>
            <w:r w:rsidRPr="00C5016E">
              <w:rPr>
                <w:rFonts w:ascii="Arial Narrow" w:hAnsi="Arial Narrow"/>
                <w:sz w:val="20"/>
                <w:szCs w:val="20"/>
              </w:rPr>
              <w:t>50.000.000</w:t>
            </w:r>
          </w:p>
        </w:tc>
        <w:tc>
          <w:tcPr>
            <w:tcW w:w="992" w:type="dxa"/>
            <w:shd w:val="clear" w:color="auto" w:fill="auto"/>
            <w:vAlign w:val="center"/>
          </w:tcPr>
          <w:p w:rsidR="00C025DC" w:rsidRPr="00C5016E" w:rsidRDefault="00C025DC" w:rsidP="00C025DC">
            <w:pPr>
              <w:jc w:val="right"/>
              <w:rPr>
                <w:rFonts w:ascii="Arial Narrow" w:hAnsi="Arial Narrow"/>
                <w:sz w:val="20"/>
                <w:szCs w:val="20"/>
              </w:rPr>
            </w:pPr>
            <w:r w:rsidRPr="00C5016E">
              <w:rPr>
                <w:rFonts w:ascii="Arial Narrow" w:hAnsi="Arial Narrow"/>
                <w:sz w:val="20"/>
                <w:szCs w:val="20"/>
              </w:rPr>
              <w:t>9-mjeseci</w:t>
            </w:r>
          </w:p>
        </w:tc>
        <w:tc>
          <w:tcPr>
            <w:tcW w:w="1134" w:type="dxa"/>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0,0%</w:t>
            </w:r>
          </w:p>
        </w:tc>
        <w:tc>
          <w:tcPr>
            <w:tcW w:w="1843" w:type="dxa"/>
            <w:shd w:val="clear" w:color="auto" w:fill="auto"/>
            <w:vAlign w:val="center"/>
          </w:tcPr>
          <w:p w:rsidR="00C025DC" w:rsidRPr="00C5016E" w:rsidRDefault="00C025DC" w:rsidP="005D0FCD">
            <w:pPr>
              <w:jc w:val="center"/>
              <w:rPr>
                <w:rFonts w:ascii="Arial Narrow" w:hAnsi="Arial Narrow"/>
                <w:sz w:val="20"/>
                <w:szCs w:val="20"/>
              </w:rPr>
            </w:pPr>
            <w:r w:rsidRPr="00C5016E">
              <w:rPr>
                <w:rFonts w:ascii="Arial Narrow" w:hAnsi="Arial Narrow"/>
                <w:sz w:val="20"/>
                <w:szCs w:val="20"/>
              </w:rPr>
              <w:t>15.</w:t>
            </w:r>
            <w:r w:rsidR="005D0FCD" w:rsidRPr="00C5016E">
              <w:rPr>
                <w:rFonts w:ascii="Arial Narrow" w:hAnsi="Arial Narrow"/>
                <w:sz w:val="20"/>
                <w:szCs w:val="20"/>
              </w:rPr>
              <w:t xml:space="preserve"> </w:t>
            </w:r>
            <w:r w:rsidRPr="00C5016E">
              <w:rPr>
                <w:rFonts w:ascii="Arial Narrow" w:hAnsi="Arial Narrow"/>
                <w:sz w:val="20"/>
                <w:szCs w:val="20"/>
              </w:rPr>
              <w:t>3.</w:t>
            </w:r>
            <w:r w:rsidR="005D0FCD" w:rsidRPr="00C5016E">
              <w:rPr>
                <w:rFonts w:ascii="Arial Narrow" w:hAnsi="Arial Narrow"/>
                <w:sz w:val="20"/>
                <w:szCs w:val="20"/>
              </w:rPr>
              <w:t xml:space="preserve"> </w:t>
            </w:r>
            <w:r w:rsidRPr="00C5016E">
              <w:rPr>
                <w:rFonts w:ascii="Arial Narrow" w:hAnsi="Arial Narrow"/>
                <w:sz w:val="20"/>
                <w:szCs w:val="20"/>
              </w:rPr>
              <w:t>2023.</w:t>
            </w:r>
          </w:p>
        </w:tc>
      </w:tr>
      <w:tr w:rsidR="00C5016E" w:rsidRPr="00C5016E" w:rsidTr="00C025DC">
        <w:trPr>
          <w:trHeight w:val="416"/>
        </w:trPr>
        <w:tc>
          <w:tcPr>
            <w:tcW w:w="1394" w:type="dxa"/>
            <w:shd w:val="clear" w:color="auto" w:fill="auto"/>
            <w:vAlign w:val="center"/>
          </w:tcPr>
          <w:p w:rsidR="00C025DC" w:rsidRPr="00C5016E" w:rsidRDefault="00C025DC" w:rsidP="00355C4C">
            <w:pPr>
              <w:jc w:val="center"/>
              <w:rPr>
                <w:rFonts w:ascii="Arial Narrow" w:hAnsi="Arial Narrow"/>
                <w:sz w:val="20"/>
                <w:szCs w:val="20"/>
              </w:rPr>
            </w:pPr>
            <w:r w:rsidRPr="00C5016E">
              <w:rPr>
                <w:rFonts w:ascii="Arial Narrow" w:hAnsi="Arial Narrow"/>
                <w:sz w:val="20"/>
                <w:szCs w:val="20"/>
              </w:rPr>
              <w:t>21.</w:t>
            </w:r>
            <w:r w:rsidR="00355C4C" w:rsidRPr="00C5016E">
              <w:rPr>
                <w:rFonts w:ascii="Arial Narrow" w:hAnsi="Arial Narrow"/>
                <w:sz w:val="20"/>
                <w:szCs w:val="20"/>
              </w:rPr>
              <w:t xml:space="preserve"> </w:t>
            </w:r>
            <w:r w:rsidRPr="00C5016E">
              <w:rPr>
                <w:rFonts w:ascii="Arial Narrow" w:hAnsi="Arial Narrow"/>
                <w:sz w:val="20"/>
                <w:szCs w:val="20"/>
              </w:rPr>
              <w:t>6.</w:t>
            </w:r>
            <w:r w:rsidR="00355C4C" w:rsidRPr="00C5016E">
              <w:rPr>
                <w:rFonts w:ascii="Arial Narrow" w:hAnsi="Arial Narrow"/>
                <w:sz w:val="20"/>
                <w:szCs w:val="20"/>
              </w:rPr>
              <w:t xml:space="preserve"> </w:t>
            </w:r>
            <w:r w:rsidRPr="00C5016E">
              <w:rPr>
                <w:rFonts w:ascii="Arial Narrow" w:hAnsi="Arial Narrow"/>
                <w:sz w:val="20"/>
                <w:szCs w:val="20"/>
              </w:rPr>
              <w:t>2022</w:t>
            </w:r>
          </w:p>
        </w:tc>
        <w:tc>
          <w:tcPr>
            <w:tcW w:w="1134" w:type="dxa"/>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 xml:space="preserve">Obveznice  </w:t>
            </w:r>
          </w:p>
        </w:tc>
        <w:tc>
          <w:tcPr>
            <w:tcW w:w="1016" w:type="dxa"/>
            <w:shd w:val="clear" w:color="auto" w:fill="auto"/>
            <w:vAlign w:val="center"/>
          </w:tcPr>
          <w:p w:rsidR="00C025DC" w:rsidRPr="00C5016E" w:rsidRDefault="00C025DC" w:rsidP="00C025DC">
            <w:pPr>
              <w:ind w:left="-119" w:right="-137"/>
              <w:jc w:val="center"/>
              <w:rPr>
                <w:rFonts w:ascii="Arial Narrow" w:hAnsi="Arial Narrow"/>
                <w:sz w:val="20"/>
                <w:szCs w:val="20"/>
              </w:rPr>
            </w:pPr>
            <w:r w:rsidRPr="00C5016E">
              <w:rPr>
                <w:rFonts w:ascii="Arial Narrow" w:hAnsi="Arial Narrow"/>
                <w:sz w:val="20"/>
                <w:szCs w:val="20"/>
              </w:rPr>
              <w:t>FBIHK39A</w:t>
            </w:r>
          </w:p>
        </w:tc>
        <w:tc>
          <w:tcPr>
            <w:tcW w:w="1276" w:type="dxa"/>
            <w:shd w:val="clear" w:color="auto" w:fill="auto"/>
            <w:vAlign w:val="center"/>
          </w:tcPr>
          <w:p w:rsidR="00C025DC" w:rsidRPr="00C5016E" w:rsidRDefault="00C025DC" w:rsidP="00C025DC">
            <w:pPr>
              <w:ind w:right="-108"/>
              <w:rPr>
                <w:rFonts w:ascii="Arial Narrow" w:hAnsi="Arial Narrow"/>
                <w:sz w:val="20"/>
                <w:szCs w:val="20"/>
              </w:rPr>
            </w:pPr>
            <w:r w:rsidRPr="00C5016E">
              <w:rPr>
                <w:rFonts w:ascii="Arial Narrow" w:hAnsi="Arial Narrow"/>
                <w:sz w:val="20"/>
                <w:szCs w:val="20"/>
              </w:rPr>
              <w:t>30.000.000</w:t>
            </w:r>
          </w:p>
        </w:tc>
        <w:tc>
          <w:tcPr>
            <w:tcW w:w="992" w:type="dxa"/>
            <w:shd w:val="clear" w:color="auto" w:fill="auto"/>
            <w:vAlign w:val="center"/>
          </w:tcPr>
          <w:p w:rsidR="00C025DC" w:rsidRPr="00C5016E" w:rsidRDefault="00C025DC" w:rsidP="00C025DC">
            <w:pPr>
              <w:ind w:right="-108"/>
              <w:rPr>
                <w:rFonts w:ascii="Arial Narrow" w:hAnsi="Arial Narrow"/>
                <w:sz w:val="20"/>
                <w:szCs w:val="20"/>
              </w:rPr>
            </w:pPr>
            <w:r w:rsidRPr="00C5016E">
              <w:rPr>
                <w:rFonts w:ascii="Arial Narrow" w:hAnsi="Arial Narrow"/>
                <w:sz w:val="20"/>
                <w:szCs w:val="20"/>
              </w:rPr>
              <w:t>10-godišnje</w:t>
            </w:r>
          </w:p>
        </w:tc>
        <w:tc>
          <w:tcPr>
            <w:tcW w:w="1134" w:type="dxa"/>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1,55%</w:t>
            </w:r>
          </w:p>
        </w:tc>
        <w:tc>
          <w:tcPr>
            <w:tcW w:w="1843" w:type="dxa"/>
            <w:shd w:val="clear" w:color="auto" w:fill="auto"/>
            <w:vAlign w:val="center"/>
          </w:tcPr>
          <w:p w:rsidR="00C025DC" w:rsidRPr="00C5016E" w:rsidRDefault="00C025DC" w:rsidP="005D0FCD">
            <w:pPr>
              <w:jc w:val="center"/>
              <w:rPr>
                <w:rFonts w:ascii="Arial Narrow" w:hAnsi="Arial Narrow"/>
                <w:sz w:val="20"/>
                <w:szCs w:val="20"/>
              </w:rPr>
            </w:pPr>
            <w:r w:rsidRPr="00C5016E">
              <w:rPr>
                <w:rFonts w:ascii="Arial Narrow" w:hAnsi="Arial Narrow"/>
                <w:sz w:val="20"/>
                <w:szCs w:val="20"/>
              </w:rPr>
              <w:t>22.</w:t>
            </w:r>
            <w:r w:rsidR="005D0FCD" w:rsidRPr="00C5016E">
              <w:rPr>
                <w:rFonts w:ascii="Arial Narrow" w:hAnsi="Arial Narrow"/>
                <w:sz w:val="20"/>
                <w:szCs w:val="20"/>
              </w:rPr>
              <w:t xml:space="preserve"> </w:t>
            </w:r>
            <w:r w:rsidRPr="00C5016E">
              <w:rPr>
                <w:rFonts w:ascii="Arial Narrow" w:hAnsi="Arial Narrow"/>
                <w:sz w:val="20"/>
                <w:szCs w:val="20"/>
              </w:rPr>
              <w:t>6.</w:t>
            </w:r>
            <w:r w:rsidR="005D0FCD" w:rsidRPr="00C5016E">
              <w:rPr>
                <w:rFonts w:ascii="Arial Narrow" w:hAnsi="Arial Narrow"/>
                <w:sz w:val="20"/>
                <w:szCs w:val="20"/>
              </w:rPr>
              <w:t xml:space="preserve"> </w:t>
            </w:r>
            <w:r w:rsidRPr="00C5016E">
              <w:rPr>
                <w:rFonts w:ascii="Arial Narrow" w:hAnsi="Arial Narrow"/>
                <w:sz w:val="20"/>
                <w:szCs w:val="20"/>
              </w:rPr>
              <w:t>2032.</w:t>
            </w:r>
          </w:p>
        </w:tc>
      </w:tr>
      <w:tr w:rsidR="00C5016E" w:rsidRPr="00C5016E" w:rsidTr="00C025DC">
        <w:trPr>
          <w:trHeight w:val="416"/>
        </w:trPr>
        <w:tc>
          <w:tcPr>
            <w:tcW w:w="1394" w:type="dxa"/>
            <w:shd w:val="clear" w:color="auto" w:fill="auto"/>
            <w:vAlign w:val="center"/>
          </w:tcPr>
          <w:p w:rsidR="00C025DC" w:rsidRPr="00C5016E" w:rsidRDefault="00C025DC" w:rsidP="00355C4C">
            <w:pPr>
              <w:jc w:val="center"/>
              <w:rPr>
                <w:rFonts w:ascii="Arial Narrow" w:hAnsi="Arial Narrow"/>
                <w:sz w:val="20"/>
                <w:szCs w:val="20"/>
              </w:rPr>
            </w:pPr>
            <w:r w:rsidRPr="00C5016E">
              <w:rPr>
                <w:rFonts w:ascii="Arial Narrow" w:hAnsi="Arial Narrow"/>
                <w:sz w:val="20"/>
                <w:szCs w:val="20"/>
              </w:rPr>
              <w:t>28.</w:t>
            </w:r>
            <w:r w:rsidR="00355C4C" w:rsidRPr="00C5016E">
              <w:rPr>
                <w:rFonts w:ascii="Arial Narrow" w:hAnsi="Arial Narrow"/>
                <w:sz w:val="20"/>
                <w:szCs w:val="20"/>
              </w:rPr>
              <w:t xml:space="preserve"> </w:t>
            </w:r>
            <w:r w:rsidRPr="00C5016E">
              <w:rPr>
                <w:rFonts w:ascii="Arial Narrow" w:hAnsi="Arial Narrow"/>
                <w:sz w:val="20"/>
                <w:szCs w:val="20"/>
              </w:rPr>
              <w:t>6.</w:t>
            </w:r>
            <w:r w:rsidR="00355C4C" w:rsidRPr="00C5016E">
              <w:rPr>
                <w:rFonts w:ascii="Arial Narrow" w:hAnsi="Arial Narrow"/>
                <w:sz w:val="20"/>
                <w:szCs w:val="20"/>
              </w:rPr>
              <w:t xml:space="preserve"> </w:t>
            </w:r>
            <w:r w:rsidRPr="00C5016E">
              <w:rPr>
                <w:rFonts w:ascii="Arial Narrow" w:hAnsi="Arial Narrow"/>
                <w:sz w:val="20"/>
                <w:szCs w:val="20"/>
              </w:rPr>
              <w:t>2022.</w:t>
            </w:r>
          </w:p>
        </w:tc>
        <w:tc>
          <w:tcPr>
            <w:tcW w:w="1134" w:type="dxa"/>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 xml:space="preserve">Obveznice  </w:t>
            </w:r>
          </w:p>
        </w:tc>
        <w:tc>
          <w:tcPr>
            <w:tcW w:w="1016" w:type="dxa"/>
            <w:shd w:val="clear" w:color="auto" w:fill="auto"/>
            <w:vAlign w:val="center"/>
          </w:tcPr>
          <w:p w:rsidR="00C025DC" w:rsidRPr="00C5016E" w:rsidRDefault="00C025DC" w:rsidP="00C025DC">
            <w:pPr>
              <w:ind w:left="-119" w:right="-137"/>
              <w:jc w:val="center"/>
              <w:rPr>
                <w:rFonts w:ascii="Arial Narrow" w:hAnsi="Arial Narrow"/>
                <w:sz w:val="20"/>
                <w:szCs w:val="20"/>
              </w:rPr>
            </w:pPr>
            <w:r w:rsidRPr="00C5016E">
              <w:rPr>
                <w:rFonts w:ascii="Arial Narrow" w:hAnsi="Arial Narrow"/>
                <w:sz w:val="20"/>
                <w:szCs w:val="20"/>
              </w:rPr>
              <w:t>FBIHK40A</w:t>
            </w:r>
          </w:p>
        </w:tc>
        <w:tc>
          <w:tcPr>
            <w:tcW w:w="1276" w:type="dxa"/>
            <w:shd w:val="clear" w:color="auto" w:fill="auto"/>
            <w:vAlign w:val="center"/>
          </w:tcPr>
          <w:p w:rsidR="00C025DC" w:rsidRPr="00C5016E" w:rsidRDefault="00C025DC" w:rsidP="00C025DC">
            <w:pPr>
              <w:ind w:right="-108"/>
              <w:rPr>
                <w:rFonts w:ascii="Arial Narrow" w:hAnsi="Arial Narrow"/>
                <w:sz w:val="20"/>
                <w:szCs w:val="20"/>
              </w:rPr>
            </w:pPr>
            <w:r w:rsidRPr="00C5016E">
              <w:rPr>
                <w:rFonts w:ascii="Arial Narrow" w:hAnsi="Arial Narrow"/>
                <w:sz w:val="20"/>
                <w:szCs w:val="20"/>
              </w:rPr>
              <w:t>30.000.000</w:t>
            </w:r>
          </w:p>
        </w:tc>
        <w:tc>
          <w:tcPr>
            <w:tcW w:w="992" w:type="dxa"/>
            <w:shd w:val="clear" w:color="auto" w:fill="auto"/>
            <w:vAlign w:val="center"/>
          </w:tcPr>
          <w:p w:rsidR="00C025DC" w:rsidRPr="00C5016E" w:rsidRDefault="00C025DC" w:rsidP="00C025DC">
            <w:pPr>
              <w:jc w:val="right"/>
              <w:rPr>
                <w:rFonts w:ascii="Arial Narrow" w:hAnsi="Arial Narrow"/>
                <w:sz w:val="20"/>
                <w:szCs w:val="20"/>
              </w:rPr>
            </w:pPr>
            <w:r w:rsidRPr="00C5016E">
              <w:rPr>
                <w:rFonts w:ascii="Arial Narrow" w:hAnsi="Arial Narrow"/>
                <w:sz w:val="20"/>
                <w:szCs w:val="20"/>
              </w:rPr>
              <w:t>6-godišnje</w:t>
            </w:r>
          </w:p>
        </w:tc>
        <w:tc>
          <w:tcPr>
            <w:tcW w:w="1134" w:type="dxa"/>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2,70%</w:t>
            </w:r>
          </w:p>
        </w:tc>
        <w:tc>
          <w:tcPr>
            <w:tcW w:w="1843" w:type="dxa"/>
            <w:shd w:val="clear" w:color="auto" w:fill="auto"/>
            <w:vAlign w:val="center"/>
          </w:tcPr>
          <w:p w:rsidR="00C025DC" w:rsidRPr="00C5016E" w:rsidRDefault="00C025DC" w:rsidP="005D0FCD">
            <w:pPr>
              <w:jc w:val="center"/>
              <w:rPr>
                <w:rFonts w:ascii="Arial Narrow" w:hAnsi="Arial Narrow"/>
                <w:sz w:val="20"/>
                <w:szCs w:val="20"/>
              </w:rPr>
            </w:pPr>
            <w:r w:rsidRPr="00C5016E">
              <w:rPr>
                <w:rFonts w:ascii="Arial Narrow" w:hAnsi="Arial Narrow"/>
                <w:sz w:val="20"/>
                <w:szCs w:val="20"/>
              </w:rPr>
              <w:t>29.</w:t>
            </w:r>
            <w:r w:rsidR="005D0FCD" w:rsidRPr="00C5016E">
              <w:rPr>
                <w:rFonts w:ascii="Arial Narrow" w:hAnsi="Arial Narrow"/>
                <w:sz w:val="20"/>
                <w:szCs w:val="20"/>
              </w:rPr>
              <w:t xml:space="preserve"> </w:t>
            </w:r>
            <w:r w:rsidRPr="00C5016E">
              <w:rPr>
                <w:rFonts w:ascii="Arial Narrow" w:hAnsi="Arial Narrow"/>
                <w:sz w:val="20"/>
                <w:szCs w:val="20"/>
              </w:rPr>
              <w:t>6.</w:t>
            </w:r>
            <w:r w:rsidR="005D0FCD" w:rsidRPr="00C5016E">
              <w:rPr>
                <w:rFonts w:ascii="Arial Narrow" w:hAnsi="Arial Narrow"/>
                <w:sz w:val="20"/>
                <w:szCs w:val="20"/>
              </w:rPr>
              <w:t xml:space="preserve"> </w:t>
            </w:r>
            <w:r w:rsidRPr="00C5016E">
              <w:rPr>
                <w:rFonts w:ascii="Arial Narrow" w:hAnsi="Arial Narrow"/>
                <w:sz w:val="20"/>
                <w:szCs w:val="20"/>
              </w:rPr>
              <w:t>2028.</w:t>
            </w:r>
          </w:p>
        </w:tc>
      </w:tr>
      <w:tr w:rsidR="00C5016E" w:rsidRPr="00C5016E" w:rsidTr="00C025DC">
        <w:trPr>
          <w:trHeight w:val="416"/>
        </w:trPr>
        <w:tc>
          <w:tcPr>
            <w:tcW w:w="1394" w:type="dxa"/>
            <w:shd w:val="clear" w:color="auto" w:fill="auto"/>
            <w:vAlign w:val="center"/>
          </w:tcPr>
          <w:p w:rsidR="00C025DC" w:rsidRPr="00C5016E" w:rsidRDefault="00C025DC" w:rsidP="00355C4C">
            <w:pPr>
              <w:jc w:val="center"/>
              <w:rPr>
                <w:rFonts w:ascii="Arial Narrow" w:hAnsi="Arial Narrow"/>
                <w:sz w:val="20"/>
                <w:szCs w:val="20"/>
              </w:rPr>
            </w:pPr>
            <w:r w:rsidRPr="00C5016E">
              <w:rPr>
                <w:rFonts w:ascii="Arial Narrow" w:hAnsi="Arial Narrow"/>
                <w:sz w:val="20"/>
                <w:szCs w:val="20"/>
              </w:rPr>
              <w:t>5.</w:t>
            </w:r>
            <w:r w:rsidR="00355C4C" w:rsidRPr="00C5016E">
              <w:rPr>
                <w:rFonts w:ascii="Arial Narrow" w:hAnsi="Arial Narrow"/>
                <w:sz w:val="20"/>
                <w:szCs w:val="20"/>
              </w:rPr>
              <w:t xml:space="preserve"> </w:t>
            </w:r>
            <w:r w:rsidRPr="00C5016E">
              <w:rPr>
                <w:rFonts w:ascii="Arial Narrow" w:hAnsi="Arial Narrow"/>
                <w:sz w:val="20"/>
                <w:szCs w:val="20"/>
              </w:rPr>
              <w:t>7.</w:t>
            </w:r>
            <w:r w:rsidR="00355C4C" w:rsidRPr="00C5016E">
              <w:rPr>
                <w:rFonts w:ascii="Arial Narrow" w:hAnsi="Arial Narrow"/>
                <w:sz w:val="20"/>
                <w:szCs w:val="20"/>
              </w:rPr>
              <w:t xml:space="preserve"> </w:t>
            </w:r>
            <w:r w:rsidRPr="00C5016E">
              <w:rPr>
                <w:rFonts w:ascii="Arial Narrow" w:hAnsi="Arial Narrow"/>
                <w:sz w:val="20"/>
                <w:szCs w:val="20"/>
              </w:rPr>
              <w:t>2022.</w:t>
            </w:r>
          </w:p>
        </w:tc>
        <w:tc>
          <w:tcPr>
            <w:tcW w:w="1134" w:type="dxa"/>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Obveznice</w:t>
            </w:r>
          </w:p>
        </w:tc>
        <w:tc>
          <w:tcPr>
            <w:tcW w:w="1016" w:type="dxa"/>
            <w:shd w:val="clear" w:color="auto" w:fill="auto"/>
            <w:vAlign w:val="center"/>
          </w:tcPr>
          <w:p w:rsidR="00C025DC" w:rsidRPr="00C5016E" w:rsidRDefault="00C025DC" w:rsidP="00C025DC">
            <w:pPr>
              <w:ind w:left="-119" w:right="-137"/>
              <w:jc w:val="center"/>
              <w:rPr>
                <w:rFonts w:ascii="Arial Narrow" w:hAnsi="Arial Narrow"/>
                <w:sz w:val="20"/>
                <w:szCs w:val="20"/>
              </w:rPr>
            </w:pPr>
            <w:r w:rsidRPr="00C5016E">
              <w:rPr>
                <w:rFonts w:ascii="Arial Narrow" w:hAnsi="Arial Narrow"/>
                <w:sz w:val="20"/>
                <w:szCs w:val="20"/>
              </w:rPr>
              <w:t>FBIHK41A</w:t>
            </w:r>
          </w:p>
        </w:tc>
        <w:tc>
          <w:tcPr>
            <w:tcW w:w="1276" w:type="dxa"/>
            <w:shd w:val="clear" w:color="auto" w:fill="auto"/>
            <w:vAlign w:val="center"/>
          </w:tcPr>
          <w:p w:rsidR="00C025DC" w:rsidRPr="00C5016E" w:rsidRDefault="00C025DC" w:rsidP="00C025DC">
            <w:pPr>
              <w:ind w:right="-108"/>
              <w:rPr>
                <w:rFonts w:ascii="Arial Narrow" w:hAnsi="Arial Narrow"/>
                <w:sz w:val="20"/>
                <w:szCs w:val="20"/>
              </w:rPr>
            </w:pPr>
            <w:r w:rsidRPr="00C5016E">
              <w:rPr>
                <w:rFonts w:ascii="Arial Narrow" w:hAnsi="Arial Narrow"/>
                <w:sz w:val="20"/>
                <w:szCs w:val="20"/>
              </w:rPr>
              <w:t>30.000.000</w:t>
            </w:r>
          </w:p>
        </w:tc>
        <w:tc>
          <w:tcPr>
            <w:tcW w:w="992" w:type="dxa"/>
            <w:shd w:val="clear" w:color="auto" w:fill="auto"/>
            <w:vAlign w:val="center"/>
          </w:tcPr>
          <w:p w:rsidR="00C025DC" w:rsidRPr="00C5016E" w:rsidRDefault="00C025DC" w:rsidP="00C025DC">
            <w:pPr>
              <w:jc w:val="right"/>
              <w:rPr>
                <w:rFonts w:ascii="Arial Narrow" w:hAnsi="Arial Narrow"/>
                <w:sz w:val="20"/>
                <w:szCs w:val="20"/>
              </w:rPr>
            </w:pPr>
            <w:r w:rsidRPr="00C5016E">
              <w:rPr>
                <w:rFonts w:ascii="Arial Narrow" w:hAnsi="Arial Narrow"/>
                <w:sz w:val="20"/>
                <w:szCs w:val="20"/>
              </w:rPr>
              <w:t>7-godišnje</w:t>
            </w:r>
          </w:p>
        </w:tc>
        <w:tc>
          <w:tcPr>
            <w:tcW w:w="1134" w:type="dxa"/>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3,45%</w:t>
            </w:r>
          </w:p>
        </w:tc>
        <w:tc>
          <w:tcPr>
            <w:tcW w:w="1843" w:type="dxa"/>
            <w:shd w:val="clear" w:color="auto" w:fill="auto"/>
            <w:vAlign w:val="center"/>
          </w:tcPr>
          <w:p w:rsidR="00C025DC" w:rsidRPr="00C5016E" w:rsidRDefault="005D0FCD" w:rsidP="005D0FCD">
            <w:pPr>
              <w:jc w:val="center"/>
              <w:rPr>
                <w:rFonts w:ascii="Arial Narrow" w:hAnsi="Arial Narrow"/>
                <w:sz w:val="20"/>
                <w:szCs w:val="20"/>
              </w:rPr>
            </w:pPr>
            <w:r w:rsidRPr="00C5016E">
              <w:rPr>
                <w:rFonts w:ascii="Arial Narrow" w:hAnsi="Arial Narrow"/>
                <w:sz w:val="20"/>
                <w:szCs w:val="20"/>
              </w:rPr>
              <w:t xml:space="preserve"> </w:t>
            </w:r>
            <w:r w:rsidR="00C025DC" w:rsidRPr="00C5016E">
              <w:rPr>
                <w:rFonts w:ascii="Arial Narrow" w:hAnsi="Arial Narrow"/>
                <w:sz w:val="20"/>
                <w:szCs w:val="20"/>
              </w:rPr>
              <w:t>6.</w:t>
            </w:r>
            <w:r w:rsidRPr="00C5016E">
              <w:rPr>
                <w:rFonts w:ascii="Arial Narrow" w:hAnsi="Arial Narrow"/>
                <w:sz w:val="20"/>
                <w:szCs w:val="20"/>
              </w:rPr>
              <w:t xml:space="preserve"> </w:t>
            </w:r>
            <w:r w:rsidR="00C025DC" w:rsidRPr="00C5016E">
              <w:rPr>
                <w:rFonts w:ascii="Arial Narrow" w:hAnsi="Arial Narrow"/>
                <w:sz w:val="20"/>
                <w:szCs w:val="20"/>
              </w:rPr>
              <w:t>7.</w:t>
            </w:r>
            <w:r w:rsidRPr="00C5016E">
              <w:rPr>
                <w:rFonts w:ascii="Arial Narrow" w:hAnsi="Arial Narrow"/>
                <w:sz w:val="20"/>
                <w:szCs w:val="20"/>
              </w:rPr>
              <w:t xml:space="preserve"> </w:t>
            </w:r>
            <w:r w:rsidR="00C025DC" w:rsidRPr="00C5016E">
              <w:rPr>
                <w:rFonts w:ascii="Arial Narrow" w:hAnsi="Arial Narrow"/>
                <w:sz w:val="20"/>
                <w:szCs w:val="20"/>
              </w:rPr>
              <w:t>2029.</w:t>
            </w:r>
          </w:p>
        </w:tc>
      </w:tr>
      <w:tr w:rsidR="00C5016E" w:rsidRPr="00C5016E" w:rsidTr="00C025DC">
        <w:trPr>
          <w:trHeight w:val="416"/>
        </w:trPr>
        <w:tc>
          <w:tcPr>
            <w:tcW w:w="1394" w:type="dxa"/>
            <w:tcBorders>
              <w:bottom w:val="single" w:sz="8" w:space="0" w:color="auto"/>
            </w:tcBorders>
            <w:shd w:val="clear" w:color="auto" w:fill="auto"/>
            <w:vAlign w:val="center"/>
          </w:tcPr>
          <w:p w:rsidR="00C025DC" w:rsidRPr="00C5016E" w:rsidRDefault="00C025DC" w:rsidP="00355C4C">
            <w:pPr>
              <w:jc w:val="center"/>
              <w:rPr>
                <w:rFonts w:ascii="Arial Narrow" w:hAnsi="Arial Narrow"/>
                <w:sz w:val="20"/>
                <w:szCs w:val="20"/>
              </w:rPr>
            </w:pPr>
            <w:r w:rsidRPr="00C5016E">
              <w:rPr>
                <w:rFonts w:ascii="Arial Narrow" w:hAnsi="Arial Narrow"/>
                <w:sz w:val="20"/>
                <w:szCs w:val="20"/>
              </w:rPr>
              <w:t>12.</w:t>
            </w:r>
            <w:r w:rsidR="00355C4C" w:rsidRPr="00C5016E">
              <w:rPr>
                <w:rFonts w:ascii="Arial Narrow" w:hAnsi="Arial Narrow"/>
                <w:sz w:val="20"/>
                <w:szCs w:val="20"/>
              </w:rPr>
              <w:t xml:space="preserve"> </w:t>
            </w:r>
            <w:r w:rsidRPr="00C5016E">
              <w:rPr>
                <w:rFonts w:ascii="Arial Narrow" w:hAnsi="Arial Narrow"/>
                <w:sz w:val="20"/>
                <w:szCs w:val="20"/>
              </w:rPr>
              <w:t>7.</w:t>
            </w:r>
            <w:r w:rsidR="00355C4C" w:rsidRPr="00C5016E">
              <w:rPr>
                <w:rFonts w:ascii="Arial Narrow" w:hAnsi="Arial Narrow"/>
                <w:sz w:val="20"/>
                <w:szCs w:val="20"/>
              </w:rPr>
              <w:t xml:space="preserve"> </w:t>
            </w:r>
            <w:r w:rsidRPr="00C5016E">
              <w:rPr>
                <w:rFonts w:ascii="Arial Narrow" w:hAnsi="Arial Narrow"/>
                <w:sz w:val="20"/>
                <w:szCs w:val="20"/>
              </w:rPr>
              <w:t>2022.</w:t>
            </w:r>
          </w:p>
        </w:tc>
        <w:tc>
          <w:tcPr>
            <w:tcW w:w="1134" w:type="dxa"/>
            <w:tcBorders>
              <w:bottom w:val="single" w:sz="8" w:space="0" w:color="auto"/>
            </w:tcBorders>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Obveznice</w:t>
            </w:r>
          </w:p>
        </w:tc>
        <w:tc>
          <w:tcPr>
            <w:tcW w:w="1016" w:type="dxa"/>
            <w:tcBorders>
              <w:bottom w:val="single" w:sz="8" w:space="0" w:color="auto"/>
            </w:tcBorders>
            <w:shd w:val="clear" w:color="auto" w:fill="auto"/>
            <w:vAlign w:val="center"/>
          </w:tcPr>
          <w:p w:rsidR="00C025DC" w:rsidRPr="00C5016E" w:rsidRDefault="00C025DC" w:rsidP="00C025DC">
            <w:pPr>
              <w:ind w:left="-119" w:right="-137"/>
              <w:jc w:val="center"/>
              <w:rPr>
                <w:rFonts w:ascii="Arial Narrow" w:hAnsi="Arial Narrow"/>
                <w:sz w:val="20"/>
                <w:szCs w:val="20"/>
              </w:rPr>
            </w:pPr>
            <w:r w:rsidRPr="00C5016E">
              <w:rPr>
                <w:rFonts w:ascii="Arial Narrow" w:hAnsi="Arial Narrow"/>
                <w:sz w:val="20"/>
                <w:szCs w:val="20"/>
              </w:rPr>
              <w:t>FBIHK42A</w:t>
            </w:r>
          </w:p>
        </w:tc>
        <w:tc>
          <w:tcPr>
            <w:tcW w:w="1276" w:type="dxa"/>
            <w:tcBorders>
              <w:bottom w:val="single" w:sz="8" w:space="0" w:color="auto"/>
            </w:tcBorders>
            <w:shd w:val="clear" w:color="auto" w:fill="auto"/>
            <w:vAlign w:val="center"/>
          </w:tcPr>
          <w:p w:rsidR="00C025DC" w:rsidRPr="00C5016E" w:rsidRDefault="00C025DC" w:rsidP="00C025DC">
            <w:pPr>
              <w:ind w:right="-108"/>
              <w:rPr>
                <w:rFonts w:ascii="Arial Narrow" w:hAnsi="Arial Narrow"/>
                <w:sz w:val="20"/>
                <w:szCs w:val="20"/>
              </w:rPr>
            </w:pPr>
            <w:r w:rsidRPr="00C5016E">
              <w:rPr>
                <w:rFonts w:ascii="Arial Narrow" w:hAnsi="Arial Narrow"/>
                <w:sz w:val="20"/>
                <w:szCs w:val="20"/>
              </w:rPr>
              <w:t>40.000.000</w:t>
            </w:r>
          </w:p>
        </w:tc>
        <w:tc>
          <w:tcPr>
            <w:tcW w:w="992" w:type="dxa"/>
            <w:tcBorders>
              <w:bottom w:val="single" w:sz="8" w:space="0" w:color="auto"/>
            </w:tcBorders>
            <w:shd w:val="clear" w:color="auto" w:fill="auto"/>
            <w:vAlign w:val="center"/>
          </w:tcPr>
          <w:p w:rsidR="00C025DC" w:rsidRPr="00C5016E" w:rsidRDefault="00C025DC" w:rsidP="00C025DC">
            <w:pPr>
              <w:jc w:val="right"/>
              <w:rPr>
                <w:rFonts w:ascii="Arial Narrow" w:hAnsi="Arial Narrow"/>
                <w:sz w:val="20"/>
                <w:szCs w:val="20"/>
              </w:rPr>
            </w:pPr>
            <w:r w:rsidRPr="00C5016E">
              <w:rPr>
                <w:rFonts w:ascii="Arial Narrow" w:hAnsi="Arial Narrow"/>
                <w:sz w:val="20"/>
                <w:szCs w:val="20"/>
              </w:rPr>
              <w:t>2-godišnje</w:t>
            </w:r>
          </w:p>
        </w:tc>
        <w:tc>
          <w:tcPr>
            <w:tcW w:w="1134" w:type="dxa"/>
            <w:tcBorders>
              <w:bottom w:val="single" w:sz="8" w:space="0" w:color="auto"/>
            </w:tcBorders>
            <w:shd w:val="clear" w:color="auto" w:fill="auto"/>
            <w:vAlign w:val="center"/>
          </w:tcPr>
          <w:p w:rsidR="00C025DC" w:rsidRPr="00C5016E" w:rsidRDefault="00C025DC" w:rsidP="00C025DC">
            <w:pPr>
              <w:jc w:val="center"/>
              <w:rPr>
                <w:rFonts w:ascii="Arial Narrow" w:hAnsi="Arial Narrow"/>
                <w:sz w:val="20"/>
                <w:szCs w:val="20"/>
              </w:rPr>
            </w:pPr>
            <w:r w:rsidRPr="00C5016E">
              <w:rPr>
                <w:rFonts w:ascii="Arial Narrow" w:hAnsi="Arial Narrow"/>
                <w:sz w:val="20"/>
                <w:szCs w:val="20"/>
              </w:rPr>
              <w:t>2,20%</w:t>
            </w:r>
          </w:p>
        </w:tc>
        <w:tc>
          <w:tcPr>
            <w:tcW w:w="1843" w:type="dxa"/>
            <w:tcBorders>
              <w:bottom w:val="single" w:sz="8" w:space="0" w:color="auto"/>
            </w:tcBorders>
            <w:shd w:val="clear" w:color="auto" w:fill="auto"/>
            <w:vAlign w:val="center"/>
          </w:tcPr>
          <w:p w:rsidR="00C025DC" w:rsidRPr="00C5016E" w:rsidRDefault="00C025DC" w:rsidP="005D0FCD">
            <w:pPr>
              <w:jc w:val="center"/>
              <w:rPr>
                <w:rFonts w:ascii="Arial Narrow" w:hAnsi="Arial Narrow"/>
                <w:sz w:val="20"/>
                <w:szCs w:val="20"/>
              </w:rPr>
            </w:pPr>
            <w:r w:rsidRPr="00C5016E">
              <w:rPr>
                <w:rFonts w:ascii="Arial Narrow" w:hAnsi="Arial Narrow"/>
                <w:sz w:val="20"/>
                <w:szCs w:val="20"/>
              </w:rPr>
              <w:t>13.</w:t>
            </w:r>
            <w:r w:rsidR="005D0FCD" w:rsidRPr="00C5016E">
              <w:rPr>
                <w:rFonts w:ascii="Arial Narrow" w:hAnsi="Arial Narrow"/>
                <w:sz w:val="20"/>
                <w:szCs w:val="20"/>
              </w:rPr>
              <w:t xml:space="preserve"> </w:t>
            </w:r>
            <w:r w:rsidRPr="00C5016E">
              <w:rPr>
                <w:rFonts w:ascii="Arial Narrow" w:hAnsi="Arial Narrow"/>
                <w:sz w:val="20"/>
                <w:szCs w:val="20"/>
              </w:rPr>
              <w:t>7.</w:t>
            </w:r>
            <w:r w:rsidR="005D0FCD" w:rsidRPr="00C5016E">
              <w:rPr>
                <w:rFonts w:ascii="Arial Narrow" w:hAnsi="Arial Narrow"/>
                <w:sz w:val="20"/>
                <w:szCs w:val="20"/>
              </w:rPr>
              <w:t xml:space="preserve"> </w:t>
            </w:r>
            <w:r w:rsidRPr="00C5016E">
              <w:rPr>
                <w:rFonts w:ascii="Arial Narrow" w:hAnsi="Arial Narrow"/>
                <w:sz w:val="20"/>
                <w:szCs w:val="20"/>
              </w:rPr>
              <w:t>2024.</w:t>
            </w:r>
          </w:p>
        </w:tc>
      </w:tr>
      <w:tr w:rsidR="00C5016E" w:rsidRPr="00C5016E" w:rsidTr="00C025DC">
        <w:trPr>
          <w:trHeight w:val="416"/>
        </w:trPr>
        <w:tc>
          <w:tcPr>
            <w:tcW w:w="1394" w:type="dxa"/>
            <w:tcBorders>
              <w:top w:val="single" w:sz="8" w:space="0" w:color="auto"/>
              <w:bottom w:val="single" w:sz="8" w:space="0" w:color="auto"/>
            </w:tcBorders>
            <w:shd w:val="clear" w:color="auto" w:fill="auto"/>
            <w:vAlign w:val="center"/>
          </w:tcPr>
          <w:p w:rsidR="00C025DC" w:rsidRPr="00C5016E" w:rsidRDefault="00C025DC" w:rsidP="00C025DC">
            <w:pPr>
              <w:jc w:val="center"/>
              <w:rPr>
                <w:rFonts w:ascii="Arial Narrow" w:hAnsi="Arial Narrow"/>
                <w:b/>
                <w:sz w:val="18"/>
                <w:szCs w:val="20"/>
              </w:rPr>
            </w:pPr>
          </w:p>
        </w:tc>
        <w:tc>
          <w:tcPr>
            <w:tcW w:w="1134" w:type="dxa"/>
            <w:tcBorders>
              <w:top w:val="single" w:sz="8" w:space="0" w:color="auto"/>
              <w:bottom w:val="single" w:sz="8" w:space="0" w:color="auto"/>
            </w:tcBorders>
            <w:shd w:val="clear" w:color="auto" w:fill="auto"/>
            <w:vAlign w:val="center"/>
          </w:tcPr>
          <w:p w:rsidR="00C025DC" w:rsidRPr="00C5016E" w:rsidRDefault="00C025DC" w:rsidP="00C025DC">
            <w:pPr>
              <w:jc w:val="center"/>
              <w:rPr>
                <w:rFonts w:ascii="Arial Narrow" w:hAnsi="Arial Narrow"/>
                <w:b/>
                <w:sz w:val="20"/>
                <w:szCs w:val="20"/>
              </w:rPr>
            </w:pPr>
            <w:r w:rsidRPr="00C5016E">
              <w:rPr>
                <w:rFonts w:ascii="Arial Narrow" w:hAnsi="Arial Narrow"/>
                <w:b/>
                <w:sz w:val="20"/>
                <w:szCs w:val="20"/>
              </w:rPr>
              <w:t>UKUPNO:</w:t>
            </w:r>
          </w:p>
        </w:tc>
        <w:tc>
          <w:tcPr>
            <w:tcW w:w="1016" w:type="dxa"/>
            <w:tcBorders>
              <w:top w:val="single" w:sz="8" w:space="0" w:color="auto"/>
              <w:bottom w:val="single" w:sz="8" w:space="0" w:color="auto"/>
            </w:tcBorders>
            <w:shd w:val="clear" w:color="auto" w:fill="auto"/>
            <w:vAlign w:val="center"/>
          </w:tcPr>
          <w:p w:rsidR="00C025DC" w:rsidRPr="00C5016E" w:rsidRDefault="00C025DC" w:rsidP="00C025DC">
            <w:pPr>
              <w:ind w:left="-119" w:right="-137"/>
              <w:jc w:val="center"/>
              <w:rPr>
                <w:rFonts w:ascii="Arial Narrow" w:hAnsi="Arial Narrow"/>
                <w:sz w:val="20"/>
                <w:szCs w:val="20"/>
              </w:rPr>
            </w:pPr>
          </w:p>
        </w:tc>
        <w:tc>
          <w:tcPr>
            <w:tcW w:w="1276" w:type="dxa"/>
            <w:tcBorders>
              <w:top w:val="single" w:sz="8" w:space="0" w:color="auto"/>
              <w:bottom w:val="single" w:sz="8" w:space="0" w:color="auto"/>
            </w:tcBorders>
            <w:shd w:val="clear" w:color="auto" w:fill="auto"/>
            <w:vAlign w:val="center"/>
          </w:tcPr>
          <w:p w:rsidR="00C025DC" w:rsidRPr="00C5016E" w:rsidRDefault="00C025DC" w:rsidP="00C025DC">
            <w:pPr>
              <w:ind w:right="-108"/>
              <w:rPr>
                <w:rFonts w:ascii="Arial Narrow" w:hAnsi="Arial Narrow"/>
                <w:b/>
                <w:sz w:val="18"/>
                <w:szCs w:val="18"/>
              </w:rPr>
            </w:pPr>
            <w:r w:rsidRPr="00C5016E">
              <w:rPr>
                <w:rFonts w:ascii="Arial Narrow" w:hAnsi="Arial Narrow"/>
                <w:b/>
                <w:sz w:val="18"/>
                <w:szCs w:val="18"/>
              </w:rPr>
              <w:t>188.297.732</w:t>
            </w:r>
          </w:p>
        </w:tc>
        <w:tc>
          <w:tcPr>
            <w:tcW w:w="992" w:type="dxa"/>
            <w:tcBorders>
              <w:top w:val="single" w:sz="8" w:space="0" w:color="auto"/>
              <w:bottom w:val="single" w:sz="8" w:space="0" w:color="auto"/>
            </w:tcBorders>
            <w:shd w:val="clear" w:color="auto" w:fill="auto"/>
            <w:vAlign w:val="center"/>
          </w:tcPr>
          <w:p w:rsidR="00C025DC" w:rsidRPr="00C5016E" w:rsidRDefault="00C025DC" w:rsidP="00C025DC">
            <w:pPr>
              <w:jc w:val="right"/>
              <w:rPr>
                <w:rFonts w:ascii="Arial Narrow" w:hAnsi="Arial Narrow"/>
                <w:sz w:val="20"/>
                <w:szCs w:val="20"/>
              </w:rPr>
            </w:pPr>
          </w:p>
        </w:tc>
        <w:tc>
          <w:tcPr>
            <w:tcW w:w="1134" w:type="dxa"/>
            <w:tcBorders>
              <w:top w:val="single" w:sz="8" w:space="0" w:color="auto"/>
              <w:bottom w:val="single" w:sz="8" w:space="0" w:color="auto"/>
            </w:tcBorders>
            <w:shd w:val="clear" w:color="auto" w:fill="auto"/>
            <w:vAlign w:val="center"/>
          </w:tcPr>
          <w:p w:rsidR="00C025DC" w:rsidRPr="00C5016E" w:rsidRDefault="00C025DC" w:rsidP="00C025DC">
            <w:pPr>
              <w:jc w:val="right"/>
              <w:rPr>
                <w:rFonts w:ascii="Arial Narrow" w:hAnsi="Arial Narrow"/>
                <w:sz w:val="20"/>
                <w:szCs w:val="20"/>
              </w:rPr>
            </w:pPr>
          </w:p>
        </w:tc>
        <w:tc>
          <w:tcPr>
            <w:tcW w:w="1843" w:type="dxa"/>
            <w:tcBorders>
              <w:top w:val="single" w:sz="8" w:space="0" w:color="auto"/>
              <w:bottom w:val="single" w:sz="8" w:space="0" w:color="auto"/>
            </w:tcBorders>
            <w:shd w:val="clear" w:color="auto" w:fill="auto"/>
            <w:vAlign w:val="center"/>
          </w:tcPr>
          <w:p w:rsidR="00C025DC" w:rsidRPr="00C5016E" w:rsidRDefault="00C025DC" w:rsidP="00C025DC">
            <w:pPr>
              <w:jc w:val="right"/>
              <w:rPr>
                <w:rFonts w:ascii="Arial Narrow" w:hAnsi="Arial Narrow"/>
                <w:sz w:val="20"/>
                <w:szCs w:val="20"/>
              </w:rPr>
            </w:pPr>
          </w:p>
        </w:tc>
      </w:tr>
    </w:tbl>
    <w:p w:rsidR="00C025DC" w:rsidRPr="00C5016E" w:rsidRDefault="00EF4C3C" w:rsidP="00C025DC">
      <w:pPr>
        <w:pStyle w:val="Caption"/>
        <w:spacing w:before="0" w:after="0"/>
        <w:contextualSpacing/>
        <w:rPr>
          <w:rFonts w:ascii="Arial" w:hAnsi="Arial" w:cs="Arial"/>
          <w:b w:val="0"/>
          <w:color w:val="auto"/>
          <w:sz w:val="22"/>
          <w:szCs w:val="24"/>
          <w:lang w:val="hr-HR"/>
        </w:rPr>
      </w:pPr>
      <w:bookmarkStart w:id="86" w:name="_Toc99939232"/>
      <w:r w:rsidRPr="00C5016E">
        <w:rPr>
          <w:rFonts w:ascii="Arial" w:hAnsi="Arial" w:cs="Arial"/>
          <w:color w:val="auto"/>
          <w:sz w:val="22"/>
          <w:szCs w:val="24"/>
          <w:lang w:val="hr-HR"/>
        </w:rPr>
        <w:t>Tablica</w:t>
      </w:r>
      <w:r w:rsidR="00C025DC" w:rsidRPr="00C5016E">
        <w:rPr>
          <w:rFonts w:ascii="Arial" w:hAnsi="Arial" w:cs="Arial"/>
          <w:color w:val="auto"/>
          <w:sz w:val="22"/>
          <w:szCs w:val="24"/>
          <w:lang w:val="hr-HR"/>
        </w:rPr>
        <w:t xml:space="preserve"> 8: </w:t>
      </w:r>
      <w:r w:rsidR="00C025DC" w:rsidRPr="00C5016E">
        <w:rPr>
          <w:rFonts w:ascii="Arial" w:hAnsi="Arial" w:cs="Arial"/>
          <w:b w:val="0"/>
          <w:color w:val="auto"/>
          <w:sz w:val="22"/>
          <w:szCs w:val="24"/>
          <w:lang w:val="hr-HR"/>
        </w:rPr>
        <w:t>Emisije vrijednosnih papira u 2022. godini</w:t>
      </w:r>
      <w:bookmarkEnd w:id="86"/>
    </w:p>
    <w:p w:rsidR="00C025DC" w:rsidRPr="00C5016E" w:rsidRDefault="00C025DC" w:rsidP="00C025DC">
      <w:r w:rsidRPr="00C5016E">
        <w:t xml:space="preserve">Prethodno navedene emisije vrijednosnih papira u 2021. godini </w:t>
      </w:r>
      <w:r w:rsidR="00355C4C" w:rsidRPr="00C5016E">
        <w:t>realizirane</w:t>
      </w:r>
      <w:r w:rsidRPr="00C5016E">
        <w:t xml:space="preserve"> su na </w:t>
      </w:r>
      <w:r w:rsidR="00355C4C" w:rsidRPr="00C5016E">
        <w:t>temelju</w:t>
      </w:r>
      <w:r w:rsidRPr="00C5016E">
        <w:t xml:space="preserve"> sljedećih Odluka: </w:t>
      </w:r>
    </w:p>
    <w:p w:rsidR="00C025DC" w:rsidRPr="00C5016E" w:rsidRDefault="00C025DC" w:rsidP="00C025DC">
      <w:pPr>
        <w:numPr>
          <w:ilvl w:val="0"/>
          <w:numId w:val="46"/>
        </w:numPr>
        <w:spacing w:before="0" w:after="0"/>
        <w:rPr>
          <w:rFonts w:cs="Arial"/>
          <w:szCs w:val="24"/>
        </w:rPr>
      </w:pPr>
      <w:r w:rsidRPr="00C5016E">
        <w:rPr>
          <w:rFonts w:cs="Arial"/>
          <w:szCs w:val="24"/>
        </w:rPr>
        <w:lastRenderedPageBreak/>
        <w:t>Odluka o zaduženju Federacije Bosne i Hercegovine putem emisije obveznica Federacije Bosne i Hercegovine V</w:t>
      </w:r>
      <w:r w:rsidR="00355C4C" w:rsidRPr="00C5016E">
        <w:rPr>
          <w:rFonts w:cs="Arial"/>
          <w:szCs w:val="24"/>
        </w:rPr>
        <w:t>.</w:t>
      </w:r>
      <w:r w:rsidRPr="00C5016E">
        <w:rPr>
          <w:rFonts w:cs="Arial"/>
          <w:szCs w:val="24"/>
        </w:rPr>
        <w:t xml:space="preserve"> br</w:t>
      </w:r>
      <w:r w:rsidR="00355C4C" w:rsidRPr="00C5016E">
        <w:rPr>
          <w:rFonts w:cs="Arial"/>
          <w:szCs w:val="24"/>
        </w:rPr>
        <w:t>.</w:t>
      </w:r>
      <w:r w:rsidRPr="00C5016E">
        <w:rPr>
          <w:rFonts w:cs="Arial"/>
          <w:szCs w:val="24"/>
        </w:rPr>
        <w:t xml:space="preserve"> </w:t>
      </w:r>
      <w:r w:rsidR="00355C4C" w:rsidRPr="00C5016E">
        <w:rPr>
          <w:rFonts w:cs="Arial"/>
          <w:szCs w:val="24"/>
        </w:rPr>
        <w:t>686/22, 688/22, 689/22 i 690/22</w:t>
      </w:r>
      <w:r w:rsidRPr="00C5016E">
        <w:rPr>
          <w:rFonts w:cs="Arial"/>
          <w:szCs w:val="24"/>
        </w:rPr>
        <w:t xml:space="preserve"> („Službene novine Federacije BiH“, br</w:t>
      </w:r>
      <w:r w:rsidR="00355C4C" w:rsidRPr="00C5016E">
        <w:rPr>
          <w:rFonts w:cs="Arial"/>
          <w:szCs w:val="24"/>
        </w:rPr>
        <w:t>oj</w:t>
      </w:r>
      <w:r w:rsidRPr="00C5016E">
        <w:rPr>
          <w:rFonts w:cs="Arial"/>
          <w:szCs w:val="24"/>
        </w:rPr>
        <w:t>: 37/22)</w:t>
      </w:r>
    </w:p>
    <w:p w:rsidR="00C025DC" w:rsidRPr="00C5016E" w:rsidRDefault="00355C4C" w:rsidP="00C025DC">
      <w:pPr>
        <w:pStyle w:val="ListParagraph"/>
        <w:numPr>
          <w:ilvl w:val="0"/>
          <w:numId w:val="46"/>
        </w:numPr>
        <w:rPr>
          <w:rFonts w:ascii="Arial" w:hAnsi="Arial" w:cs="Arial"/>
          <w:szCs w:val="24"/>
          <w:lang w:val="hr-HR"/>
        </w:rPr>
      </w:pPr>
      <w:r w:rsidRPr="00C5016E">
        <w:rPr>
          <w:rFonts w:ascii="Arial" w:hAnsi="Arial" w:cs="Arial"/>
          <w:szCs w:val="24"/>
          <w:lang w:val="hr-HR"/>
        </w:rPr>
        <w:t>Odluka o četrnaestoj emisiji</w:t>
      </w:r>
      <w:r w:rsidR="00C025DC" w:rsidRPr="00C5016E">
        <w:rPr>
          <w:rFonts w:ascii="Arial" w:hAnsi="Arial" w:cs="Arial"/>
          <w:szCs w:val="24"/>
          <w:lang w:val="hr-HR"/>
        </w:rPr>
        <w:t xml:space="preserve"> obveznica Federacije Bosne i Hercegovine po osnov</w:t>
      </w:r>
      <w:r w:rsidRPr="00C5016E">
        <w:rPr>
          <w:rFonts w:ascii="Arial" w:hAnsi="Arial" w:cs="Arial"/>
          <w:szCs w:val="24"/>
          <w:lang w:val="hr-HR"/>
        </w:rPr>
        <w:t>i</w:t>
      </w:r>
      <w:r w:rsidR="00C025DC" w:rsidRPr="00C5016E">
        <w:rPr>
          <w:rFonts w:ascii="Arial" w:hAnsi="Arial" w:cs="Arial"/>
          <w:szCs w:val="24"/>
          <w:lang w:val="hr-HR"/>
        </w:rPr>
        <w:t xml:space="preserve"> verifi</w:t>
      </w:r>
      <w:r w:rsidRPr="00C5016E">
        <w:rPr>
          <w:rFonts w:ascii="Arial" w:hAnsi="Arial" w:cs="Arial"/>
          <w:szCs w:val="24"/>
          <w:lang w:val="hr-HR"/>
        </w:rPr>
        <w:t>ciranih</w:t>
      </w:r>
      <w:r w:rsidR="00C025DC" w:rsidRPr="00C5016E">
        <w:rPr>
          <w:rFonts w:ascii="Arial" w:hAnsi="Arial" w:cs="Arial"/>
          <w:szCs w:val="24"/>
          <w:lang w:val="hr-HR"/>
        </w:rPr>
        <w:t xml:space="preserve"> računa stare devizne štednje V</w:t>
      </w:r>
      <w:r w:rsidRPr="00C5016E">
        <w:rPr>
          <w:rFonts w:ascii="Arial" w:hAnsi="Arial" w:cs="Arial"/>
          <w:szCs w:val="24"/>
          <w:lang w:val="hr-HR"/>
        </w:rPr>
        <w:t>.</w:t>
      </w:r>
      <w:r w:rsidR="00C025DC" w:rsidRPr="00C5016E">
        <w:rPr>
          <w:rFonts w:ascii="Arial" w:hAnsi="Arial" w:cs="Arial"/>
          <w:szCs w:val="24"/>
          <w:lang w:val="hr-HR"/>
        </w:rPr>
        <w:t xml:space="preserve"> broj</w:t>
      </w:r>
      <w:r w:rsidRPr="00C5016E">
        <w:rPr>
          <w:rFonts w:ascii="Arial" w:hAnsi="Arial" w:cs="Arial"/>
          <w:szCs w:val="24"/>
          <w:lang w:val="hr-HR"/>
        </w:rPr>
        <w:t xml:space="preserve">: 461/2022 od </w:t>
      </w:r>
      <w:r w:rsidR="00C025DC" w:rsidRPr="00C5016E">
        <w:rPr>
          <w:rFonts w:ascii="Arial" w:hAnsi="Arial" w:cs="Arial"/>
          <w:szCs w:val="24"/>
          <w:lang w:val="hr-HR"/>
        </w:rPr>
        <w:t>7.</w:t>
      </w:r>
      <w:r w:rsidRPr="00C5016E">
        <w:rPr>
          <w:rFonts w:ascii="Arial" w:hAnsi="Arial" w:cs="Arial"/>
          <w:szCs w:val="24"/>
          <w:lang w:val="hr-HR"/>
        </w:rPr>
        <w:t xml:space="preserve"> </w:t>
      </w:r>
      <w:r w:rsidR="00C025DC" w:rsidRPr="00C5016E">
        <w:rPr>
          <w:rFonts w:ascii="Arial" w:hAnsi="Arial" w:cs="Arial"/>
          <w:szCs w:val="24"/>
          <w:lang w:val="hr-HR"/>
        </w:rPr>
        <w:t>4.</w:t>
      </w:r>
      <w:r w:rsidRPr="00C5016E">
        <w:rPr>
          <w:rFonts w:ascii="Arial" w:hAnsi="Arial" w:cs="Arial"/>
          <w:szCs w:val="24"/>
          <w:lang w:val="hr-HR"/>
        </w:rPr>
        <w:t xml:space="preserve"> </w:t>
      </w:r>
      <w:r w:rsidR="00C025DC" w:rsidRPr="00C5016E">
        <w:rPr>
          <w:rFonts w:ascii="Arial" w:hAnsi="Arial" w:cs="Arial"/>
          <w:szCs w:val="24"/>
          <w:lang w:val="hr-HR"/>
        </w:rPr>
        <w:t xml:space="preserve">2022. </w:t>
      </w:r>
    </w:p>
    <w:p w:rsidR="00C025DC" w:rsidRPr="00C5016E" w:rsidRDefault="00355C4C" w:rsidP="00C025DC">
      <w:pPr>
        <w:pStyle w:val="BodyText"/>
        <w:rPr>
          <w:rFonts w:ascii="Arial" w:hAnsi="Arial" w:cs="Arial"/>
          <w:lang w:val="hr-HR"/>
        </w:rPr>
      </w:pPr>
      <w:r w:rsidRPr="00C5016E">
        <w:rPr>
          <w:rFonts w:ascii="Arial" w:hAnsi="Arial" w:cs="Arial"/>
          <w:lang w:val="hr-HR"/>
        </w:rPr>
        <w:t>Prosječno</w:t>
      </w:r>
      <w:r w:rsidR="00C025DC" w:rsidRPr="00C5016E">
        <w:rPr>
          <w:rFonts w:ascii="Arial" w:hAnsi="Arial" w:cs="Arial"/>
          <w:lang w:val="hr-HR"/>
        </w:rPr>
        <w:t xml:space="preserve"> vrijeme do </w:t>
      </w:r>
      <w:r w:rsidRPr="00C5016E">
        <w:rPr>
          <w:rFonts w:ascii="Arial" w:hAnsi="Arial" w:cs="Arial"/>
          <w:lang w:val="hr-HR"/>
        </w:rPr>
        <w:t>dospijeća</w:t>
      </w:r>
      <w:r w:rsidR="00C025DC" w:rsidRPr="00C5016E">
        <w:rPr>
          <w:rFonts w:ascii="Arial" w:hAnsi="Arial" w:cs="Arial"/>
          <w:lang w:val="hr-HR"/>
        </w:rPr>
        <w:t xml:space="preserve"> (ATM) vrijednosnih papira </w:t>
      </w:r>
      <w:r w:rsidRPr="00C5016E">
        <w:rPr>
          <w:rFonts w:ascii="Arial" w:hAnsi="Arial" w:cs="Arial"/>
          <w:lang w:val="hr-HR"/>
        </w:rPr>
        <w:t>emitiranih</w:t>
      </w:r>
      <w:r w:rsidR="00C025DC" w:rsidRPr="00C5016E">
        <w:rPr>
          <w:rFonts w:ascii="Arial" w:hAnsi="Arial" w:cs="Arial"/>
          <w:lang w:val="hr-HR"/>
        </w:rPr>
        <w:t xml:space="preserve"> u 2022.</w:t>
      </w:r>
      <w:r w:rsidRPr="00C5016E">
        <w:rPr>
          <w:rFonts w:ascii="Arial" w:hAnsi="Arial" w:cs="Arial"/>
          <w:lang w:val="hr-HR"/>
        </w:rPr>
        <w:t xml:space="preserve"> </w:t>
      </w:r>
      <w:r w:rsidR="00C025DC" w:rsidRPr="00C5016E">
        <w:rPr>
          <w:rFonts w:ascii="Arial" w:hAnsi="Arial" w:cs="Arial"/>
          <w:lang w:val="hr-HR"/>
        </w:rPr>
        <w:t xml:space="preserve">godini iznosi 3,9 godina, dok je </w:t>
      </w:r>
      <w:r w:rsidRPr="00C5016E">
        <w:rPr>
          <w:rFonts w:ascii="Arial" w:hAnsi="Arial" w:cs="Arial"/>
          <w:lang w:val="hr-HR"/>
        </w:rPr>
        <w:t>prosječno</w:t>
      </w:r>
      <w:r w:rsidR="00C025DC" w:rsidRPr="00C5016E">
        <w:rPr>
          <w:rFonts w:ascii="Arial" w:hAnsi="Arial" w:cs="Arial"/>
          <w:lang w:val="hr-HR"/>
        </w:rPr>
        <w:t xml:space="preserve"> vrijeme do refiksiranja (ATR) 3,9 godina (fiksna kamatna stopa za unut</w:t>
      </w:r>
      <w:r w:rsidRPr="00C5016E">
        <w:rPr>
          <w:rFonts w:ascii="Arial" w:hAnsi="Arial" w:cs="Arial"/>
          <w:lang w:val="hr-HR"/>
        </w:rPr>
        <w:t>ar</w:t>
      </w:r>
      <w:r w:rsidR="00C025DC" w:rsidRPr="00C5016E">
        <w:rPr>
          <w:rFonts w:ascii="Arial" w:hAnsi="Arial" w:cs="Arial"/>
          <w:lang w:val="hr-HR"/>
        </w:rPr>
        <w:t>nji dug).</w:t>
      </w:r>
    </w:p>
    <w:p w:rsidR="00C025DC" w:rsidRPr="00C5016E" w:rsidRDefault="00355C4C" w:rsidP="00C025DC">
      <w:pPr>
        <w:pStyle w:val="BodyText"/>
        <w:rPr>
          <w:rFonts w:ascii="Arial" w:hAnsi="Arial" w:cs="Arial"/>
          <w:lang w:val="hr-HR"/>
        </w:rPr>
      </w:pPr>
      <w:r w:rsidRPr="00C5016E">
        <w:rPr>
          <w:rFonts w:ascii="Arial" w:hAnsi="Arial" w:cs="Arial"/>
          <w:lang w:val="hr-HR"/>
        </w:rPr>
        <w:t>Prosječno</w:t>
      </w:r>
      <w:r w:rsidR="00C025DC" w:rsidRPr="00C5016E">
        <w:rPr>
          <w:rFonts w:ascii="Arial" w:hAnsi="Arial" w:cs="Arial"/>
          <w:lang w:val="hr-HR"/>
        </w:rPr>
        <w:t xml:space="preserve"> vrijeme do </w:t>
      </w:r>
      <w:r w:rsidRPr="00C5016E">
        <w:rPr>
          <w:rFonts w:ascii="Arial" w:hAnsi="Arial" w:cs="Arial"/>
          <w:lang w:val="hr-HR"/>
        </w:rPr>
        <w:t>dospijeća</w:t>
      </w:r>
      <w:r w:rsidR="00C025DC" w:rsidRPr="00C5016E">
        <w:rPr>
          <w:rFonts w:ascii="Arial" w:hAnsi="Arial" w:cs="Arial"/>
          <w:lang w:val="hr-HR"/>
        </w:rPr>
        <w:t xml:space="preserve"> (ATM) svih vrijednosnih papira emitiranih (unutarnji dug) iznosi 4,06855 godina, koliko iznosi i </w:t>
      </w:r>
      <w:r w:rsidRPr="00C5016E">
        <w:rPr>
          <w:rFonts w:ascii="Arial" w:hAnsi="Arial" w:cs="Arial"/>
          <w:lang w:val="hr-HR"/>
        </w:rPr>
        <w:t>prosječno</w:t>
      </w:r>
      <w:r w:rsidR="00C025DC" w:rsidRPr="00C5016E">
        <w:rPr>
          <w:rFonts w:ascii="Arial" w:hAnsi="Arial" w:cs="Arial"/>
          <w:lang w:val="hr-HR"/>
        </w:rPr>
        <w:t xml:space="preserve"> vrijeme do refiksiranja (ATR).</w:t>
      </w:r>
    </w:p>
    <w:p w:rsidR="00C025DC" w:rsidRPr="00C5016E" w:rsidRDefault="00C025DC" w:rsidP="00C025DC">
      <w:pPr>
        <w:rPr>
          <w:rFonts w:cs="Arial"/>
        </w:rPr>
      </w:pPr>
      <w:r w:rsidRPr="00C5016E">
        <w:rPr>
          <w:rFonts w:cs="Arial"/>
        </w:rPr>
        <w:t>Ukupan broj ugovora o kreditima i grantovima za koje su ugovoreni instrumenti o</w:t>
      </w:r>
      <w:r w:rsidR="00355C4C" w:rsidRPr="00C5016E">
        <w:rPr>
          <w:rFonts w:cs="Arial"/>
        </w:rPr>
        <w:t>siguranja</w:t>
      </w:r>
      <w:r w:rsidRPr="00C5016E">
        <w:rPr>
          <w:rFonts w:cs="Arial"/>
        </w:rPr>
        <w:t xml:space="preserve"> plaćanja iznosi 287 ugovora sa 31.</w:t>
      </w:r>
      <w:r w:rsidR="00355C4C" w:rsidRPr="00C5016E">
        <w:rPr>
          <w:rFonts w:cs="Arial"/>
        </w:rPr>
        <w:t xml:space="preserve"> </w:t>
      </w:r>
      <w:r w:rsidRPr="00C5016E">
        <w:rPr>
          <w:rFonts w:cs="Arial"/>
        </w:rPr>
        <w:t>12.</w:t>
      </w:r>
      <w:r w:rsidR="00355C4C" w:rsidRPr="00C5016E">
        <w:rPr>
          <w:rFonts w:cs="Arial"/>
        </w:rPr>
        <w:t xml:space="preserve"> </w:t>
      </w:r>
      <w:r w:rsidRPr="00C5016E">
        <w:rPr>
          <w:rFonts w:cs="Arial"/>
        </w:rPr>
        <w:t xml:space="preserve">2022., na iznos zaduženja od 7.973.925.232,79 KM (po </w:t>
      </w:r>
      <w:r w:rsidR="00355C4C" w:rsidRPr="00C5016E">
        <w:rPr>
          <w:rFonts w:cs="Arial"/>
        </w:rPr>
        <w:t>tečaju</w:t>
      </w:r>
      <w:r w:rsidRPr="00C5016E">
        <w:rPr>
          <w:rFonts w:cs="Arial"/>
        </w:rPr>
        <w:t xml:space="preserve"> Centralne banke na dan 31.</w:t>
      </w:r>
      <w:r w:rsidR="00355C4C" w:rsidRPr="00C5016E">
        <w:rPr>
          <w:rFonts w:cs="Arial"/>
        </w:rPr>
        <w:t xml:space="preserve"> </w:t>
      </w:r>
      <w:r w:rsidRPr="00C5016E">
        <w:rPr>
          <w:rFonts w:cs="Arial"/>
        </w:rPr>
        <w:t>12.</w:t>
      </w:r>
      <w:r w:rsidR="00355C4C" w:rsidRPr="00C5016E">
        <w:rPr>
          <w:rFonts w:cs="Arial"/>
        </w:rPr>
        <w:t xml:space="preserve"> </w:t>
      </w:r>
      <w:r w:rsidRPr="00C5016E">
        <w:rPr>
          <w:rFonts w:cs="Arial"/>
        </w:rPr>
        <w:t>2022.). U odnosu na 31.</w:t>
      </w:r>
      <w:r w:rsidR="00355C4C" w:rsidRPr="00C5016E">
        <w:rPr>
          <w:rFonts w:cs="Arial"/>
        </w:rPr>
        <w:t xml:space="preserve"> </w:t>
      </w:r>
      <w:r w:rsidRPr="00C5016E">
        <w:rPr>
          <w:rFonts w:cs="Arial"/>
        </w:rPr>
        <w:t>12.</w:t>
      </w:r>
      <w:r w:rsidR="00355C4C" w:rsidRPr="00C5016E">
        <w:rPr>
          <w:rFonts w:cs="Arial"/>
        </w:rPr>
        <w:t xml:space="preserve"> </w:t>
      </w:r>
      <w:r w:rsidRPr="00C5016E">
        <w:rPr>
          <w:rFonts w:cs="Arial"/>
        </w:rPr>
        <w:t>2021.</w:t>
      </w:r>
      <w:r w:rsidR="00355C4C" w:rsidRPr="00C5016E">
        <w:rPr>
          <w:rFonts w:cs="Arial"/>
        </w:rPr>
        <w:t xml:space="preserve"> </w:t>
      </w:r>
      <w:r w:rsidRPr="00C5016E">
        <w:rPr>
          <w:rFonts w:cs="Arial"/>
        </w:rPr>
        <w:t xml:space="preserve">evidentirano je 9 ugovora više. </w:t>
      </w:r>
    </w:p>
    <w:p w:rsidR="00C025DC" w:rsidRPr="00C5016E" w:rsidRDefault="00355C4C" w:rsidP="00C025DC">
      <w:pPr>
        <w:rPr>
          <w:rFonts w:cs="Arial"/>
        </w:rPr>
      </w:pPr>
      <w:r w:rsidRPr="00C5016E">
        <w:rPr>
          <w:rFonts w:cs="Arial"/>
        </w:rPr>
        <w:t>Popisom mjenica je utvrđeno</w:t>
      </w:r>
      <w:r w:rsidR="00C025DC" w:rsidRPr="00C5016E">
        <w:rPr>
          <w:rFonts w:cs="Arial"/>
        </w:rPr>
        <w:t xml:space="preserve"> da je u Federalnom ministarstvu financija do 31.</w:t>
      </w:r>
      <w:r w:rsidRPr="00C5016E">
        <w:rPr>
          <w:rFonts w:cs="Arial"/>
        </w:rPr>
        <w:t xml:space="preserve"> </w:t>
      </w:r>
      <w:r w:rsidR="00C025DC" w:rsidRPr="00C5016E">
        <w:rPr>
          <w:rFonts w:cs="Arial"/>
        </w:rPr>
        <w:t>12.</w:t>
      </w:r>
      <w:r w:rsidRPr="00C5016E">
        <w:rPr>
          <w:rFonts w:cs="Arial"/>
        </w:rPr>
        <w:t xml:space="preserve"> </w:t>
      </w:r>
      <w:r w:rsidR="00C025DC" w:rsidRPr="00C5016E">
        <w:rPr>
          <w:rFonts w:cs="Arial"/>
        </w:rPr>
        <w:t>2022.</w:t>
      </w:r>
      <w:r w:rsidRPr="00C5016E">
        <w:rPr>
          <w:rFonts w:cs="Arial"/>
        </w:rPr>
        <w:t xml:space="preserve"> </w:t>
      </w:r>
      <w:r w:rsidR="00C025DC" w:rsidRPr="00C5016E">
        <w:rPr>
          <w:rFonts w:cs="Arial"/>
        </w:rPr>
        <w:t xml:space="preserve">zaprimljeno 4.411 mjenica od krajnjih korisnika-glavnih dužnika i 424 mjenica garanata-sudužnika, što ukupno iznosi 4.835 mjenica u vrijednosti ugovora od </w:t>
      </w:r>
      <w:r w:rsidR="00C025DC" w:rsidRPr="00C5016E">
        <w:rPr>
          <w:rFonts w:cs="Arial"/>
          <w:bCs/>
          <w:szCs w:val="24"/>
          <w:lang w:eastAsia="bs-Latn-BA"/>
        </w:rPr>
        <w:t>7.936.379.594,98</w:t>
      </w:r>
      <w:r w:rsidR="00C025DC" w:rsidRPr="00C5016E">
        <w:rPr>
          <w:rFonts w:ascii="Calibri" w:hAnsi="Calibri"/>
          <w:bCs/>
          <w:sz w:val="28"/>
          <w:szCs w:val="28"/>
          <w:lang w:eastAsia="bs-Latn-BA"/>
        </w:rPr>
        <w:t xml:space="preserve"> </w:t>
      </w:r>
      <w:r w:rsidR="00C025DC" w:rsidRPr="00C5016E">
        <w:rPr>
          <w:rFonts w:cs="Arial"/>
        </w:rPr>
        <w:t xml:space="preserve">KM (po </w:t>
      </w:r>
      <w:r w:rsidRPr="00C5016E">
        <w:rPr>
          <w:rFonts w:cs="Arial"/>
        </w:rPr>
        <w:t>tečaju</w:t>
      </w:r>
      <w:r w:rsidR="00C025DC" w:rsidRPr="00C5016E">
        <w:rPr>
          <w:rFonts w:cs="Arial"/>
        </w:rPr>
        <w:t xml:space="preserve"> Centralne banke BiH broj: 259 na dan 31.</w:t>
      </w:r>
      <w:r w:rsidRPr="00C5016E">
        <w:rPr>
          <w:rFonts w:cs="Arial"/>
        </w:rPr>
        <w:t xml:space="preserve"> </w:t>
      </w:r>
      <w:r w:rsidR="00C025DC" w:rsidRPr="00C5016E">
        <w:rPr>
          <w:rFonts w:cs="Arial"/>
        </w:rPr>
        <w:t>12.</w:t>
      </w:r>
      <w:r w:rsidRPr="00C5016E">
        <w:rPr>
          <w:rFonts w:cs="Arial"/>
        </w:rPr>
        <w:t xml:space="preserve"> </w:t>
      </w:r>
      <w:r w:rsidR="00C025DC" w:rsidRPr="00C5016E">
        <w:rPr>
          <w:rFonts w:cs="Arial"/>
        </w:rPr>
        <w:t>2022.).</w:t>
      </w:r>
      <w:r w:rsidR="00C025DC" w:rsidRPr="00C5016E">
        <w:rPr>
          <w:rFonts w:cs="Arial"/>
          <w:szCs w:val="24"/>
        </w:rPr>
        <w:t xml:space="preserve"> U razdoblju</w:t>
      </w:r>
      <w:r w:rsidRPr="00C5016E">
        <w:rPr>
          <w:rFonts w:cs="Arial"/>
          <w:szCs w:val="24"/>
        </w:rPr>
        <w:t xml:space="preserve"> od 1.</w:t>
      </w:r>
      <w:r w:rsidR="00AF4CDD" w:rsidRPr="00C5016E">
        <w:rPr>
          <w:rFonts w:cs="Arial"/>
          <w:szCs w:val="24"/>
        </w:rPr>
        <w:t>1.2022. do 31.12.2022.</w:t>
      </w:r>
      <w:r w:rsidR="00C025DC" w:rsidRPr="00C5016E">
        <w:rPr>
          <w:rFonts w:cs="Arial"/>
          <w:szCs w:val="24"/>
        </w:rPr>
        <w:t xml:space="preserve"> </w:t>
      </w:r>
      <w:r w:rsidRPr="00C5016E">
        <w:rPr>
          <w:rFonts w:cs="Arial"/>
          <w:szCs w:val="24"/>
        </w:rPr>
        <w:t>za</w:t>
      </w:r>
      <w:r w:rsidR="00C025DC" w:rsidRPr="00C5016E">
        <w:rPr>
          <w:rFonts w:cs="Arial"/>
          <w:szCs w:val="24"/>
        </w:rPr>
        <w:t xml:space="preserve">primljeno </w:t>
      </w:r>
      <w:r w:rsidRPr="00C5016E">
        <w:rPr>
          <w:rFonts w:cs="Arial"/>
          <w:szCs w:val="24"/>
        </w:rPr>
        <w:t xml:space="preserve">je </w:t>
      </w:r>
      <w:r w:rsidR="00C025DC" w:rsidRPr="00C5016E">
        <w:rPr>
          <w:rFonts w:cs="Arial"/>
          <w:szCs w:val="24"/>
        </w:rPr>
        <w:t xml:space="preserve">140 mjenica u vrijednosti od </w:t>
      </w:r>
      <w:r w:rsidR="00C025DC" w:rsidRPr="00C5016E">
        <w:rPr>
          <w:rFonts w:cs="Arial"/>
          <w:bCs/>
          <w:szCs w:val="24"/>
          <w:lang w:eastAsia="bs-Latn-BA"/>
        </w:rPr>
        <w:t xml:space="preserve">847.773.447,07 </w:t>
      </w:r>
      <w:r w:rsidR="00C025DC" w:rsidRPr="00C5016E">
        <w:rPr>
          <w:rFonts w:cs="Arial"/>
          <w:szCs w:val="24"/>
        </w:rPr>
        <w:t xml:space="preserve">KM po </w:t>
      </w:r>
      <w:r w:rsidRPr="00C5016E">
        <w:rPr>
          <w:rFonts w:cs="Arial"/>
          <w:szCs w:val="24"/>
        </w:rPr>
        <w:t>tečaju</w:t>
      </w:r>
      <w:r w:rsidR="00C025DC" w:rsidRPr="00C5016E">
        <w:rPr>
          <w:rFonts w:cs="Arial"/>
          <w:szCs w:val="24"/>
        </w:rPr>
        <w:t xml:space="preserve"> Centralne banke BiH na dan 31.</w:t>
      </w:r>
      <w:r w:rsidRPr="00C5016E">
        <w:rPr>
          <w:rFonts w:cs="Arial"/>
          <w:szCs w:val="24"/>
        </w:rPr>
        <w:t xml:space="preserve"> </w:t>
      </w:r>
      <w:r w:rsidR="00C025DC" w:rsidRPr="00C5016E">
        <w:rPr>
          <w:rFonts w:cs="Arial"/>
          <w:szCs w:val="24"/>
        </w:rPr>
        <w:t>12.</w:t>
      </w:r>
      <w:r w:rsidRPr="00C5016E">
        <w:rPr>
          <w:rFonts w:cs="Arial"/>
          <w:szCs w:val="24"/>
        </w:rPr>
        <w:t xml:space="preserve"> </w:t>
      </w:r>
      <w:r w:rsidR="00C025DC" w:rsidRPr="00C5016E">
        <w:rPr>
          <w:rFonts w:cs="Arial"/>
          <w:szCs w:val="24"/>
        </w:rPr>
        <w:t>2022.</w:t>
      </w:r>
      <w:r w:rsidR="00C025DC" w:rsidRPr="00C5016E">
        <w:rPr>
          <w:rFonts w:cs="Arial"/>
        </w:rPr>
        <w:t xml:space="preserve"> </w:t>
      </w:r>
    </w:p>
    <w:p w:rsidR="00C025DC" w:rsidRPr="00C5016E" w:rsidRDefault="00C025DC" w:rsidP="00C025DC">
      <w:pPr>
        <w:spacing w:before="0" w:after="0"/>
        <w:rPr>
          <w:rFonts w:cs="Arial"/>
          <w:b/>
          <w:szCs w:val="24"/>
        </w:rPr>
      </w:pPr>
      <w:r w:rsidRPr="00C5016E">
        <w:rPr>
          <w:rFonts w:cs="Arial"/>
          <w:szCs w:val="24"/>
        </w:rPr>
        <w:t xml:space="preserve">Popisom je utvrđena ukupna vrijednost primljenih mjenica za </w:t>
      </w:r>
      <w:r w:rsidR="00AF4CDD" w:rsidRPr="00C5016E">
        <w:rPr>
          <w:rFonts w:cs="Arial"/>
        </w:rPr>
        <w:t>osiguranje</w:t>
      </w:r>
      <w:r w:rsidRPr="00C5016E">
        <w:rPr>
          <w:rFonts w:cs="Arial"/>
          <w:szCs w:val="24"/>
        </w:rPr>
        <w:t xml:space="preserve"> kredita, zajmova i grantova u iznosu od </w:t>
      </w:r>
      <w:r w:rsidRPr="00C5016E">
        <w:rPr>
          <w:rFonts w:cs="Arial"/>
          <w:bCs/>
          <w:szCs w:val="24"/>
          <w:lang w:eastAsia="bs-Latn-BA"/>
        </w:rPr>
        <w:t>7.936.379.594,98</w:t>
      </w:r>
      <w:r w:rsidRPr="00C5016E">
        <w:rPr>
          <w:rFonts w:cs="Arial"/>
          <w:szCs w:val="24"/>
        </w:rPr>
        <w:t xml:space="preserve"> po </w:t>
      </w:r>
      <w:r w:rsidR="00AF4CDD" w:rsidRPr="00C5016E">
        <w:rPr>
          <w:rFonts w:cs="Arial"/>
          <w:szCs w:val="24"/>
        </w:rPr>
        <w:t>tečaju</w:t>
      </w:r>
      <w:r w:rsidRPr="00C5016E">
        <w:rPr>
          <w:rFonts w:cs="Arial"/>
          <w:szCs w:val="24"/>
        </w:rPr>
        <w:t xml:space="preserve"> na dan 31.</w:t>
      </w:r>
      <w:r w:rsidR="00AF4CDD" w:rsidRPr="00C5016E">
        <w:rPr>
          <w:rFonts w:cs="Arial"/>
          <w:szCs w:val="24"/>
        </w:rPr>
        <w:t xml:space="preserve"> </w:t>
      </w:r>
      <w:r w:rsidRPr="00C5016E">
        <w:rPr>
          <w:rFonts w:cs="Arial"/>
          <w:szCs w:val="24"/>
        </w:rPr>
        <w:t>12.</w:t>
      </w:r>
      <w:r w:rsidR="00AF4CDD" w:rsidRPr="00C5016E">
        <w:rPr>
          <w:rFonts w:cs="Arial"/>
          <w:szCs w:val="24"/>
        </w:rPr>
        <w:t xml:space="preserve"> </w:t>
      </w:r>
      <w:r w:rsidRPr="00C5016E">
        <w:rPr>
          <w:rFonts w:cs="Arial"/>
          <w:szCs w:val="24"/>
        </w:rPr>
        <w:t xml:space="preserve">2022. Uvidom u evidenciju Glavne knjige </w:t>
      </w:r>
      <w:r w:rsidR="00AF4CDD" w:rsidRPr="00C5016E">
        <w:rPr>
          <w:rFonts w:cs="Arial"/>
          <w:szCs w:val="24"/>
        </w:rPr>
        <w:t>riznice</w:t>
      </w:r>
      <w:r w:rsidRPr="00C5016E">
        <w:rPr>
          <w:rFonts w:cs="Arial"/>
          <w:szCs w:val="24"/>
        </w:rPr>
        <w:t xml:space="preserve"> na dan 31.</w:t>
      </w:r>
      <w:r w:rsidR="00AF4CDD" w:rsidRPr="00C5016E">
        <w:rPr>
          <w:rFonts w:cs="Arial"/>
          <w:szCs w:val="24"/>
        </w:rPr>
        <w:t xml:space="preserve"> </w:t>
      </w:r>
      <w:r w:rsidRPr="00C5016E">
        <w:rPr>
          <w:rFonts w:cs="Arial"/>
          <w:szCs w:val="24"/>
        </w:rPr>
        <w:t>12.</w:t>
      </w:r>
      <w:r w:rsidR="00AF4CDD" w:rsidRPr="00C5016E">
        <w:rPr>
          <w:rFonts w:cs="Arial"/>
          <w:szCs w:val="24"/>
        </w:rPr>
        <w:t xml:space="preserve"> </w:t>
      </w:r>
      <w:r w:rsidRPr="00C5016E">
        <w:rPr>
          <w:rFonts w:cs="Arial"/>
          <w:szCs w:val="24"/>
        </w:rPr>
        <w:t xml:space="preserve">2022. na analitičkom kontu 911116 – Primljene mjenice za </w:t>
      </w:r>
      <w:r w:rsidR="00AF4CDD" w:rsidRPr="00C5016E">
        <w:rPr>
          <w:rFonts w:cs="Arial"/>
        </w:rPr>
        <w:t>osiguranje</w:t>
      </w:r>
      <w:r w:rsidRPr="00C5016E">
        <w:rPr>
          <w:rFonts w:cs="Arial"/>
          <w:szCs w:val="24"/>
        </w:rPr>
        <w:t xml:space="preserve"> kredita, zajmova i grantova, knjigovodstveno je evidentiran iznos od 7.903.844.692,01 KM. Razlika u iznosu od 32.534.902,97 KM nastala </w:t>
      </w:r>
      <w:r w:rsidR="00AF4CDD" w:rsidRPr="00C5016E">
        <w:rPr>
          <w:rFonts w:cs="Arial"/>
          <w:szCs w:val="24"/>
        </w:rPr>
        <w:t>uslijed</w:t>
      </w:r>
      <w:r w:rsidRPr="00C5016E">
        <w:rPr>
          <w:rFonts w:cs="Arial"/>
          <w:szCs w:val="24"/>
        </w:rPr>
        <w:t xml:space="preserve"> </w:t>
      </w:r>
      <w:r w:rsidR="00AF4CDD" w:rsidRPr="00C5016E">
        <w:rPr>
          <w:rFonts w:cs="Arial"/>
          <w:szCs w:val="24"/>
        </w:rPr>
        <w:t>tečajnih</w:t>
      </w:r>
      <w:r w:rsidRPr="00C5016E">
        <w:rPr>
          <w:rFonts w:cs="Arial"/>
          <w:szCs w:val="24"/>
        </w:rPr>
        <w:t xml:space="preserve"> razlika u odnosu na iskazano stvarno stanje po </w:t>
      </w:r>
      <w:r w:rsidR="00AF4CDD" w:rsidRPr="00C5016E">
        <w:rPr>
          <w:rFonts w:cs="Arial"/>
          <w:szCs w:val="24"/>
        </w:rPr>
        <w:t>tečaju</w:t>
      </w:r>
      <w:r w:rsidRPr="00C5016E">
        <w:rPr>
          <w:rFonts w:cs="Arial"/>
          <w:szCs w:val="24"/>
        </w:rPr>
        <w:t xml:space="preserve"> na dan 31.</w:t>
      </w:r>
      <w:r w:rsidR="00AF4CDD" w:rsidRPr="00C5016E">
        <w:rPr>
          <w:rFonts w:cs="Arial"/>
          <w:szCs w:val="24"/>
        </w:rPr>
        <w:t xml:space="preserve"> </w:t>
      </w:r>
      <w:r w:rsidRPr="00C5016E">
        <w:rPr>
          <w:rFonts w:cs="Arial"/>
          <w:szCs w:val="24"/>
        </w:rPr>
        <w:t>12.</w:t>
      </w:r>
      <w:r w:rsidR="00AF4CDD" w:rsidRPr="00C5016E">
        <w:rPr>
          <w:rFonts w:cs="Arial"/>
          <w:szCs w:val="24"/>
        </w:rPr>
        <w:t xml:space="preserve"> </w:t>
      </w:r>
      <w:r w:rsidRPr="00C5016E">
        <w:rPr>
          <w:rFonts w:cs="Arial"/>
          <w:szCs w:val="24"/>
        </w:rPr>
        <w:t>2022.</w:t>
      </w:r>
      <w:r w:rsidR="00AF4CDD" w:rsidRPr="00C5016E">
        <w:rPr>
          <w:rFonts w:cs="Arial"/>
          <w:szCs w:val="24"/>
        </w:rPr>
        <w:t xml:space="preserve"> </w:t>
      </w:r>
    </w:p>
    <w:p w:rsidR="00C025DC" w:rsidRPr="00C5016E" w:rsidRDefault="00C025DC" w:rsidP="00C025DC">
      <w:pPr>
        <w:spacing w:before="0" w:after="0"/>
        <w:rPr>
          <w:rFonts w:cs="Arial"/>
        </w:rPr>
      </w:pPr>
    </w:p>
    <w:p w:rsidR="00C025DC" w:rsidRPr="00C5016E" w:rsidRDefault="00AF4CDD" w:rsidP="00C025DC">
      <w:pPr>
        <w:spacing w:before="0" w:after="0"/>
        <w:rPr>
          <w:rFonts w:cs="Arial"/>
          <w:b/>
        </w:rPr>
      </w:pPr>
      <w:r w:rsidRPr="00C5016E">
        <w:rPr>
          <w:rFonts w:cs="Arial"/>
        </w:rPr>
        <w:t>Popisom garancija</w:t>
      </w:r>
      <w:r w:rsidR="00C025DC" w:rsidRPr="00C5016E">
        <w:rPr>
          <w:rFonts w:cs="Arial"/>
        </w:rPr>
        <w:t xml:space="preserve"> utvrđen</w:t>
      </w:r>
      <w:r w:rsidRPr="00C5016E">
        <w:rPr>
          <w:rFonts w:cs="Arial"/>
        </w:rPr>
        <w:t xml:space="preserve"> je</w:t>
      </w:r>
      <w:r w:rsidR="00C025DC" w:rsidRPr="00C5016E">
        <w:rPr>
          <w:rFonts w:cs="Arial"/>
        </w:rPr>
        <w:t xml:space="preserve"> iznos zaprimljenih garancija, kao instrumenata </w:t>
      </w:r>
      <w:r w:rsidRPr="00C5016E">
        <w:rPr>
          <w:rFonts w:cs="Arial"/>
        </w:rPr>
        <w:t>osiguranja</w:t>
      </w:r>
      <w:r w:rsidR="00C025DC" w:rsidRPr="00C5016E">
        <w:rPr>
          <w:rFonts w:cs="Arial"/>
        </w:rPr>
        <w:t xml:space="preserve"> u svrhu osiguranja naplate kredita o</w:t>
      </w:r>
      <w:r w:rsidRPr="00C5016E">
        <w:rPr>
          <w:rFonts w:cs="Arial"/>
        </w:rPr>
        <w:t>d krajnjih korisnika i garanata</w:t>
      </w:r>
      <w:r w:rsidR="00C025DC" w:rsidRPr="00C5016E">
        <w:rPr>
          <w:rFonts w:cs="Arial"/>
        </w:rPr>
        <w:t xml:space="preserve"> na dan 31.</w:t>
      </w:r>
      <w:r w:rsidRPr="00C5016E">
        <w:rPr>
          <w:rFonts w:cs="Arial"/>
        </w:rPr>
        <w:t xml:space="preserve"> </w:t>
      </w:r>
      <w:r w:rsidR="00C025DC" w:rsidRPr="00C5016E">
        <w:rPr>
          <w:rFonts w:cs="Arial"/>
        </w:rPr>
        <w:t>12.</w:t>
      </w:r>
      <w:r w:rsidRPr="00C5016E">
        <w:rPr>
          <w:rFonts w:cs="Arial"/>
        </w:rPr>
        <w:t xml:space="preserve"> </w:t>
      </w:r>
      <w:r w:rsidR="00C025DC" w:rsidRPr="00C5016E">
        <w:rPr>
          <w:rFonts w:cs="Arial"/>
        </w:rPr>
        <w:t>2022., u ukupnoj vrijednosti od 95.874.964,97 KM.</w:t>
      </w:r>
    </w:p>
    <w:p w:rsidR="00C025DC" w:rsidRPr="00C5016E" w:rsidRDefault="00C025DC" w:rsidP="00C025DC">
      <w:pPr>
        <w:spacing w:before="0" w:after="0"/>
        <w:rPr>
          <w:rFonts w:cs="Arial"/>
        </w:rPr>
      </w:pPr>
      <w:r w:rsidRPr="00C5016E">
        <w:rPr>
          <w:rFonts w:cs="Arial"/>
        </w:rPr>
        <w:t xml:space="preserve">Uvidom u evidenciju </w:t>
      </w:r>
      <w:r w:rsidR="00AF4CDD" w:rsidRPr="00C5016E">
        <w:rPr>
          <w:rFonts w:cs="Arial"/>
        </w:rPr>
        <w:t xml:space="preserve">Glavne </w:t>
      </w:r>
      <w:r w:rsidRPr="00C5016E">
        <w:rPr>
          <w:rFonts w:cs="Arial"/>
        </w:rPr>
        <w:t xml:space="preserve">knjige </w:t>
      </w:r>
      <w:r w:rsidR="00AF4CDD" w:rsidRPr="00C5016E">
        <w:rPr>
          <w:rFonts w:cs="Arial"/>
          <w:szCs w:val="24"/>
        </w:rPr>
        <w:t>riznice</w:t>
      </w:r>
      <w:r w:rsidRPr="00C5016E">
        <w:rPr>
          <w:rFonts w:cs="Arial"/>
        </w:rPr>
        <w:t xml:space="preserve"> na dan 31.</w:t>
      </w:r>
      <w:r w:rsidR="00AF4CDD" w:rsidRPr="00C5016E">
        <w:rPr>
          <w:rFonts w:cs="Arial"/>
        </w:rPr>
        <w:t xml:space="preserve"> </w:t>
      </w:r>
      <w:r w:rsidRPr="00C5016E">
        <w:rPr>
          <w:rFonts w:cs="Arial"/>
        </w:rPr>
        <w:t>12.</w:t>
      </w:r>
      <w:r w:rsidR="00AF4CDD" w:rsidRPr="00C5016E">
        <w:rPr>
          <w:rFonts w:cs="Arial"/>
        </w:rPr>
        <w:t xml:space="preserve"> 2022.</w:t>
      </w:r>
      <w:r w:rsidRPr="00C5016E">
        <w:rPr>
          <w:rFonts w:cs="Arial"/>
        </w:rPr>
        <w:t xml:space="preserve"> na analitičkom kontu 911117 „Primljene garancije za </w:t>
      </w:r>
      <w:r w:rsidR="00AF4CDD" w:rsidRPr="00C5016E">
        <w:rPr>
          <w:rFonts w:cs="Arial"/>
        </w:rPr>
        <w:t>osiguranje</w:t>
      </w:r>
      <w:r w:rsidRPr="00C5016E">
        <w:rPr>
          <w:rFonts w:cs="Arial"/>
        </w:rPr>
        <w:t xml:space="preserve"> kredita, zajmova i grantova“ knjigovodstveno je evidentiran iznos od 94.157.593,86 KM. Stvarna vrijednost zaprimljenih garancija do 31.</w:t>
      </w:r>
      <w:r w:rsidR="00AF4CDD" w:rsidRPr="00C5016E">
        <w:rPr>
          <w:rFonts w:cs="Arial"/>
        </w:rPr>
        <w:t xml:space="preserve"> </w:t>
      </w:r>
      <w:r w:rsidRPr="00C5016E">
        <w:rPr>
          <w:rFonts w:cs="Arial"/>
        </w:rPr>
        <w:t>12.</w:t>
      </w:r>
      <w:r w:rsidR="00AF4CDD" w:rsidRPr="00C5016E">
        <w:rPr>
          <w:rFonts w:cs="Arial"/>
        </w:rPr>
        <w:t xml:space="preserve"> </w:t>
      </w:r>
      <w:r w:rsidRPr="00C5016E">
        <w:rPr>
          <w:rFonts w:cs="Arial"/>
        </w:rPr>
        <w:t xml:space="preserve">2022. iznosi 95.874.964,97 KM, te je po </w:t>
      </w:r>
      <w:r w:rsidR="00AF4CDD" w:rsidRPr="00C5016E">
        <w:rPr>
          <w:rFonts w:cs="Arial"/>
        </w:rPr>
        <w:t>tečaju</w:t>
      </w:r>
      <w:r w:rsidRPr="00C5016E">
        <w:rPr>
          <w:rFonts w:cs="Arial"/>
        </w:rPr>
        <w:t xml:space="preserve"> Centralne banke BiH na dan 31.</w:t>
      </w:r>
      <w:r w:rsidR="00AF4CDD" w:rsidRPr="00C5016E">
        <w:rPr>
          <w:rFonts w:cs="Arial"/>
        </w:rPr>
        <w:t xml:space="preserve"> </w:t>
      </w:r>
      <w:r w:rsidRPr="00C5016E">
        <w:rPr>
          <w:rFonts w:cs="Arial"/>
        </w:rPr>
        <w:t>12.</w:t>
      </w:r>
      <w:r w:rsidR="00AF4CDD" w:rsidRPr="00C5016E">
        <w:rPr>
          <w:rFonts w:cs="Arial"/>
        </w:rPr>
        <w:t xml:space="preserve"> </w:t>
      </w:r>
      <w:r w:rsidRPr="00C5016E">
        <w:rPr>
          <w:rFonts w:cs="Arial"/>
        </w:rPr>
        <w:t xml:space="preserve">2022. evidentirana negativna </w:t>
      </w:r>
      <w:r w:rsidR="00AF4CDD" w:rsidRPr="00C5016E">
        <w:rPr>
          <w:rFonts w:cs="Arial"/>
        </w:rPr>
        <w:t>tečajna</w:t>
      </w:r>
      <w:r w:rsidRPr="00C5016E">
        <w:rPr>
          <w:rFonts w:cs="Arial"/>
        </w:rPr>
        <w:t xml:space="preserve"> razlika u odnosu na ranij</w:t>
      </w:r>
      <w:r w:rsidR="00AF4CDD" w:rsidRPr="00C5016E">
        <w:rPr>
          <w:rFonts w:cs="Arial"/>
        </w:rPr>
        <w:t>e</w:t>
      </w:r>
      <w:r w:rsidRPr="00C5016E">
        <w:rPr>
          <w:rFonts w:cs="Arial"/>
        </w:rPr>
        <w:t xml:space="preserve"> </w:t>
      </w:r>
      <w:r w:rsidR="006229C5" w:rsidRPr="00C5016E">
        <w:rPr>
          <w:rFonts w:cs="Arial"/>
        </w:rPr>
        <w:t>izvještajno razdoblje</w:t>
      </w:r>
      <w:r w:rsidRPr="00C5016E">
        <w:rPr>
          <w:rFonts w:cs="Arial"/>
        </w:rPr>
        <w:t xml:space="preserve"> od 31.</w:t>
      </w:r>
      <w:r w:rsidR="00AF4CDD" w:rsidRPr="00C5016E">
        <w:rPr>
          <w:rFonts w:cs="Arial"/>
        </w:rPr>
        <w:t xml:space="preserve"> </w:t>
      </w:r>
      <w:r w:rsidRPr="00C5016E">
        <w:rPr>
          <w:rFonts w:cs="Arial"/>
        </w:rPr>
        <w:t>12.</w:t>
      </w:r>
      <w:r w:rsidR="00AF4CDD" w:rsidRPr="00C5016E">
        <w:rPr>
          <w:rFonts w:cs="Arial"/>
        </w:rPr>
        <w:t xml:space="preserve"> </w:t>
      </w:r>
      <w:r w:rsidRPr="00C5016E">
        <w:rPr>
          <w:rFonts w:cs="Arial"/>
        </w:rPr>
        <w:t>2021., koja iznosi 1.717.371,11 KM.</w:t>
      </w:r>
    </w:p>
    <w:p w:rsidR="00C025DC" w:rsidRPr="00C5016E" w:rsidRDefault="00C025DC" w:rsidP="00C025DC">
      <w:pPr>
        <w:spacing w:before="120"/>
        <w:rPr>
          <w:rFonts w:cs="Arial"/>
        </w:rPr>
      </w:pPr>
      <w:r w:rsidRPr="00C5016E">
        <w:rPr>
          <w:rFonts w:cs="Arial"/>
        </w:rPr>
        <w:lastRenderedPageBreak/>
        <w:t xml:space="preserve">Popisom </w:t>
      </w:r>
      <w:r w:rsidR="00AF4CDD" w:rsidRPr="00C5016E">
        <w:rPr>
          <w:rFonts w:cs="Arial"/>
        </w:rPr>
        <w:t>izdanih garancija</w:t>
      </w:r>
      <w:r w:rsidRPr="00C5016E">
        <w:rPr>
          <w:rFonts w:cs="Arial"/>
        </w:rPr>
        <w:t xml:space="preserve"> utvrđen </w:t>
      </w:r>
      <w:r w:rsidR="00AF4CDD" w:rsidRPr="00C5016E">
        <w:rPr>
          <w:rFonts w:cs="Arial"/>
        </w:rPr>
        <w:t xml:space="preserve">je </w:t>
      </w:r>
      <w:r w:rsidRPr="00C5016E">
        <w:rPr>
          <w:rFonts w:cs="Arial"/>
        </w:rPr>
        <w:t xml:space="preserve">iznos </w:t>
      </w:r>
      <w:r w:rsidR="00AF4CDD" w:rsidRPr="00C5016E">
        <w:rPr>
          <w:rFonts w:cs="Arial"/>
        </w:rPr>
        <w:t>izdanih</w:t>
      </w:r>
      <w:r w:rsidR="0070505C" w:rsidRPr="00C5016E">
        <w:rPr>
          <w:rFonts w:cs="Arial"/>
        </w:rPr>
        <w:t xml:space="preserve"> garancija, kao instrumen</w:t>
      </w:r>
      <w:r w:rsidRPr="00C5016E">
        <w:rPr>
          <w:rFonts w:cs="Arial"/>
        </w:rPr>
        <w:t>ta o</w:t>
      </w:r>
      <w:r w:rsidR="00AF4CDD" w:rsidRPr="00C5016E">
        <w:rPr>
          <w:rFonts w:cs="Arial"/>
        </w:rPr>
        <w:t>siguranja</w:t>
      </w:r>
      <w:r w:rsidRPr="00C5016E">
        <w:rPr>
          <w:rFonts w:cs="Arial"/>
        </w:rPr>
        <w:t xml:space="preserve"> u svrhu osiguranja naplate za korisnika garancije</w:t>
      </w:r>
      <w:r w:rsidR="00AF4CDD" w:rsidRPr="00C5016E">
        <w:rPr>
          <w:rFonts w:cs="Arial"/>
        </w:rPr>
        <w:t>,</w:t>
      </w:r>
      <w:r w:rsidRPr="00C5016E">
        <w:rPr>
          <w:rFonts w:cs="Arial"/>
        </w:rPr>
        <w:t xml:space="preserve"> u ukupnom iznosu od 1.200.860.061,68 KM. Navedeni iznos se odnosi na izda</w:t>
      </w:r>
      <w:r w:rsidR="00AF4CDD" w:rsidRPr="00C5016E">
        <w:rPr>
          <w:rFonts w:cs="Arial"/>
        </w:rPr>
        <w:t>n</w:t>
      </w:r>
      <w:r w:rsidRPr="00C5016E">
        <w:rPr>
          <w:rFonts w:cs="Arial"/>
        </w:rPr>
        <w:t>u garanciju u korist korisnika China export-import bank Peking CEXIM za traži</w:t>
      </w:r>
      <w:r w:rsidR="00AF4CDD" w:rsidRPr="00C5016E">
        <w:rPr>
          <w:rFonts w:cs="Arial"/>
        </w:rPr>
        <w:t>telja</w:t>
      </w:r>
      <w:r w:rsidRPr="00C5016E">
        <w:rPr>
          <w:rFonts w:cs="Arial"/>
        </w:rPr>
        <w:t xml:space="preserve"> garancije JP „Elektroprivreda BiH“ d.d. Sarajevo, radi o</w:t>
      </w:r>
      <w:r w:rsidR="00AF4CDD" w:rsidRPr="00C5016E">
        <w:rPr>
          <w:rFonts w:cs="Arial"/>
        </w:rPr>
        <w:t>siguranja</w:t>
      </w:r>
      <w:r w:rsidRPr="00C5016E">
        <w:rPr>
          <w:rFonts w:cs="Arial"/>
        </w:rPr>
        <w:t xml:space="preserve"> kreditnog zaduženja JP „Elektroprivreda BiH“ d.d. Sarajevo kod China export-import bank Peking CEXIM za financiranje projekta izgradnje termo bloka 7-450 MW u Termo elektrani Tuzla u iznosu od 613.990.000,00 EUR ili 1.200.860.061,68 KM, koja je evidentirana u 2019.</w:t>
      </w:r>
      <w:r w:rsidR="00AF4CDD" w:rsidRPr="00C5016E">
        <w:rPr>
          <w:rFonts w:cs="Arial"/>
        </w:rPr>
        <w:t xml:space="preserve"> </w:t>
      </w:r>
      <w:r w:rsidRPr="00C5016E">
        <w:rPr>
          <w:rFonts w:cs="Arial"/>
        </w:rPr>
        <w:t xml:space="preserve">godini, </w:t>
      </w:r>
      <w:r w:rsidR="00AF4CDD" w:rsidRPr="00C5016E">
        <w:rPr>
          <w:rFonts w:cs="Arial"/>
        </w:rPr>
        <w:t>sukladno</w:t>
      </w:r>
      <w:r w:rsidRPr="00C5016E">
        <w:rPr>
          <w:rFonts w:cs="Arial"/>
        </w:rPr>
        <w:t xml:space="preserve"> procedurama knjigovodstvenog evidentiranja izda</w:t>
      </w:r>
      <w:r w:rsidR="00AF4CDD" w:rsidRPr="00C5016E">
        <w:rPr>
          <w:rFonts w:cs="Arial"/>
        </w:rPr>
        <w:t>n</w:t>
      </w:r>
      <w:r w:rsidRPr="00C5016E">
        <w:rPr>
          <w:rFonts w:cs="Arial"/>
        </w:rPr>
        <w:t>ih garancij</w:t>
      </w:r>
      <w:r w:rsidR="00AF4CDD" w:rsidRPr="00C5016E">
        <w:rPr>
          <w:rFonts w:cs="Arial"/>
        </w:rPr>
        <w:t>a</w:t>
      </w:r>
      <w:r w:rsidRPr="00C5016E">
        <w:rPr>
          <w:rFonts w:cs="Arial"/>
        </w:rPr>
        <w:t>.</w:t>
      </w:r>
    </w:p>
    <w:p w:rsidR="00C025DC" w:rsidRPr="00C5016E" w:rsidRDefault="00C025DC" w:rsidP="00C025DC">
      <w:pPr>
        <w:pStyle w:val="Heading2"/>
        <w:rPr>
          <w:rFonts w:ascii="Arial" w:hAnsi="Arial" w:cs="Arial"/>
        </w:rPr>
      </w:pPr>
      <w:bookmarkStart w:id="87" w:name="_Toc131505225"/>
      <w:r w:rsidRPr="00C5016E">
        <w:rPr>
          <w:rFonts w:ascii="Arial" w:hAnsi="Arial" w:cs="Arial"/>
        </w:rPr>
        <w:t xml:space="preserve">Tekuća </w:t>
      </w:r>
      <w:bookmarkEnd w:id="87"/>
      <w:r w:rsidR="00AF4CDD" w:rsidRPr="00C5016E">
        <w:rPr>
          <w:rFonts w:ascii="Arial" w:hAnsi="Arial" w:cs="Arial"/>
        </w:rPr>
        <w:t>pričuva</w:t>
      </w:r>
    </w:p>
    <w:p w:rsidR="00C025DC" w:rsidRPr="00C5016E" w:rsidRDefault="00C025DC" w:rsidP="00C025DC">
      <w:r w:rsidRPr="00C5016E">
        <w:t xml:space="preserve">U 2022. godini iz tekuće </w:t>
      </w:r>
      <w:r w:rsidR="00AF4CDD" w:rsidRPr="00C5016E">
        <w:t>pričuve</w:t>
      </w:r>
      <w:r w:rsidRPr="00C5016E">
        <w:t xml:space="preserve"> Proračuna Federacije BiH odobrena su sredstva u iznosu od 23,03 </w:t>
      </w:r>
      <w:r w:rsidR="004611A5" w:rsidRPr="00C5016E">
        <w:t>milijun</w:t>
      </w:r>
      <w:r w:rsidRPr="00C5016E">
        <w:t xml:space="preserve">a KM od ukupno planiranih 5,15 </w:t>
      </w:r>
      <w:r w:rsidR="004611A5" w:rsidRPr="00C5016E">
        <w:t>milijun</w:t>
      </w:r>
      <w:r w:rsidRPr="00C5016E">
        <w:t>a KM, od čega:</w:t>
      </w:r>
    </w:p>
    <w:p w:rsidR="00C025DC" w:rsidRPr="00C5016E" w:rsidRDefault="00C025DC" w:rsidP="00C025DC">
      <w:pPr>
        <w:pStyle w:val="ListParagraph"/>
        <w:numPr>
          <w:ilvl w:val="0"/>
          <w:numId w:val="15"/>
        </w:numPr>
        <w:rPr>
          <w:rFonts w:ascii="Arial" w:hAnsi="Arial" w:cs="Arial"/>
          <w:lang w:val="hr-HR"/>
        </w:rPr>
      </w:pPr>
      <w:r w:rsidRPr="00C5016E">
        <w:rPr>
          <w:rFonts w:ascii="Arial" w:hAnsi="Arial" w:cs="Arial"/>
          <w:lang w:val="hr-HR"/>
        </w:rPr>
        <w:t xml:space="preserve">po odlukama Vlade FBiH 22,87 </w:t>
      </w:r>
      <w:r w:rsidR="004611A5" w:rsidRPr="00C5016E">
        <w:rPr>
          <w:rFonts w:ascii="Arial" w:hAnsi="Arial" w:cs="Arial"/>
          <w:lang w:val="hr-HR"/>
        </w:rPr>
        <w:t>milijun</w:t>
      </w:r>
      <w:r w:rsidR="00AF4CDD" w:rsidRPr="00C5016E">
        <w:rPr>
          <w:rFonts w:ascii="Arial" w:hAnsi="Arial" w:cs="Arial"/>
          <w:lang w:val="hr-HR"/>
        </w:rPr>
        <w:t xml:space="preserve">a KM </w:t>
      </w:r>
    </w:p>
    <w:p w:rsidR="00C025DC" w:rsidRPr="00C5016E" w:rsidRDefault="00C025DC" w:rsidP="00C025DC">
      <w:pPr>
        <w:pStyle w:val="ListParagraph"/>
        <w:numPr>
          <w:ilvl w:val="0"/>
          <w:numId w:val="15"/>
        </w:numPr>
        <w:rPr>
          <w:rFonts w:ascii="Arial" w:hAnsi="Arial" w:cs="Arial"/>
          <w:lang w:val="hr-HR"/>
        </w:rPr>
      </w:pPr>
      <w:r w:rsidRPr="00C5016E">
        <w:rPr>
          <w:rFonts w:ascii="Arial" w:hAnsi="Arial" w:cs="Arial"/>
          <w:lang w:val="hr-HR"/>
        </w:rPr>
        <w:t xml:space="preserve">po rješenjima premijera FBiH 75 </w:t>
      </w:r>
      <w:r w:rsidR="004611A5" w:rsidRPr="00C5016E">
        <w:rPr>
          <w:rFonts w:ascii="Arial" w:hAnsi="Arial" w:cs="Arial"/>
          <w:lang w:val="hr-HR"/>
        </w:rPr>
        <w:t>tisuć</w:t>
      </w:r>
      <w:r w:rsidR="00AF4CDD" w:rsidRPr="00C5016E">
        <w:rPr>
          <w:rFonts w:ascii="Arial" w:hAnsi="Arial" w:cs="Arial"/>
          <w:lang w:val="hr-HR"/>
        </w:rPr>
        <w:t>a KM</w:t>
      </w:r>
    </w:p>
    <w:p w:rsidR="00C025DC" w:rsidRPr="00C5016E" w:rsidRDefault="00C025DC" w:rsidP="00C025DC">
      <w:pPr>
        <w:pStyle w:val="ListParagraph"/>
        <w:numPr>
          <w:ilvl w:val="0"/>
          <w:numId w:val="15"/>
        </w:numPr>
        <w:rPr>
          <w:rFonts w:ascii="Arial" w:hAnsi="Arial" w:cs="Arial"/>
          <w:lang w:val="hr-HR"/>
        </w:rPr>
      </w:pPr>
      <w:r w:rsidRPr="00C5016E">
        <w:rPr>
          <w:rFonts w:ascii="Arial" w:hAnsi="Arial" w:cs="Arial"/>
          <w:lang w:val="hr-HR"/>
        </w:rPr>
        <w:t xml:space="preserve">po rješenjima zamjenice premijera – ministrice financija 40 </w:t>
      </w:r>
      <w:r w:rsidR="004611A5" w:rsidRPr="00C5016E">
        <w:rPr>
          <w:rFonts w:ascii="Arial" w:hAnsi="Arial" w:cs="Arial"/>
          <w:lang w:val="hr-HR"/>
        </w:rPr>
        <w:t>tisuć</w:t>
      </w:r>
      <w:r w:rsidR="00AF4CDD" w:rsidRPr="00C5016E">
        <w:rPr>
          <w:rFonts w:ascii="Arial" w:hAnsi="Arial" w:cs="Arial"/>
          <w:lang w:val="hr-HR"/>
        </w:rPr>
        <w:t xml:space="preserve">a KM </w:t>
      </w:r>
    </w:p>
    <w:p w:rsidR="00C025DC" w:rsidRPr="00C5016E" w:rsidRDefault="00C025DC" w:rsidP="00C025DC">
      <w:pPr>
        <w:pStyle w:val="ListParagraph"/>
        <w:numPr>
          <w:ilvl w:val="0"/>
          <w:numId w:val="15"/>
        </w:numPr>
        <w:rPr>
          <w:rFonts w:ascii="Arial" w:hAnsi="Arial" w:cs="Arial"/>
          <w:lang w:val="hr-HR"/>
        </w:rPr>
      </w:pPr>
      <w:r w:rsidRPr="00C5016E">
        <w:rPr>
          <w:rFonts w:ascii="Arial" w:hAnsi="Arial" w:cs="Arial"/>
          <w:lang w:val="hr-HR"/>
        </w:rPr>
        <w:t xml:space="preserve">po rješenjima zamjenika premijera – ministra rada i socijalne politike 39 </w:t>
      </w:r>
      <w:r w:rsidR="004611A5" w:rsidRPr="00C5016E">
        <w:rPr>
          <w:rFonts w:ascii="Arial" w:hAnsi="Arial" w:cs="Arial"/>
          <w:lang w:val="hr-HR"/>
        </w:rPr>
        <w:t>tisuć</w:t>
      </w:r>
      <w:r w:rsidRPr="00C5016E">
        <w:rPr>
          <w:rFonts w:ascii="Arial" w:hAnsi="Arial" w:cs="Arial"/>
          <w:lang w:val="hr-HR"/>
        </w:rPr>
        <w:t>a KM.</w:t>
      </w:r>
    </w:p>
    <w:p w:rsidR="00C025DC" w:rsidRPr="00C5016E" w:rsidRDefault="00C025DC" w:rsidP="00C025DC">
      <w:pPr>
        <w:rPr>
          <w:rFonts w:cs="Arial"/>
        </w:rPr>
      </w:pPr>
      <w:r w:rsidRPr="00C5016E">
        <w:rPr>
          <w:rFonts w:cs="Arial"/>
        </w:rPr>
        <w:t xml:space="preserve">Na </w:t>
      </w:r>
      <w:r w:rsidR="00AF4CDD" w:rsidRPr="00C5016E">
        <w:rPr>
          <w:rFonts w:cs="Arial"/>
        </w:rPr>
        <w:t>temelju</w:t>
      </w:r>
      <w:r w:rsidRPr="00C5016E">
        <w:rPr>
          <w:rFonts w:cs="Arial"/>
        </w:rPr>
        <w:t xml:space="preserve"> odluke Vlade FBiH V.</w:t>
      </w:r>
      <w:r w:rsidR="00AF4CDD" w:rsidRPr="00C5016E">
        <w:rPr>
          <w:rFonts w:cs="Arial"/>
        </w:rPr>
        <w:t xml:space="preserve"> </w:t>
      </w:r>
      <w:r w:rsidRPr="00C5016E">
        <w:rPr>
          <w:rFonts w:cs="Arial"/>
        </w:rPr>
        <w:t>broj</w:t>
      </w:r>
      <w:r w:rsidR="00AF4CDD" w:rsidRPr="00C5016E">
        <w:rPr>
          <w:rFonts w:cs="Arial"/>
        </w:rPr>
        <w:t xml:space="preserve">: 1750/2022 od </w:t>
      </w:r>
      <w:r w:rsidRPr="00C5016E">
        <w:rPr>
          <w:rFonts w:cs="Arial"/>
        </w:rPr>
        <w:t>9.</w:t>
      </w:r>
      <w:r w:rsidR="00AF4CDD" w:rsidRPr="00C5016E">
        <w:rPr>
          <w:rFonts w:cs="Arial"/>
        </w:rPr>
        <w:t xml:space="preserve"> </w:t>
      </w:r>
      <w:r w:rsidRPr="00C5016E">
        <w:rPr>
          <w:rFonts w:cs="Arial"/>
        </w:rPr>
        <w:t>12.</w:t>
      </w:r>
      <w:r w:rsidR="00AF4CDD" w:rsidRPr="00C5016E">
        <w:rPr>
          <w:rFonts w:cs="Arial"/>
        </w:rPr>
        <w:t xml:space="preserve"> </w:t>
      </w:r>
      <w:r w:rsidRPr="00C5016E">
        <w:rPr>
          <w:rFonts w:cs="Arial"/>
        </w:rPr>
        <w:t xml:space="preserve">2022. odobrena su sredstva iz tekuće </w:t>
      </w:r>
      <w:r w:rsidR="00AF4CDD" w:rsidRPr="00C5016E">
        <w:rPr>
          <w:rFonts w:cs="Arial"/>
        </w:rPr>
        <w:t xml:space="preserve">pričuve </w:t>
      </w:r>
      <w:r w:rsidRPr="00C5016E">
        <w:rPr>
          <w:rFonts w:cs="Arial"/>
        </w:rPr>
        <w:t xml:space="preserve">za pomoć stanovništvu </w:t>
      </w:r>
      <w:r w:rsidR="00AF4CDD" w:rsidRPr="00C5016E">
        <w:rPr>
          <w:rFonts w:cs="Arial"/>
        </w:rPr>
        <w:t>uslijed</w:t>
      </w:r>
      <w:r w:rsidRPr="00C5016E">
        <w:rPr>
          <w:rFonts w:cs="Arial"/>
        </w:rPr>
        <w:t xml:space="preserve"> rasta indeksa potrošačkih cijena u iznosu od 18,7 </w:t>
      </w:r>
      <w:r w:rsidR="004611A5" w:rsidRPr="00C5016E">
        <w:rPr>
          <w:rFonts w:cs="Arial"/>
        </w:rPr>
        <w:t>milijun</w:t>
      </w:r>
      <w:r w:rsidRPr="00C5016E">
        <w:rPr>
          <w:rFonts w:cs="Arial"/>
        </w:rPr>
        <w:t xml:space="preserve">a KM. </w:t>
      </w:r>
    </w:p>
    <w:p w:rsidR="00C025DC" w:rsidRPr="00C5016E" w:rsidRDefault="00C025DC" w:rsidP="00C025DC">
      <w:pPr>
        <w:tabs>
          <w:tab w:val="left" w:pos="1701"/>
        </w:tabs>
        <w:spacing w:before="0" w:after="0"/>
        <w:rPr>
          <w:rFonts w:cs="Arial"/>
          <w:bCs/>
          <w:szCs w:val="24"/>
        </w:rPr>
      </w:pPr>
      <w:r w:rsidRPr="00C5016E">
        <w:rPr>
          <w:rFonts w:cs="Arial"/>
          <w:bCs/>
          <w:szCs w:val="24"/>
        </w:rPr>
        <w:t>Detalj</w:t>
      </w:r>
      <w:r w:rsidR="00AF4CDD" w:rsidRPr="00C5016E">
        <w:rPr>
          <w:rFonts w:cs="Arial"/>
          <w:bCs/>
          <w:szCs w:val="24"/>
        </w:rPr>
        <w:t>no</w:t>
      </w:r>
      <w:r w:rsidRPr="00C5016E">
        <w:rPr>
          <w:rFonts w:cs="Arial"/>
          <w:bCs/>
          <w:szCs w:val="24"/>
        </w:rPr>
        <w:t xml:space="preserve"> izvješ</w:t>
      </w:r>
      <w:r w:rsidR="00AF4CDD" w:rsidRPr="00C5016E">
        <w:rPr>
          <w:rFonts w:cs="Arial"/>
          <w:bCs/>
          <w:szCs w:val="24"/>
        </w:rPr>
        <w:t xml:space="preserve">će </w:t>
      </w:r>
      <w:r w:rsidRPr="00C5016E">
        <w:rPr>
          <w:rFonts w:cs="Arial"/>
          <w:bCs/>
          <w:szCs w:val="24"/>
        </w:rPr>
        <w:t xml:space="preserve">o realizaciji tekuće </w:t>
      </w:r>
      <w:r w:rsidR="00AF4CDD" w:rsidRPr="00C5016E">
        <w:rPr>
          <w:rFonts w:cs="Arial"/>
          <w:bCs/>
          <w:szCs w:val="24"/>
        </w:rPr>
        <w:t>pričuve</w:t>
      </w:r>
      <w:r w:rsidRPr="00C5016E">
        <w:rPr>
          <w:rFonts w:cs="Arial"/>
          <w:bCs/>
          <w:szCs w:val="24"/>
        </w:rPr>
        <w:t xml:space="preserve"> prikazan</w:t>
      </w:r>
      <w:r w:rsidR="00AF4CDD" w:rsidRPr="00C5016E">
        <w:rPr>
          <w:rFonts w:cs="Arial"/>
          <w:bCs/>
          <w:szCs w:val="24"/>
        </w:rPr>
        <w:t>o</w:t>
      </w:r>
      <w:r w:rsidRPr="00C5016E">
        <w:rPr>
          <w:rFonts w:cs="Arial"/>
          <w:bCs/>
          <w:szCs w:val="24"/>
        </w:rPr>
        <w:t xml:space="preserve"> je u obrascu 6. </w:t>
      </w:r>
    </w:p>
    <w:p w:rsidR="00C025DC" w:rsidRPr="00C5016E" w:rsidRDefault="00C025DC" w:rsidP="00C025DC">
      <w:pPr>
        <w:tabs>
          <w:tab w:val="left" w:pos="1701"/>
        </w:tabs>
        <w:spacing w:before="0" w:after="0"/>
        <w:rPr>
          <w:rFonts w:cs="Arial"/>
          <w:bCs/>
          <w:szCs w:val="24"/>
        </w:rPr>
      </w:pPr>
    </w:p>
    <w:p w:rsidR="00C025DC" w:rsidRPr="00C5016E" w:rsidRDefault="00C025DC" w:rsidP="00C025DC">
      <w:pPr>
        <w:pStyle w:val="Heading2"/>
        <w:rPr>
          <w:rFonts w:ascii="Arial" w:hAnsi="Arial" w:cs="Arial"/>
        </w:rPr>
      </w:pPr>
      <w:bookmarkStart w:id="88" w:name="_Toc131505226"/>
      <w:r w:rsidRPr="00C5016E">
        <w:rPr>
          <w:rFonts w:ascii="Arial" w:hAnsi="Arial" w:cs="Arial"/>
        </w:rPr>
        <w:t>Odstupanja između rashoda i izdataka odobrenih Proračunom Federacije BiH za 2022. godinu i ostvarenih u 2022. godini</w:t>
      </w:r>
      <w:bookmarkEnd w:id="88"/>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993"/>
        <w:gridCol w:w="1701"/>
        <w:gridCol w:w="1984"/>
        <w:gridCol w:w="1985"/>
        <w:gridCol w:w="2693"/>
      </w:tblGrid>
      <w:tr w:rsidR="00C5016E" w:rsidRPr="00C5016E" w:rsidTr="00C025DC">
        <w:trPr>
          <w:trHeight w:val="675"/>
        </w:trPr>
        <w:tc>
          <w:tcPr>
            <w:tcW w:w="880" w:type="dxa"/>
            <w:shd w:val="clear" w:color="auto" w:fill="auto"/>
          </w:tcPr>
          <w:p w:rsidR="00C025DC" w:rsidRPr="00C5016E" w:rsidRDefault="00C025DC" w:rsidP="00C025DC">
            <w:pPr>
              <w:tabs>
                <w:tab w:val="left" w:pos="567"/>
              </w:tabs>
              <w:rPr>
                <w:rFonts w:cs="Arial"/>
                <w:b/>
                <w:szCs w:val="24"/>
              </w:rPr>
            </w:pPr>
            <w:r w:rsidRPr="00C5016E">
              <w:rPr>
                <w:rFonts w:cs="Arial"/>
                <w:b/>
                <w:szCs w:val="24"/>
              </w:rPr>
              <w:t>Glava</w:t>
            </w:r>
          </w:p>
        </w:tc>
        <w:tc>
          <w:tcPr>
            <w:tcW w:w="993" w:type="dxa"/>
            <w:shd w:val="clear" w:color="auto" w:fill="auto"/>
            <w:hideMark/>
          </w:tcPr>
          <w:p w:rsidR="00C025DC" w:rsidRPr="00C5016E" w:rsidRDefault="00C025DC" w:rsidP="00C025DC">
            <w:pPr>
              <w:tabs>
                <w:tab w:val="left" w:pos="567"/>
              </w:tabs>
              <w:jc w:val="center"/>
              <w:rPr>
                <w:rFonts w:cs="Arial"/>
                <w:b/>
                <w:szCs w:val="24"/>
              </w:rPr>
            </w:pPr>
            <w:r w:rsidRPr="00C5016E">
              <w:rPr>
                <w:rFonts w:cs="Arial"/>
                <w:b/>
                <w:szCs w:val="24"/>
              </w:rPr>
              <w:t>Ekon. kod</w:t>
            </w:r>
          </w:p>
        </w:tc>
        <w:tc>
          <w:tcPr>
            <w:tcW w:w="1701" w:type="dxa"/>
            <w:shd w:val="clear" w:color="auto" w:fill="auto"/>
            <w:hideMark/>
          </w:tcPr>
          <w:p w:rsidR="00C025DC" w:rsidRPr="00C5016E" w:rsidRDefault="00C025DC" w:rsidP="00C025DC">
            <w:pPr>
              <w:tabs>
                <w:tab w:val="left" w:pos="567"/>
              </w:tabs>
              <w:jc w:val="center"/>
              <w:rPr>
                <w:rFonts w:cs="Arial"/>
                <w:b/>
                <w:szCs w:val="24"/>
              </w:rPr>
            </w:pPr>
            <w:r w:rsidRPr="00C5016E">
              <w:rPr>
                <w:rFonts w:cs="Arial"/>
                <w:b/>
                <w:szCs w:val="24"/>
              </w:rPr>
              <w:t>Opis ekonomskog koda</w:t>
            </w:r>
          </w:p>
        </w:tc>
        <w:tc>
          <w:tcPr>
            <w:tcW w:w="1984" w:type="dxa"/>
            <w:shd w:val="clear" w:color="auto" w:fill="auto"/>
            <w:hideMark/>
          </w:tcPr>
          <w:p w:rsidR="00C025DC" w:rsidRPr="00C5016E" w:rsidRDefault="00C025DC" w:rsidP="00C025DC">
            <w:pPr>
              <w:tabs>
                <w:tab w:val="left" w:pos="567"/>
              </w:tabs>
              <w:jc w:val="center"/>
              <w:rPr>
                <w:rFonts w:cs="Arial"/>
                <w:b/>
                <w:szCs w:val="24"/>
              </w:rPr>
            </w:pPr>
            <w:r w:rsidRPr="00C5016E">
              <w:rPr>
                <w:rFonts w:cs="Arial"/>
                <w:b/>
                <w:szCs w:val="24"/>
              </w:rPr>
              <w:t>Proračun 2022.</w:t>
            </w:r>
          </w:p>
        </w:tc>
        <w:tc>
          <w:tcPr>
            <w:tcW w:w="1985" w:type="dxa"/>
            <w:shd w:val="clear" w:color="auto" w:fill="auto"/>
            <w:hideMark/>
          </w:tcPr>
          <w:p w:rsidR="00C025DC" w:rsidRPr="00C5016E" w:rsidRDefault="00C025DC" w:rsidP="00C025DC">
            <w:pPr>
              <w:tabs>
                <w:tab w:val="left" w:pos="567"/>
              </w:tabs>
              <w:jc w:val="center"/>
              <w:rPr>
                <w:rFonts w:cs="Arial"/>
                <w:b/>
                <w:szCs w:val="24"/>
              </w:rPr>
            </w:pPr>
            <w:r w:rsidRPr="00C5016E">
              <w:rPr>
                <w:rFonts w:cs="Arial"/>
                <w:b/>
                <w:szCs w:val="24"/>
              </w:rPr>
              <w:t>Izvršenje proračuna za 2022.</w:t>
            </w:r>
          </w:p>
        </w:tc>
        <w:tc>
          <w:tcPr>
            <w:tcW w:w="2693" w:type="dxa"/>
            <w:shd w:val="clear" w:color="auto" w:fill="auto"/>
            <w:hideMark/>
          </w:tcPr>
          <w:p w:rsidR="00C025DC" w:rsidRPr="00C5016E" w:rsidRDefault="00C025DC" w:rsidP="00C025DC">
            <w:pPr>
              <w:tabs>
                <w:tab w:val="left" w:pos="567"/>
              </w:tabs>
              <w:jc w:val="center"/>
              <w:rPr>
                <w:rFonts w:cs="Arial"/>
                <w:b/>
                <w:szCs w:val="24"/>
              </w:rPr>
            </w:pPr>
            <w:r w:rsidRPr="00C5016E">
              <w:rPr>
                <w:rFonts w:cs="Arial"/>
                <w:b/>
                <w:szCs w:val="24"/>
              </w:rPr>
              <w:t>Obrazloženje</w:t>
            </w:r>
          </w:p>
        </w:tc>
      </w:tr>
      <w:tr w:rsidR="00C5016E" w:rsidRPr="00C5016E" w:rsidTr="00C025DC">
        <w:trPr>
          <w:trHeight w:val="1550"/>
        </w:trPr>
        <w:tc>
          <w:tcPr>
            <w:tcW w:w="880" w:type="dxa"/>
            <w:shd w:val="clear" w:color="auto" w:fill="auto"/>
          </w:tcPr>
          <w:p w:rsidR="00C025DC" w:rsidRPr="00C5016E" w:rsidRDefault="00C025DC" w:rsidP="00C025DC">
            <w:pPr>
              <w:tabs>
                <w:tab w:val="left" w:pos="567"/>
              </w:tabs>
              <w:rPr>
                <w:rFonts w:cs="Arial"/>
                <w:szCs w:val="24"/>
              </w:rPr>
            </w:pPr>
            <w:r w:rsidRPr="00C5016E">
              <w:rPr>
                <w:rFonts w:cs="Arial"/>
                <w:szCs w:val="24"/>
              </w:rPr>
              <w:t>1801</w:t>
            </w:r>
          </w:p>
        </w:tc>
        <w:tc>
          <w:tcPr>
            <w:tcW w:w="993" w:type="dxa"/>
            <w:shd w:val="clear" w:color="auto" w:fill="auto"/>
          </w:tcPr>
          <w:p w:rsidR="00C025DC" w:rsidRPr="00C5016E" w:rsidRDefault="00C025DC" w:rsidP="00C025DC">
            <w:pPr>
              <w:tabs>
                <w:tab w:val="left" w:pos="567"/>
              </w:tabs>
              <w:rPr>
                <w:rFonts w:cs="Arial"/>
                <w:szCs w:val="24"/>
              </w:rPr>
            </w:pPr>
            <w:r w:rsidRPr="00C5016E">
              <w:rPr>
                <w:rFonts w:cs="Arial"/>
                <w:szCs w:val="24"/>
              </w:rPr>
              <w:t>615</w:t>
            </w:r>
          </w:p>
        </w:tc>
        <w:tc>
          <w:tcPr>
            <w:tcW w:w="1701" w:type="dxa"/>
            <w:shd w:val="clear" w:color="auto" w:fill="auto"/>
          </w:tcPr>
          <w:p w:rsidR="00C025DC" w:rsidRPr="00C5016E" w:rsidRDefault="00C025DC" w:rsidP="00C025DC">
            <w:pPr>
              <w:tabs>
                <w:tab w:val="left" w:pos="567"/>
              </w:tabs>
              <w:rPr>
                <w:rFonts w:cs="Arial"/>
                <w:szCs w:val="24"/>
              </w:rPr>
            </w:pPr>
            <w:r w:rsidRPr="00C5016E">
              <w:rPr>
                <w:rFonts w:cs="Arial"/>
                <w:szCs w:val="24"/>
              </w:rPr>
              <w:t xml:space="preserve">Kapitalni transferi </w:t>
            </w:r>
          </w:p>
        </w:tc>
        <w:tc>
          <w:tcPr>
            <w:tcW w:w="1984" w:type="dxa"/>
            <w:shd w:val="clear" w:color="auto" w:fill="auto"/>
          </w:tcPr>
          <w:p w:rsidR="00C025DC" w:rsidRPr="00C5016E" w:rsidRDefault="00C025DC" w:rsidP="00C025DC">
            <w:pPr>
              <w:tabs>
                <w:tab w:val="left" w:pos="567"/>
              </w:tabs>
              <w:jc w:val="right"/>
              <w:rPr>
                <w:rFonts w:cs="Arial"/>
                <w:szCs w:val="24"/>
              </w:rPr>
            </w:pPr>
            <w:r w:rsidRPr="00C5016E">
              <w:rPr>
                <w:rFonts w:cs="Arial"/>
                <w:szCs w:val="24"/>
              </w:rPr>
              <w:t>260.000.000,00</w:t>
            </w:r>
          </w:p>
        </w:tc>
        <w:tc>
          <w:tcPr>
            <w:tcW w:w="1985" w:type="dxa"/>
            <w:shd w:val="clear" w:color="auto" w:fill="auto"/>
          </w:tcPr>
          <w:p w:rsidR="00C025DC" w:rsidRPr="00C5016E" w:rsidRDefault="00C025DC" w:rsidP="00C025DC">
            <w:pPr>
              <w:tabs>
                <w:tab w:val="left" w:pos="567"/>
              </w:tabs>
              <w:jc w:val="right"/>
              <w:rPr>
                <w:rFonts w:cs="Arial"/>
                <w:szCs w:val="24"/>
              </w:rPr>
            </w:pPr>
            <w:r w:rsidRPr="00C5016E">
              <w:rPr>
                <w:rFonts w:cs="Arial"/>
                <w:szCs w:val="24"/>
              </w:rPr>
              <w:t>60.019.721,00</w:t>
            </w:r>
          </w:p>
        </w:tc>
        <w:tc>
          <w:tcPr>
            <w:tcW w:w="2693" w:type="dxa"/>
            <w:shd w:val="clear" w:color="auto" w:fill="auto"/>
          </w:tcPr>
          <w:p w:rsidR="00C025DC" w:rsidRPr="00C5016E" w:rsidRDefault="00C025DC" w:rsidP="00B942E6">
            <w:pPr>
              <w:jc w:val="left"/>
              <w:rPr>
                <w:rFonts w:cs="Arial"/>
                <w:szCs w:val="24"/>
              </w:rPr>
            </w:pPr>
            <w:r w:rsidRPr="00C5016E">
              <w:rPr>
                <w:rFonts w:cs="Arial"/>
                <w:szCs w:val="24"/>
              </w:rPr>
              <w:t xml:space="preserve">Prema Zakonu o cestama u Federaciji BiH („Službene novine Federacije BiH“, br. 12/10,16/10 i 66/13),  upravljanje autocesta i brzih cesta je u nadležnosti JP Autoceste FBiH, a </w:t>
            </w:r>
            <w:r w:rsidRPr="00C5016E">
              <w:rPr>
                <w:rFonts w:cs="Arial"/>
                <w:szCs w:val="24"/>
              </w:rPr>
              <w:lastRenderedPageBreak/>
              <w:t>magistralni</w:t>
            </w:r>
            <w:r w:rsidR="00AF4CDD" w:rsidRPr="00C5016E">
              <w:rPr>
                <w:rFonts w:cs="Arial"/>
                <w:szCs w:val="24"/>
              </w:rPr>
              <w:t>m</w:t>
            </w:r>
            <w:r w:rsidRPr="00C5016E">
              <w:rPr>
                <w:rFonts w:cs="Arial"/>
                <w:szCs w:val="24"/>
              </w:rPr>
              <w:t xml:space="preserve"> cesta</w:t>
            </w:r>
            <w:r w:rsidR="00AF4CDD" w:rsidRPr="00C5016E">
              <w:rPr>
                <w:rFonts w:cs="Arial"/>
                <w:szCs w:val="24"/>
              </w:rPr>
              <w:t>ma</w:t>
            </w:r>
            <w:r w:rsidRPr="00C5016E">
              <w:rPr>
                <w:rFonts w:cs="Arial"/>
                <w:szCs w:val="24"/>
              </w:rPr>
              <w:t xml:space="preserve"> </w:t>
            </w:r>
            <w:r w:rsidR="00AF4CDD" w:rsidRPr="00C5016E">
              <w:rPr>
                <w:rFonts w:cs="Arial"/>
                <w:szCs w:val="24"/>
              </w:rPr>
              <w:t xml:space="preserve">upravljaju </w:t>
            </w:r>
            <w:r w:rsidRPr="00C5016E">
              <w:rPr>
                <w:rFonts w:cs="Arial"/>
                <w:szCs w:val="24"/>
              </w:rPr>
              <w:t>JP Ceste Federacije BiH d.o.o. Sarajevo.</w:t>
            </w:r>
            <w:r w:rsidRPr="00C5016E">
              <w:rPr>
                <w:szCs w:val="24"/>
              </w:rPr>
              <w:t xml:space="preserve"> </w:t>
            </w:r>
            <w:r w:rsidRPr="00C5016E">
              <w:rPr>
                <w:rFonts w:cs="Arial"/>
                <w:szCs w:val="24"/>
              </w:rPr>
              <w:t>Sve poslove upravljanja, građenja, rekonstrukcije, održavanja i zaštite autocesta i magistralnih cesta obavljaju upravitelji JP Autoceste FBiH i JP Ceste FBiH. Na temelju navedene zakonske obveze prilikom planiranja Kapitalnog transfera za izgradnju autocesta i brzih cesta projekti su</w:t>
            </w:r>
            <w:r w:rsidR="00AF4CDD" w:rsidRPr="00C5016E">
              <w:rPr>
                <w:rFonts w:cs="Arial"/>
                <w:szCs w:val="24"/>
              </w:rPr>
              <w:t xml:space="preserve"> se morali planirati u skladu s</w:t>
            </w:r>
            <w:r w:rsidRPr="00C5016E">
              <w:rPr>
                <w:rFonts w:cs="Arial"/>
                <w:szCs w:val="24"/>
              </w:rPr>
              <w:t xml:space="preserve"> pisanim planovima i zahtjev</w:t>
            </w:r>
            <w:r w:rsidR="00AF4CDD" w:rsidRPr="00C5016E">
              <w:rPr>
                <w:rFonts w:cs="Arial"/>
                <w:szCs w:val="24"/>
              </w:rPr>
              <w:t>ima upravitelja cesta za 2022.</w:t>
            </w:r>
            <w:r w:rsidRPr="00C5016E">
              <w:rPr>
                <w:rFonts w:cs="Arial"/>
                <w:szCs w:val="24"/>
              </w:rPr>
              <w:t xml:space="preserve"> Prijedlog Kapitalnih transfera za izgradnju autocesta i brzih cesta je sačinjen na </w:t>
            </w:r>
            <w:r w:rsidR="00AF4CDD" w:rsidRPr="00C5016E">
              <w:rPr>
                <w:rFonts w:cs="Arial"/>
                <w:szCs w:val="24"/>
              </w:rPr>
              <w:t>temelju</w:t>
            </w:r>
            <w:r w:rsidRPr="00C5016E">
              <w:rPr>
                <w:rFonts w:cs="Arial"/>
                <w:szCs w:val="24"/>
              </w:rPr>
              <w:t xml:space="preserve"> zahtjeva i planova zakonskih upravitelja cesta, usvojenog proračun</w:t>
            </w:r>
            <w:r w:rsidR="00AF4CDD" w:rsidRPr="00C5016E">
              <w:rPr>
                <w:rFonts w:cs="Arial"/>
                <w:szCs w:val="24"/>
              </w:rPr>
              <w:t>a za 2022.</w:t>
            </w:r>
            <w:r w:rsidRPr="00C5016E">
              <w:rPr>
                <w:rFonts w:cs="Arial"/>
                <w:szCs w:val="24"/>
              </w:rPr>
              <w:t>, kao i izvršenih kon</w:t>
            </w:r>
            <w:r w:rsidR="00AF4CDD" w:rsidRPr="00C5016E">
              <w:rPr>
                <w:rFonts w:cs="Arial"/>
                <w:szCs w:val="24"/>
              </w:rPr>
              <w:t>z</w:t>
            </w:r>
            <w:r w:rsidRPr="00C5016E">
              <w:rPr>
                <w:rFonts w:cs="Arial"/>
                <w:szCs w:val="24"/>
              </w:rPr>
              <w:t xml:space="preserve">ultacija i uputa iz Ureda </w:t>
            </w:r>
            <w:r w:rsidR="00AF4CDD" w:rsidRPr="00C5016E">
              <w:rPr>
                <w:rFonts w:cs="Arial"/>
                <w:szCs w:val="24"/>
              </w:rPr>
              <w:t xml:space="preserve">premijera </w:t>
            </w:r>
            <w:r w:rsidRPr="00C5016E">
              <w:rPr>
                <w:rFonts w:cs="Arial"/>
                <w:szCs w:val="24"/>
              </w:rPr>
              <w:t>Vlade FBiH. Kada je u pitanju dinamik</w:t>
            </w:r>
            <w:r w:rsidR="00AF4CDD" w:rsidRPr="00C5016E">
              <w:rPr>
                <w:rFonts w:cs="Arial"/>
                <w:szCs w:val="24"/>
              </w:rPr>
              <w:t>a</w:t>
            </w:r>
            <w:r w:rsidRPr="00C5016E">
              <w:rPr>
                <w:rFonts w:cs="Arial"/>
                <w:szCs w:val="24"/>
              </w:rPr>
              <w:t xml:space="preserve"> utroška sredstava to zavisi od faze implementacije po projektima. Naime, neki projekti su u fazi izrade projektne dokumentacije ili eksproprijacije nekretnina i zbog toga je kod njih manja </w:t>
            </w:r>
            <w:r w:rsidRPr="00C5016E">
              <w:rPr>
                <w:rFonts w:cs="Arial"/>
                <w:szCs w:val="24"/>
              </w:rPr>
              <w:lastRenderedPageBreak/>
              <w:t>realizacija sredstava, dok su neki projekti u fazi izvođenja radova na terenu i kod njih je značajno veća realizacija. Radi se o velikim infrastrukturnim projektima čija realizacija zaht</w:t>
            </w:r>
            <w:r w:rsidR="00B942E6" w:rsidRPr="00C5016E">
              <w:rPr>
                <w:rFonts w:cs="Arial"/>
                <w:szCs w:val="24"/>
              </w:rPr>
              <w:t>i</w:t>
            </w:r>
            <w:r w:rsidRPr="00C5016E">
              <w:rPr>
                <w:rFonts w:cs="Arial"/>
                <w:szCs w:val="24"/>
              </w:rPr>
              <w:t>jeva o</w:t>
            </w:r>
            <w:r w:rsidR="00B942E6" w:rsidRPr="00C5016E">
              <w:rPr>
                <w:rFonts w:cs="Arial"/>
                <w:szCs w:val="24"/>
              </w:rPr>
              <w:t>psežnu</w:t>
            </w:r>
            <w:r w:rsidRPr="00C5016E">
              <w:rPr>
                <w:rFonts w:cs="Arial"/>
                <w:szCs w:val="24"/>
              </w:rPr>
              <w:t xml:space="preserve"> pripremu u pogledu izrade projektne dokumentacije od strane projektanata, eksproprijacije nekretnina od strane općina, pribavljanja dozvola i suglasnosti od različitih institucija, provođenja tendera za radove i nadzor od strane upravitelja cesta, a tek onda izvođenje radova na terenu.</w:t>
            </w:r>
            <w:r w:rsidR="00B942E6" w:rsidRPr="00C5016E">
              <w:rPr>
                <w:rFonts w:cs="Arial"/>
                <w:szCs w:val="24"/>
              </w:rPr>
              <w:t xml:space="preserve"> </w:t>
            </w:r>
            <w:r w:rsidRPr="00C5016E">
              <w:rPr>
                <w:rFonts w:cs="Arial"/>
                <w:szCs w:val="24"/>
              </w:rPr>
              <w:t xml:space="preserve">Sve navedene postupke potrebno je provesti </w:t>
            </w:r>
            <w:r w:rsidR="00B942E6" w:rsidRPr="00C5016E">
              <w:rPr>
                <w:rFonts w:cs="Arial"/>
                <w:szCs w:val="24"/>
              </w:rPr>
              <w:t>sukladno</w:t>
            </w:r>
            <w:r w:rsidRPr="00C5016E">
              <w:rPr>
                <w:rFonts w:cs="Arial"/>
                <w:szCs w:val="24"/>
              </w:rPr>
              <w:t xml:space="preserve"> zakonskim procedurama i zato često navedene pripremne aktivnosti traju duže od samog izvođenja radova. Zbog toga je realizacija sredstava manja od odobrenog iznosa sredstava.</w:t>
            </w:r>
          </w:p>
        </w:tc>
      </w:tr>
      <w:tr w:rsidR="00C5016E" w:rsidRPr="00C5016E" w:rsidTr="00C025DC">
        <w:trPr>
          <w:trHeight w:val="4109"/>
        </w:trPr>
        <w:tc>
          <w:tcPr>
            <w:tcW w:w="880" w:type="dxa"/>
            <w:shd w:val="clear" w:color="auto" w:fill="auto"/>
          </w:tcPr>
          <w:p w:rsidR="00C025DC" w:rsidRPr="00C5016E" w:rsidRDefault="00C025DC" w:rsidP="00C025DC">
            <w:pPr>
              <w:tabs>
                <w:tab w:val="left" w:pos="567"/>
              </w:tabs>
              <w:rPr>
                <w:rFonts w:cs="Arial"/>
                <w:szCs w:val="24"/>
              </w:rPr>
            </w:pPr>
            <w:r w:rsidRPr="00C5016E">
              <w:rPr>
                <w:rFonts w:cs="Arial"/>
                <w:szCs w:val="24"/>
              </w:rPr>
              <w:lastRenderedPageBreak/>
              <w:t>3201</w:t>
            </w:r>
          </w:p>
        </w:tc>
        <w:tc>
          <w:tcPr>
            <w:tcW w:w="993" w:type="dxa"/>
            <w:shd w:val="clear" w:color="auto" w:fill="auto"/>
          </w:tcPr>
          <w:p w:rsidR="00C025DC" w:rsidRPr="00C5016E" w:rsidRDefault="00C025DC" w:rsidP="00C025DC">
            <w:pPr>
              <w:tabs>
                <w:tab w:val="left" w:pos="567"/>
              </w:tabs>
              <w:rPr>
                <w:rFonts w:cs="Arial"/>
                <w:szCs w:val="24"/>
              </w:rPr>
            </w:pPr>
            <w:r w:rsidRPr="00C5016E">
              <w:rPr>
                <w:rFonts w:cs="Arial"/>
                <w:szCs w:val="24"/>
              </w:rPr>
              <w:t>6142</w:t>
            </w:r>
          </w:p>
        </w:tc>
        <w:tc>
          <w:tcPr>
            <w:tcW w:w="1701" w:type="dxa"/>
            <w:shd w:val="clear" w:color="auto" w:fill="auto"/>
          </w:tcPr>
          <w:p w:rsidR="00C025DC" w:rsidRPr="00C5016E" w:rsidRDefault="00C025DC" w:rsidP="00C025DC">
            <w:pPr>
              <w:tabs>
                <w:tab w:val="left" w:pos="567"/>
              </w:tabs>
              <w:rPr>
                <w:rFonts w:cs="Arial"/>
                <w:szCs w:val="24"/>
              </w:rPr>
            </w:pPr>
            <w:r w:rsidRPr="00C5016E">
              <w:rPr>
                <w:rFonts w:cs="Arial"/>
                <w:szCs w:val="24"/>
              </w:rPr>
              <w:t>Tekući transferi pojedincima – za invalidnine</w:t>
            </w:r>
          </w:p>
        </w:tc>
        <w:tc>
          <w:tcPr>
            <w:tcW w:w="1984" w:type="dxa"/>
            <w:shd w:val="clear" w:color="auto" w:fill="auto"/>
          </w:tcPr>
          <w:p w:rsidR="00C025DC" w:rsidRPr="00C5016E" w:rsidRDefault="00C025DC" w:rsidP="00C025DC">
            <w:pPr>
              <w:tabs>
                <w:tab w:val="left" w:pos="567"/>
              </w:tabs>
              <w:rPr>
                <w:rFonts w:cs="Arial"/>
                <w:szCs w:val="24"/>
              </w:rPr>
            </w:pPr>
            <w:r w:rsidRPr="00C5016E">
              <w:rPr>
                <w:rFonts w:cs="Arial"/>
                <w:szCs w:val="24"/>
              </w:rPr>
              <w:t>271.685.000,00</w:t>
            </w:r>
          </w:p>
        </w:tc>
        <w:tc>
          <w:tcPr>
            <w:tcW w:w="1985" w:type="dxa"/>
            <w:shd w:val="clear" w:color="auto" w:fill="auto"/>
          </w:tcPr>
          <w:p w:rsidR="00C025DC" w:rsidRPr="00C5016E" w:rsidRDefault="00C025DC" w:rsidP="00C025DC">
            <w:pPr>
              <w:tabs>
                <w:tab w:val="left" w:pos="567"/>
              </w:tabs>
              <w:rPr>
                <w:rFonts w:cs="Arial"/>
                <w:szCs w:val="24"/>
              </w:rPr>
            </w:pPr>
            <w:r w:rsidRPr="00C5016E">
              <w:rPr>
                <w:rFonts w:cs="Arial"/>
                <w:szCs w:val="24"/>
              </w:rPr>
              <w:t>265.860.732,00</w:t>
            </w:r>
          </w:p>
        </w:tc>
        <w:tc>
          <w:tcPr>
            <w:tcW w:w="2693" w:type="dxa"/>
            <w:shd w:val="clear" w:color="auto" w:fill="auto"/>
          </w:tcPr>
          <w:p w:rsidR="00C025DC" w:rsidRPr="00C5016E" w:rsidRDefault="00C025DC" w:rsidP="00B942E6">
            <w:pPr>
              <w:jc w:val="left"/>
              <w:rPr>
                <w:rFonts w:cs="Arial"/>
                <w:szCs w:val="24"/>
              </w:rPr>
            </w:pPr>
            <w:r w:rsidRPr="00C5016E">
              <w:rPr>
                <w:rFonts w:cs="Arial"/>
                <w:szCs w:val="24"/>
              </w:rPr>
              <w:t xml:space="preserve">Korisnici navedenog transfera su osobe s invaliditetom </w:t>
            </w:r>
            <w:r w:rsidR="00B942E6" w:rsidRPr="00C5016E">
              <w:rPr>
                <w:rFonts w:cs="Arial"/>
                <w:szCs w:val="24"/>
              </w:rPr>
              <w:t>iz domovinskog</w:t>
            </w:r>
            <w:r w:rsidRPr="00C5016E">
              <w:rPr>
                <w:rFonts w:cs="Arial"/>
                <w:szCs w:val="24"/>
              </w:rPr>
              <w:t xml:space="preserve"> rata, a uzimajući u obzir starosnu dob korisnika i izraženo povećanje smrtnih slučajeva. Shodno navedenom, sredstva su utrošena u manjem iznosu od planiranog.</w:t>
            </w:r>
          </w:p>
        </w:tc>
      </w:tr>
      <w:tr w:rsidR="00C5016E" w:rsidRPr="00C5016E" w:rsidTr="00C025DC">
        <w:trPr>
          <w:trHeight w:val="2745"/>
        </w:trPr>
        <w:tc>
          <w:tcPr>
            <w:tcW w:w="880" w:type="dxa"/>
            <w:shd w:val="clear" w:color="auto" w:fill="auto"/>
          </w:tcPr>
          <w:p w:rsidR="00C025DC" w:rsidRPr="00C5016E" w:rsidRDefault="00C025DC" w:rsidP="00C025DC">
            <w:pPr>
              <w:tabs>
                <w:tab w:val="left" w:pos="567"/>
              </w:tabs>
              <w:rPr>
                <w:rFonts w:cs="Arial"/>
                <w:szCs w:val="24"/>
              </w:rPr>
            </w:pPr>
            <w:r w:rsidRPr="00C5016E">
              <w:rPr>
                <w:rFonts w:cs="Arial"/>
                <w:szCs w:val="24"/>
              </w:rPr>
              <w:t>5101</w:t>
            </w:r>
          </w:p>
        </w:tc>
        <w:tc>
          <w:tcPr>
            <w:tcW w:w="993" w:type="dxa"/>
            <w:shd w:val="clear" w:color="auto" w:fill="auto"/>
            <w:hideMark/>
          </w:tcPr>
          <w:p w:rsidR="00C025DC" w:rsidRPr="00C5016E" w:rsidRDefault="00C025DC" w:rsidP="00C025DC">
            <w:pPr>
              <w:tabs>
                <w:tab w:val="left" w:pos="567"/>
              </w:tabs>
              <w:rPr>
                <w:rFonts w:cs="Arial"/>
                <w:szCs w:val="24"/>
              </w:rPr>
            </w:pPr>
            <w:r w:rsidRPr="00C5016E">
              <w:rPr>
                <w:rFonts w:cs="Arial"/>
                <w:szCs w:val="24"/>
              </w:rPr>
              <w:t>6141</w:t>
            </w:r>
          </w:p>
        </w:tc>
        <w:tc>
          <w:tcPr>
            <w:tcW w:w="1701" w:type="dxa"/>
            <w:shd w:val="clear" w:color="auto" w:fill="auto"/>
            <w:hideMark/>
          </w:tcPr>
          <w:p w:rsidR="00C025DC" w:rsidRPr="00C5016E" w:rsidRDefault="00C025DC" w:rsidP="00B942E6">
            <w:pPr>
              <w:tabs>
                <w:tab w:val="left" w:pos="567"/>
              </w:tabs>
              <w:jc w:val="left"/>
              <w:rPr>
                <w:rFonts w:cs="Arial"/>
                <w:szCs w:val="24"/>
              </w:rPr>
            </w:pPr>
            <w:r w:rsidRPr="00C5016E">
              <w:rPr>
                <w:rFonts w:cs="Arial"/>
                <w:szCs w:val="24"/>
              </w:rPr>
              <w:t xml:space="preserve">Tekući transferi drugim </w:t>
            </w:r>
            <w:r w:rsidR="00B942E6" w:rsidRPr="00C5016E">
              <w:rPr>
                <w:rFonts w:cs="Arial"/>
                <w:szCs w:val="24"/>
              </w:rPr>
              <w:t>razinama</w:t>
            </w:r>
            <w:r w:rsidRPr="00C5016E">
              <w:rPr>
                <w:rFonts w:cs="Arial"/>
                <w:szCs w:val="24"/>
              </w:rPr>
              <w:t xml:space="preserve"> vlasti i fondovima-Projekat zapošljavanja</w:t>
            </w:r>
          </w:p>
        </w:tc>
        <w:tc>
          <w:tcPr>
            <w:tcW w:w="1984" w:type="dxa"/>
            <w:shd w:val="clear" w:color="auto" w:fill="auto"/>
            <w:hideMark/>
          </w:tcPr>
          <w:p w:rsidR="00C025DC" w:rsidRPr="00C5016E" w:rsidRDefault="00C025DC" w:rsidP="00C025DC">
            <w:pPr>
              <w:tabs>
                <w:tab w:val="left" w:pos="567"/>
              </w:tabs>
              <w:rPr>
                <w:rFonts w:cs="Arial"/>
                <w:szCs w:val="24"/>
              </w:rPr>
            </w:pPr>
            <w:r w:rsidRPr="00C5016E">
              <w:rPr>
                <w:rFonts w:cs="Arial"/>
                <w:szCs w:val="24"/>
              </w:rPr>
              <w:t>9.779.150,00</w:t>
            </w:r>
          </w:p>
        </w:tc>
        <w:tc>
          <w:tcPr>
            <w:tcW w:w="1985" w:type="dxa"/>
            <w:shd w:val="clear" w:color="auto" w:fill="auto"/>
            <w:hideMark/>
          </w:tcPr>
          <w:p w:rsidR="00C025DC" w:rsidRPr="00C5016E" w:rsidRDefault="00C025DC" w:rsidP="00C025DC">
            <w:pPr>
              <w:tabs>
                <w:tab w:val="left" w:pos="567"/>
              </w:tabs>
              <w:rPr>
                <w:rFonts w:cs="Arial"/>
                <w:szCs w:val="24"/>
              </w:rPr>
            </w:pPr>
            <w:r w:rsidRPr="00C5016E">
              <w:rPr>
                <w:rFonts w:cs="Arial"/>
                <w:szCs w:val="24"/>
              </w:rPr>
              <w:t>0</w:t>
            </w:r>
          </w:p>
          <w:p w:rsidR="00C025DC" w:rsidRPr="00C5016E" w:rsidRDefault="00C025DC" w:rsidP="00C025DC">
            <w:pPr>
              <w:tabs>
                <w:tab w:val="left" w:pos="567"/>
              </w:tabs>
              <w:rPr>
                <w:rFonts w:cs="Arial"/>
                <w:szCs w:val="24"/>
              </w:rPr>
            </w:pPr>
          </w:p>
        </w:tc>
        <w:tc>
          <w:tcPr>
            <w:tcW w:w="2693" w:type="dxa"/>
            <w:shd w:val="clear" w:color="auto" w:fill="auto"/>
            <w:hideMark/>
          </w:tcPr>
          <w:p w:rsidR="00C025DC" w:rsidRPr="00C5016E" w:rsidRDefault="00C025DC" w:rsidP="00B942E6">
            <w:pPr>
              <w:tabs>
                <w:tab w:val="left" w:pos="567"/>
              </w:tabs>
              <w:jc w:val="left"/>
              <w:rPr>
                <w:rFonts w:cs="Arial"/>
                <w:szCs w:val="24"/>
              </w:rPr>
            </w:pPr>
            <w:r w:rsidRPr="00C5016E">
              <w:rPr>
                <w:rFonts w:cs="Arial"/>
                <w:szCs w:val="24"/>
              </w:rPr>
              <w:t>Sredstava nisu utrošena iz razloga što Sporazum o zajmu između države Bosne i Hercegovine i Svjetske banke nije prošao verifikaciju, odnosno propisane procedure predviđene za međunarodne ugovore  na državno</w:t>
            </w:r>
            <w:r w:rsidR="00B942E6" w:rsidRPr="00C5016E">
              <w:rPr>
                <w:rFonts w:cs="Arial"/>
                <w:szCs w:val="24"/>
              </w:rPr>
              <w:t>j</w:t>
            </w:r>
            <w:r w:rsidRPr="00C5016E">
              <w:rPr>
                <w:rFonts w:cs="Arial"/>
                <w:szCs w:val="24"/>
              </w:rPr>
              <w:t xml:space="preserve"> </w:t>
            </w:r>
            <w:r w:rsidR="00B942E6" w:rsidRPr="00C5016E">
              <w:rPr>
                <w:rFonts w:cs="Arial"/>
                <w:szCs w:val="24"/>
              </w:rPr>
              <w:t>razini,</w:t>
            </w:r>
            <w:r w:rsidRPr="00C5016E">
              <w:rPr>
                <w:rFonts w:cs="Arial"/>
                <w:szCs w:val="24"/>
              </w:rPr>
              <w:t xml:space="preserve"> a zbog neuspostavljanja Vijeća ministara u 2022. godini.</w:t>
            </w:r>
          </w:p>
        </w:tc>
      </w:tr>
      <w:tr w:rsidR="00C5016E" w:rsidRPr="00C5016E" w:rsidTr="00C025DC">
        <w:trPr>
          <w:trHeight w:val="2745"/>
        </w:trPr>
        <w:tc>
          <w:tcPr>
            <w:tcW w:w="880" w:type="dxa"/>
            <w:shd w:val="clear" w:color="auto" w:fill="auto"/>
          </w:tcPr>
          <w:p w:rsidR="00C025DC" w:rsidRPr="00C5016E" w:rsidRDefault="00C025DC" w:rsidP="00C025DC">
            <w:pPr>
              <w:tabs>
                <w:tab w:val="left" w:pos="567"/>
              </w:tabs>
              <w:rPr>
                <w:rFonts w:cs="Arial"/>
                <w:szCs w:val="24"/>
              </w:rPr>
            </w:pPr>
            <w:r w:rsidRPr="00C5016E">
              <w:rPr>
                <w:rFonts w:cs="Arial"/>
                <w:szCs w:val="24"/>
              </w:rPr>
              <w:t>5101</w:t>
            </w:r>
          </w:p>
          <w:p w:rsidR="00C025DC" w:rsidRPr="00C5016E" w:rsidRDefault="00C025DC" w:rsidP="00C025DC">
            <w:pPr>
              <w:tabs>
                <w:tab w:val="left" w:pos="567"/>
              </w:tabs>
              <w:rPr>
                <w:rFonts w:cs="Arial"/>
                <w:szCs w:val="24"/>
                <w:highlight w:val="yellow"/>
              </w:rPr>
            </w:pPr>
          </w:p>
        </w:tc>
        <w:tc>
          <w:tcPr>
            <w:tcW w:w="993" w:type="dxa"/>
            <w:shd w:val="clear" w:color="auto" w:fill="auto"/>
          </w:tcPr>
          <w:p w:rsidR="00C025DC" w:rsidRPr="00C5016E" w:rsidRDefault="00C025DC" w:rsidP="00C025DC">
            <w:pPr>
              <w:tabs>
                <w:tab w:val="left" w:pos="567"/>
              </w:tabs>
              <w:rPr>
                <w:rFonts w:cs="Arial"/>
                <w:szCs w:val="24"/>
              </w:rPr>
            </w:pPr>
            <w:r w:rsidRPr="00C5016E">
              <w:rPr>
                <w:rFonts w:cs="Arial"/>
                <w:szCs w:val="24"/>
              </w:rPr>
              <w:t>6141</w:t>
            </w:r>
          </w:p>
        </w:tc>
        <w:tc>
          <w:tcPr>
            <w:tcW w:w="1701" w:type="dxa"/>
            <w:shd w:val="clear" w:color="auto" w:fill="auto"/>
          </w:tcPr>
          <w:p w:rsidR="00C025DC" w:rsidRPr="00C5016E" w:rsidRDefault="00C025DC" w:rsidP="00C025DC">
            <w:pPr>
              <w:tabs>
                <w:tab w:val="left" w:pos="567"/>
              </w:tabs>
              <w:jc w:val="left"/>
              <w:rPr>
                <w:rFonts w:cs="Arial"/>
                <w:szCs w:val="24"/>
              </w:rPr>
            </w:pPr>
            <w:r w:rsidRPr="00C5016E">
              <w:rPr>
                <w:rFonts w:cs="Arial"/>
                <w:szCs w:val="24"/>
              </w:rPr>
              <w:t xml:space="preserve">Tekući transferi drugim </w:t>
            </w:r>
            <w:r w:rsidR="00B942E6" w:rsidRPr="00C5016E">
              <w:rPr>
                <w:rFonts w:cs="Arial"/>
                <w:szCs w:val="24"/>
              </w:rPr>
              <w:t>razinama</w:t>
            </w:r>
            <w:r w:rsidRPr="00C5016E">
              <w:rPr>
                <w:rFonts w:cs="Arial"/>
                <w:szCs w:val="24"/>
              </w:rPr>
              <w:t xml:space="preserve"> vlasti i fondovima- Provedba zakona o roditeljima njegovateljima u Federaciji BiH</w:t>
            </w:r>
          </w:p>
        </w:tc>
        <w:tc>
          <w:tcPr>
            <w:tcW w:w="1984" w:type="dxa"/>
            <w:shd w:val="clear" w:color="auto" w:fill="auto"/>
          </w:tcPr>
          <w:p w:rsidR="00C025DC" w:rsidRPr="00C5016E" w:rsidRDefault="00C025DC" w:rsidP="00C025DC">
            <w:pPr>
              <w:tabs>
                <w:tab w:val="left" w:pos="567"/>
              </w:tabs>
              <w:rPr>
                <w:rFonts w:cs="Arial"/>
                <w:szCs w:val="24"/>
              </w:rPr>
            </w:pPr>
            <w:r w:rsidRPr="00C5016E">
              <w:rPr>
                <w:rFonts w:cs="Arial"/>
                <w:szCs w:val="24"/>
              </w:rPr>
              <w:t>17.541.857,00</w:t>
            </w:r>
          </w:p>
        </w:tc>
        <w:tc>
          <w:tcPr>
            <w:tcW w:w="1985" w:type="dxa"/>
            <w:shd w:val="clear" w:color="auto" w:fill="auto"/>
          </w:tcPr>
          <w:p w:rsidR="00C025DC" w:rsidRPr="00C5016E" w:rsidRDefault="00C025DC" w:rsidP="00C025DC">
            <w:pPr>
              <w:tabs>
                <w:tab w:val="left" w:pos="567"/>
              </w:tabs>
              <w:rPr>
                <w:rFonts w:cs="Arial"/>
                <w:szCs w:val="24"/>
              </w:rPr>
            </w:pPr>
            <w:r w:rsidRPr="00C5016E">
              <w:rPr>
                <w:rFonts w:cs="Arial"/>
                <w:szCs w:val="24"/>
              </w:rPr>
              <w:t>0</w:t>
            </w:r>
          </w:p>
        </w:tc>
        <w:tc>
          <w:tcPr>
            <w:tcW w:w="2693" w:type="dxa"/>
            <w:shd w:val="clear" w:color="auto" w:fill="auto"/>
          </w:tcPr>
          <w:p w:rsidR="00C025DC" w:rsidRPr="00C5016E" w:rsidRDefault="00B942E6" w:rsidP="00C025DC">
            <w:pPr>
              <w:tabs>
                <w:tab w:val="left" w:pos="567"/>
              </w:tabs>
              <w:jc w:val="left"/>
              <w:rPr>
                <w:rFonts w:cs="Arial"/>
                <w:szCs w:val="24"/>
              </w:rPr>
            </w:pPr>
            <w:r w:rsidRPr="00C5016E">
              <w:rPr>
                <w:rFonts w:cs="Arial"/>
                <w:szCs w:val="24"/>
              </w:rPr>
              <w:t>S o</w:t>
            </w:r>
            <w:r w:rsidR="00C025DC" w:rsidRPr="00C5016E">
              <w:rPr>
                <w:rFonts w:cs="Arial"/>
                <w:szCs w:val="24"/>
              </w:rPr>
              <w:t>bzirom da se radi o novom Zakonu, te da roditelj njegovatelj ima sta</w:t>
            </w:r>
            <w:r w:rsidRPr="00C5016E">
              <w:rPr>
                <w:rFonts w:cs="Arial"/>
                <w:szCs w:val="24"/>
              </w:rPr>
              <w:t>tus osiguranog zaposlenika u ob</w:t>
            </w:r>
            <w:r w:rsidR="00C025DC" w:rsidRPr="00C5016E">
              <w:rPr>
                <w:rFonts w:cs="Arial"/>
                <w:szCs w:val="24"/>
              </w:rPr>
              <w:t xml:space="preserve">veznom osiguranju u skladu s propisima o obveznom osiguranju i druge nadležne institucije morale su pristupiti izmjeni svoje legislative kako bi se mogle implementirati odredbe Zakona o </w:t>
            </w:r>
            <w:r w:rsidR="00C025DC" w:rsidRPr="00C5016E">
              <w:rPr>
                <w:rFonts w:cs="Arial"/>
                <w:szCs w:val="24"/>
              </w:rPr>
              <w:lastRenderedPageBreak/>
              <w:t>roditeljima njegovateljima u Federaciji BiH. S tim u vezi došlo je do kašnjenja implementacije Zakona. Bitno je napomenuti da</w:t>
            </w:r>
            <w:r w:rsidRPr="00C5016E">
              <w:rPr>
                <w:rFonts w:cs="Arial"/>
                <w:szCs w:val="24"/>
              </w:rPr>
              <w:t xml:space="preserve"> se</w:t>
            </w:r>
            <w:r w:rsidR="00C025DC" w:rsidRPr="00C5016E">
              <w:rPr>
                <w:rFonts w:cs="Arial"/>
                <w:szCs w:val="24"/>
              </w:rPr>
              <w:t xml:space="preserve"> sredstvima plani</w:t>
            </w:r>
            <w:r w:rsidRPr="00C5016E">
              <w:rPr>
                <w:rFonts w:cs="Arial"/>
                <w:szCs w:val="24"/>
              </w:rPr>
              <w:t>ranim za ovu godinu isplaćuju</w:t>
            </w:r>
            <w:r w:rsidR="00C025DC" w:rsidRPr="00C5016E">
              <w:rPr>
                <w:rFonts w:cs="Arial"/>
                <w:szCs w:val="24"/>
              </w:rPr>
              <w:t xml:space="preserve"> i naknade iz 2022. godine.</w:t>
            </w:r>
          </w:p>
        </w:tc>
      </w:tr>
      <w:tr w:rsidR="00C5016E" w:rsidRPr="00C5016E" w:rsidTr="00C025DC">
        <w:trPr>
          <w:trHeight w:val="1550"/>
        </w:trPr>
        <w:tc>
          <w:tcPr>
            <w:tcW w:w="880" w:type="dxa"/>
            <w:shd w:val="clear" w:color="auto" w:fill="auto"/>
          </w:tcPr>
          <w:p w:rsidR="00C025DC" w:rsidRPr="00C5016E" w:rsidRDefault="00C025DC" w:rsidP="00C025DC">
            <w:pPr>
              <w:tabs>
                <w:tab w:val="left" w:pos="567"/>
              </w:tabs>
              <w:rPr>
                <w:rFonts w:cs="Arial"/>
                <w:szCs w:val="24"/>
                <w:highlight w:val="yellow"/>
              </w:rPr>
            </w:pPr>
            <w:r w:rsidRPr="00C5016E">
              <w:rPr>
                <w:rFonts w:cs="Arial"/>
                <w:szCs w:val="24"/>
              </w:rPr>
              <w:lastRenderedPageBreak/>
              <w:t>5101</w:t>
            </w:r>
          </w:p>
        </w:tc>
        <w:tc>
          <w:tcPr>
            <w:tcW w:w="993" w:type="dxa"/>
            <w:shd w:val="clear" w:color="auto" w:fill="auto"/>
          </w:tcPr>
          <w:p w:rsidR="00C025DC" w:rsidRPr="00C5016E" w:rsidRDefault="00C025DC" w:rsidP="00C025DC">
            <w:pPr>
              <w:tabs>
                <w:tab w:val="left" w:pos="567"/>
              </w:tabs>
              <w:rPr>
                <w:rFonts w:cs="Arial"/>
                <w:szCs w:val="24"/>
              </w:rPr>
            </w:pPr>
            <w:r w:rsidRPr="00C5016E">
              <w:rPr>
                <w:rFonts w:cs="Arial"/>
                <w:szCs w:val="24"/>
              </w:rPr>
              <w:t>6142</w:t>
            </w:r>
          </w:p>
        </w:tc>
        <w:tc>
          <w:tcPr>
            <w:tcW w:w="1701" w:type="dxa"/>
            <w:shd w:val="clear" w:color="auto" w:fill="auto"/>
          </w:tcPr>
          <w:p w:rsidR="00C025DC" w:rsidRPr="00C5016E" w:rsidRDefault="00C025DC" w:rsidP="00B942E6">
            <w:pPr>
              <w:tabs>
                <w:tab w:val="left" w:pos="567"/>
              </w:tabs>
              <w:jc w:val="left"/>
              <w:rPr>
                <w:rFonts w:cs="Arial"/>
                <w:szCs w:val="24"/>
              </w:rPr>
            </w:pPr>
            <w:r w:rsidRPr="00C5016E">
              <w:rPr>
                <w:rFonts w:cs="Arial"/>
                <w:szCs w:val="24"/>
              </w:rPr>
              <w:t>Tekući transferi pojedincim</w:t>
            </w:r>
            <w:r w:rsidR="00B942E6" w:rsidRPr="00C5016E">
              <w:rPr>
                <w:rFonts w:cs="Arial"/>
                <w:szCs w:val="24"/>
              </w:rPr>
              <w:t>a- Zakon o potpori  obitelji s</w:t>
            </w:r>
            <w:r w:rsidRPr="00C5016E">
              <w:rPr>
                <w:rFonts w:cs="Arial"/>
                <w:szCs w:val="24"/>
              </w:rPr>
              <w:t xml:space="preserve"> djecom u Federaciji BiH</w:t>
            </w:r>
          </w:p>
        </w:tc>
        <w:tc>
          <w:tcPr>
            <w:tcW w:w="1984" w:type="dxa"/>
            <w:shd w:val="clear" w:color="auto" w:fill="auto"/>
          </w:tcPr>
          <w:p w:rsidR="00C025DC" w:rsidRPr="00C5016E" w:rsidRDefault="00C025DC" w:rsidP="00C025DC">
            <w:pPr>
              <w:tabs>
                <w:tab w:val="left" w:pos="567"/>
              </w:tabs>
              <w:rPr>
                <w:rFonts w:cs="Arial"/>
                <w:szCs w:val="24"/>
              </w:rPr>
            </w:pPr>
            <w:r w:rsidRPr="00C5016E">
              <w:rPr>
                <w:rFonts w:cs="Arial"/>
                <w:szCs w:val="24"/>
              </w:rPr>
              <w:t>50.000.000,00</w:t>
            </w:r>
          </w:p>
        </w:tc>
        <w:tc>
          <w:tcPr>
            <w:tcW w:w="1985" w:type="dxa"/>
            <w:shd w:val="clear" w:color="auto" w:fill="auto"/>
          </w:tcPr>
          <w:p w:rsidR="00C025DC" w:rsidRPr="00C5016E" w:rsidRDefault="00C025DC" w:rsidP="00C025DC">
            <w:pPr>
              <w:tabs>
                <w:tab w:val="left" w:pos="567"/>
              </w:tabs>
              <w:rPr>
                <w:rFonts w:cs="Arial"/>
                <w:szCs w:val="24"/>
              </w:rPr>
            </w:pPr>
            <w:r w:rsidRPr="00C5016E">
              <w:rPr>
                <w:rFonts w:cs="Arial"/>
                <w:szCs w:val="24"/>
              </w:rPr>
              <w:t>0</w:t>
            </w:r>
          </w:p>
          <w:p w:rsidR="00C025DC" w:rsidRPr="00C5016E" w:rsidRDefault="00C025DC" w:rsidP="00C025DC">
            <w:pPr>
              <w:tabs>
                <w:tab w:val="left" w:pos="567"/>
              </w:tabs>
              <w:rPr>
                <w:rFonts w:cs="Arial"/>
                <w:szCs w:val="24"/>
              </w:rPr>
            </w:pPr>
          </w:p>
        </w:tc>
        <w:tc>
          <w:tcPr>
            <w:tcW w:w="2693" w:type="dxa"/>
            <w:shd w:val="clear" w:color="auto" w:fill="auto"/>
          </w:tcPr>
          <w:p w:rsidR="00C025DC" w:rsidRPr="00C5016E" w:rsidRDefault="00C025DC" w:rsidP="00B942E6">
            <w:pPr>
              <w:tabs>
                <w:tab w:val="left" w:pos="567"/>
              </w:tabs>
              <w:jc w:val="left"/>
              <w:rPr>
                <w:rFonts w:cs="Arial"/>
                <w:szCs w:val="24"/>
              </w:rPr>
            </w:pPr>
            <w:r w:rsidRPr="00C5016E">
              <w:rPr>
                <w:rFonts w:cs="Arial"/>
                <w:szCs w:val="24"/>
              </w:rPr>
              <w:t>Razlog zbog kojeg sredstva nisu utrošena je kašnjenje u rješavanju zaprimljenih zahtjeva od strane nadležnih centara za socijaln</w:t>
            </w:r>
            <w:r w:rsidR="00B942E6" w:rsidRPr="00C5016E">
              <w:rPr>
                <w:rFonts w:cs="Arial"/>
                <w:szCs w:val="24"/>
              </w:rPr>
              <w:t>u</w:t>
            </w:r>
            <w:r w:rsidRPr="00C5016E">
              <w:rPr>
                <w:rFonts w:cs="Arial"/>
                <w:szCs w:val="24"/>
              </w:rPr>
              <w:t xml:space="preserve"> </w:t>
            </w:r>
            <w:r w:rsidR="00B942E6" w:rsidRPr="00C5016E">
              <w:rPr>
                <w:rFonts w:cs="Arial"/>
                <w:szCs w:val="24"/>
              </w:rPr>
              <w:t>skrb. Zakon je počeo s</w:t>
            </w:r>
            <w:r w:rsidRPr="00C5016E">
              <w:rPr>
                <w:rFonts w:cs="Arial"/>
                <w:szCs w:val="24"/>
              </w:rPr>
              <w:t xml:space="preserve"> primjenom 9.</w:t>
            </w:r>
            <w:r w:rsidR="00B942E6" w:rsidRPr="00C5016E">
              <w:rPr>
                <w:rFonts w:cs="Arial"/>
                <w:szCs w:val="24"/>
              </w:rPr>
              <w:t xml:space="preserve"> </w:t>
            </w:r>
            <w:r w:rsidRPr="00C5016E">
              <w:rPr>
                <w:rFonts w:cs="Arial"/>
                <w:szCs w:val="24"/>
              </w:rPr>
              <w:t>10.</w:t>
            </w:r>
            <w:r w:rsidR="00B942E6" w:rsidRPr="00C5016E">
              <w:rPr>
                <w:rFonts w:cs="Arial"/>
                <w:szCs w:val="24"/>
              </w:rPr>
              <w:t xml:space="preserve"> </w:t>
            </w:r>
            <w:r w:rsidRPr="00C5016E">
              <w:rPr>
                <w:rFonts w:cs="Arial"/>
                <w:szCs w:val="24"/>
              </w:rPr>
              <w:t>2022. i nadležni centri za socijaln</w:t>
            </w:r>
            <w:r w:rsidR="00B942E6" w:rsidRPr="00C5016E">
              <w:rPr>
                <w:rFonts w:cs="Arial"/>
                <w:szCs w:val="24"/>
              </w:rPr>
              <w:t>u</w:t>
            </w:r>
            <w:r w:rsidRPr="00C5016E">
              <w:rPr>
                <w:rFonts w:cs="Arial"/>
                <w:szCs w:val="24"/>
              </w:rPr>
              <w:t xml:space="preserve"> </w:t>
            </w:r>
            <w:r w:rsidR="00B942E6" w:rsidRPr="00C5016E">
              <w:rPr>
                <w:rFonts w:cs="Arial"/>
                <w:szCs w:val="24"/>
              </w:rPr>
              <w:t>skrb</w:t>
            </w:r>
            <w:r w:rsidRPr="00C5016E">
              <w:rPr>
                <w:rFonts w:cs="Arial"/>
                <w:szCs w:val="24"/>
              </w:rPr>
              <w:t>/službe socijalne zaštite koji su prvost</w:t>
            </w:r>
            <w:r w:rsidR="00B942E6" w:rsidRPr="00C5016E">
              <w:rPr>
                <w:rFonts w:cs="Arial"/>
                <w:szCs w:val="24"/>
              </w:rPr>
              <w:t>epeni organi su se suočili s</w:t>
            </w:r>
            <w:r w:rsidRPr="00C5016E">
              <w:rPr>
                <w:rFonts w:cs="Arial"/>
                <w:szCs w:val="24"/>
              </w:rPr>
              <w:t xml:space="preserve"> ogromnim problemima, počevši prvenstveno od nedovoljnih kapaciteta u pogledu ljudskih i </w:t>
            </w:r>
            <w:r w:rsidR="00B942E6" w:rsidRPr="00C5016E">
              <w:rPr>
                <w:rFonts w:cs="Arial"/>
                <w:szCs w:val="24"/>
              </w:rPr>
              <w:t>materijalnih</w:t>
            </w:r>
            <w:r w:rsidRPr="00C5016E">
              <w:rPr>
                <w:rFonts w:cs="Arial"/>
                <w:szCs w:val="24"/>
              </w:rPr>
              <w:t xml:space="preserve"> resursa. Iz navedenog je proizašlo kašnjenje u obradi svih zahtjeva odnosno kašnjenje u donošenju rješe</w:t>
            </w:r>
            <w:r w:rsidR="00B942E6" w:rsidRPr="00C5016E">
              <w:rPr>
                <w:rFonts w:cs="Arial"/>
                <w:szCs w:val="24"/>
              </w:rPr>
              <w:t>nja o priznavanju prava na dječ</w:t>
            </w:r>
            <w:r w:rsidRPr="00C5016E">
              <w:rPr>
                <w:rFonts w:cs="Arial"/>
                <w:szCs w:val="24"/>
              </w:rPr>
              <w:t>ji dodatak p</w:t>
            </w:r>
            <w:r w:rsidR="00B942E6" w:rsidRPr="00C5016E">
              <w:rPr>
                <w:rFonts w:cs="Arial"/>
                <w:szCs w:val="24"/>
              </w:rPr>
              <w:t>rema</w:t>
            </w:r>
            <w:r w:rsidRPr="00C5016E">
              <w:rPr>
                <w:rFonts w:cs="Arial"/>
                <w:szCs w:val="24"/>
              </w:rPr>
              <w:t xml:space="preserve"> </w:t>
            </w:r>
            <w:r w:rsidR="00B942E6" w:rsidRPr="00C5016E">
              <w:rPr>
                <w:rFonts w:cs="Arial"/>
                <w:szCs w:val="24"/>
              </w:rPr>
              <w:t>federalnom zakonu</w:t>
            </w:r>
            <w:r w:rsidRPr="00C5016E">
              <w:rPr>
                <w:rFonts w:cs="Arial"/>
                <w:szCs w:val="24"/>
              </w:rPr>
              <w:t xml:space="preserve">. Shodno navedenom, većina </w:t>
            </w:r>
            <w:r w:rsidR="00B942E6" w:rsidRPr="00C5016E">
              <w:rPr>
                <w:rFonts w:cs="Arial"/>
                <w:szCs w:val="24"/>
              </w:rPr>
              <w:t>podnesenih</w:t>
            </w:r>
            <w:r w:rsidRPr="00C5016E">
              <w:rPr>
                <w:rFonts w:cs="Arial"/>
                <w:szCs w:val="24"/>
              </w:rPr>
              <w:t xml:space="preserve"> zahtjeva za </w:t>
            </w:r>
            <w:r w:rsidR="00B942E6" w:rsidRPr="00C5016E">
              <w:rPr>
                <w:rFonts w:cs="Arial"/>
                <w:szCs w:val="24"/>
              </w:rPr>
              <w:t>dječji</w:t>
            </w:r>
            <w:r w:rsidRPr="00C5016E">
              <w:rPr>
                <w:rFonts w:cs="Arial"/>
                <w:szCs w:val="24"/>
              </w:rPr>
              <w:t xml:space="preserve"> dodatak po </w:t>
            </w:r>
            <w:r w:rsidR="00B942E6" w:rsidRPr="00C5016E">
              <w:rPr>
                <w:rFonts w:cs="Arial"/>
                <w:szCs w:val="24"/>
              </w:rPr>
              <w:t xml:space="preserve">federalnom zakonu </w:t>
            </w:r>
            <w:r w:rsidRPr="00C5016E">
              <w:rPr>
                <w:rFonts w:cs="Arial"/>
                <w:szCs w:val="24"/>
              </w:rPr>
              <w:t xml:space="preserve">u 2022. godini koji su </w:t>
            </w:r>
            <w:r w:rsidRPr="00C5016E">
              <w:rPr>
                <w:rFonts w:cs="Arial"/>
                <w:szCs w:val="24"/>
              </w:rPr>
              <w:lastRenderedPageBreak/>
              <w:t>pozitivno riješeni će teretiti proračun Federacije za 2023. godinu.</w:t>
            </w:r>
          </w:p>
        </w:tc>
      </w:tr>
      <w:tr w:rsidR="00C5016E" w:rsidRPr="00C5016E" w:rsidTr="00C025DC">
        <w:trPr>
          <w:trHeight w:val="2117"/>
        </w:trPr>
        <w:tc>
          <w:tcPr>
            <w:tcW w:w="880" w:type="dxa"/>
            <w:shd w:val="clear" w:color="auto" w:fill="auto"/>
          </w:tcPr>
          <w:p w:rsidR="00C025DC" w:rsidRPr="00C5016E" w:rsidRDefault="00C025DC" w:rsidP="00C025DC">
            <w:pPr>
              <w:tabs>
                <w:tab w:val="left" w:pos="567"/>
              </w:tabs>
              <w:rPr>
                <w:rFonts w:cs="Arial"/>
                <w:szCs w:val="24"/>
              </w:rPr>
            </w:pPr>
            <w:r w:rsidRPr="00C5016E">
              <w:rPr>
                <w:rFonts w:cs="Arial"/>
                <w:szCs w:val="24"/>
              </w:rPr>
              <w:lastRenderedPageBreak/>
              <w:t>5201</w:t>
            </w:r>
          </w:p>
        </w:tc>
        <w:tc>
          <w:tcPr>
            <w:tcW w:w="993" w:type="dxa"/>
            <w:shd w:val="clear" w:color="auto" w:fill="auto"/>
            <w:hideMark/>
          </w:tcPr>
          <w:p w:rsidR="00C025DC" w:rsidRPr="00C5016E" w:rsidRDefault="00C025DC" w:rsidP="00C025DC">
            <w:pPr>
              <w:tabs>
                <w:tab w:val="left" w:pos="567"/>
              </w:tabs>
              <w:rPr>
                <w:rFonts w:cs="Arial"/>
                <w:szCs w:val="24"/>
              </w:rPr>
            </w:pPr>
            <w:r w:rsidRPr="00C5016E">
              <w:rPr>
                <w:rFonts w:cs="Arial"/>
                <w:szCs w:val="24"/>
              </w:rPr>
              <w:t>6151</w:t>
            </w:r>
          </w:p>
        </w:tc>
        <w:tc>
          <w:tcPr>
            <w:tcW w:w="1701" w:type="dxa"/>
            <w:shd w:val="clear" w:color="auto" w:fill="auto"/>
            <w:hideMark/>
          </w:tcPr>
          <w:p w:rsidR="00C025DC" w:rsidRPr="00C5016E" w:rsidRDefault="00C025DC" w:rsidP="00B942E6">
            <w:pPr>
              <w:tabs>
                <w:tab w:val="left" w:pos="567"/>
              </w:tabs>
              <w:jc w:val="left"/>
              <w:rPr>
                <w:rFonts w:cs="Arial"/>
                <w:szCs w:val="24"/>
              </w:rPr>
            </w:pPr>
            <w:r w:rsidRPr="00C5016E">
              <w:rPr>
                <w:rFonts w:cs="Arial"/>
                <w:szCs w:val="24"/>
              </w:rPr>
              <w:t xml:space="preserve">Kapitalni transferi drugim </w:t>
            </w:r>
            <w:r w:rsidR="00B942E6" w:rsidRPr="00C5016E">
              <w:rPr>
                <w:rFonts w:cs="Arial"/>
                <w:szCs w:val="24"/>
              </w:rPr>
              <w:t>razinama</w:t>
            </w:r>
            <w:r w:rsidRPr="00C5016E">
              <w:rPr>
                <w:rFonts w:cs="Arial"/>
                <w:szCs w:val="24"/>
              </w:rPr>
              <w:t xml:space="preserve"> vlasti i fondovima – za izgradnju Hrvatskog narodnog kazališta Mostar</w:t>
            </w:r>
            <w:r w:rsidR="00B942E6" w:rsidRPr="00C5016E">
              <w:rPr>
                <w:rFonts w:cs="Arial"/>
                <w:szCs w:val="24"/>
              </w:rPr>
              <w:t xml:space="preserve"> </w:t>
            </w:r>
          </w:p>
        </w:tc>
        <w:tc>
          <w:tcPr>
            <w:tcW w:w="1984" w:type="dxa"/>
            <w:shd w:val="clear" w:color="auto" w:fill="auto"/>
            <w:hideMark/>
          </w:tcPr>
          <w:p w:rsidR="00C025DC" w:rsidRPr="00C5016E" w:rsidRDefault="00C025DC" w:rsidP="00C025DC">
            <w:pPr>
              <w:tabs>
                <w:tab w:val="left" w:pos="567"/>
              </w:tabs>
              <w:rPr>
                <w:rFonts w:cs="Arial"/>
                <w:szCs w:val="24"/>
              </w:rPr>
            </w:pPr>
            <w:r w:rsidRPr="00C5016E">
              <w:rPr>
                <w:rFonts w:cs="Arial"/>
                <w:szCs w:val="24"/>
              </w:rPr>
              <w:t>2.000.000,00</w:t>
            </w:r>
          </w:p>
        </w:tc>
        <w:tc>
          <w:tcPr>
            <w:tcW w:w="1985" w:type="dxa"/>
            <w:shd w:val="clear" w:color="auto" w:fill="auto"/>
            <w:hideMark/>
          </w:tcPr>
          <w:p w:rsidR="00C025DC" w:rsidRPr="00C5016E" w:rsidRDefault="00C025DC" w:rsidP="00C025DC">
            <w:pPr>
              <w:tabs>
                <w:tab w:val="left" w:pos="567"/>
              </w:tabs>
              <w:rPr>
                <w:rFonts w:cs="Arial"/>
                <w:szCs w:val="24"/>
              </w:rPr>
            </w:pPr>
            <w:r w:rsidRPr="00C5016E">
              <w:rPr>
                <w:rFonts w:cs="Arial"/>
                <w:szCs w:val="24"/>
              </w:rPr>
              <w:t>400.000,00</w:t>
            </w:r>
          </w:p>
        </w:tc>
        <w:tc>
          <w:tcPr>
            <w:tcW w:w="2693" w:type="dxa"/>
            <w:shd w:val="clear" w:color="auto" w:fill="auto"/>
            <w:hideMark/>
          </w:tcPr>
          <w:p w:rsidR="00C025DC" w:rsidRPr="00C5016E" w:rsidRDefault="00B942E6" w:rsidP="00A87702">
            <w:pPr>
              <w:tabs>
                <w:tab w:val="left" w:pos="567"/>
              </w:tabs>
              <w:jc w:val="left"/>
              <w:rPr>
                <w:rFonts w:cs="Arial"/>
                <w:szCs w:val="24"/>
              </w:rPr>
            </w:pPr>
            <w:r w:rsidRPr="00C5016E">
              <w:rPr>
                <w:rFonts w:cs="Arial"/>
                <w:szCs w:val="24"/>
              </w:rPr>
              <w:t>Sukladno</w:t>
            </w:r>
            <w:r w:rsidR="00C025DC" w:rsidRPr="00C5016E">
              <w:rPr>
                <w:rFonts w:cs="Arial"/>
                <w:szCs w:val="24"/>
              </w:rPr>
              <w:t xml:space="preserve"> član</w:t>
            </w:r>
            <w:r w:rsidRPr="00C5016E">
              <w:rPr>
                <w:rFonts w:cs="Arial"/>
                <w:szCs w:val="24"/>
              </w:rPr>
              <w:t>ku</w:t>
            </w:r>
            <w:r w:rsidR="00C025DC" w:rsidRPr="00C5016E">
              <w:rPr>
                <w:rFonts w:cs="Arial"/>
                <w:szCs w:val="24"/>
              </w:rPr>
              <w:t xml:space="preserve"> 33.  stav</w:t>
            </w:r>
            <w:r w:rsidRPr="00C5016E">
              <w:rPr>
                <w:rFonts w:cs="Arial"/>
                <w:szCs w:val="24"/>
              </w:rPr>
              <w:t>ak</w:t>
            </w:r>
            <w:r w:rsidR="00C025DC" w:rsidRPr="00C5016E">
              <w:rPr>
                <w:rFonts w:cs="Arial"/>
                <w:szCs w:val="24"/>
              </w:rPr>
              <w:t xml:space="preserve"> (4) Zakona o izvršavanju proračuna Federacije Bosne i Hercegovine za 2022. godinu („Službene novine Federacije BiH“ broj: 25/22) utvrđeno je da će se sredstva koja su određena u stav</w:t>
            </w:r>
            <w:r w:rsidRPr="00C5016E">
              <w:rPr>
                <w:rFonts w:cs="Arial"/>
                <w:szCs w:val="24"/>
              </w:rPr>
              <w:t>k</w:t>
            </w:r>
            <w:r w:rsidR="00C025DC" w:rsidRPr="00C5016E">
              <w:rPr>
                <w:rFonts w:cs="Arial"/>
                <w:szCs w:val="24"/>
              </w:rPr>
              <w:t xml:space="preserve">u (3) navedenog Zakona doznačavati sukcesivno na </w:t>
            </w:r>
            <w:r w:rsidRPr="00C5016E">
              <w:rPr>
                <w:rFonts w:cs="Arial"/>
                <w:szCs w:val="24"/>
              </w:rPr>
              <w:t>temelju</w:t>
            </w:r>
            <w:r w:rsidR="00C025DC" w:rsidRPr="00C5016E">
              <w:rPr>
                <w:rFonts w:cs="Arial"/>
                <w:szCs w:val="24"/>
              </w:rPr>
              <w:t xml:space="preserve"> programa utroška sredstava donesenih od strane Vlade. Utvrđeno je da se </w:t>
            </w:r>
            <w:r w:rsidR="00A87702" w:rsidRPr="00C5016E">
              <w:rPr>
                <w:rFonts w:cs="Arial"/>
                <w:szCs w:val="24"/>
              </w:rPr>
              <w:t xml:space="preserve">sredstva </w:t>
            </w:r>
            <w:r w:rsidR="00C025DC" w:rsidRPr="00C5016E">
              <w:rPr>
                <w:rFonts w:cs="Arial"/>
                <w:szCs w:val="24"/>
              </w:rPr>
              <w:t xml:space="preserve">dodjeljuju sukcesivno što </w:t>
            </w:r>
            <w:r w:rsidRPr="00C5016E">
              <w:rPr>
                <w:rFonts w:cs="Arial"/>
                <w:szCs w:val="24"/>
              </w:rPr>
              <w:t>je i ugovoreno i u skladu s tim</w:t>
            </w:r>
            <w:r w:rsidR="00C025DC" w:rsidRPr="00C5016E">
              <w:rPr>
                <w:rFonts w:cs="Arial"/>
                <w:szCs w:val="24"/>
              </w:rPr>
              <w:t xml:space="preserve"> se isplatila I. tranša za navedeni kapitalni transfer.</w:t>
            </w:r>
            <w:r w:rsidR="00A87702" w:rsidRPr="00C5016E">
              <w:rPr>
                <w:rFonts w:cs="Arial"/>
                <w:szCs w:val="24"/>
              </w:rPr>
              <w:t xml:space="preserve"> </w:t>
            </w:r>
          </w:p>
        </w:tc>
      </w:tr>
      <w:tr w:rsidR="00C5016E" w:rsidRPr="00C5016E" w:rsidTr="00C025DC">
        <w:trPr>
          <w:trHeight w:val="2117"/>
        </w:trPr>
        <w:tc>
          <w:tcPr>
            <w:tcW w:w="880" w:type="dxa"/>
            <w:shd w:val="clear" w:color="auto" w:fill="auto"/>
          </w:tcPr>
          <w:p w:rsidR="00C025DC" w:rsidRPr="00C5016E" w:rsidRDefault="00C025DC" w:rsidP="00C025DC">
            <w:pPr>
              <w:tabs>
                <w:tab w:val="left" w:pos="567"/>
              </w:tabs>
              <w:rPr>
                <w:rFonts w:cs="Arial"/>
                <w:szCs w:val="24"/>
              </w:rPr>
            </w:pPr>
            <w:r w:rsidRPr="00C5016E">
              <w:rPr>
                <w:rFonts w:cs="Arial"/>
                <w:szCs w:val="24"/>
              </w:rPr>
              <w:t>5201</w:t>
            </w:r>
          </w:p>
        </w:tc>
        <w:tc>
          <w:tcPr>
            <w:tcW w:w="993" w:type="dxa"/>
            <w:shd w:val="clear" w:color="auto" w:fill="auto"/>
          </w:tcPr>
          <w:p w:rsidR="00C025DC" w:rsidRPr="00C5016E" w:rsidRDefault="00C025DC" w:rsidP="00C025DC">
            <w:pPr>
              <w:tabs>
                <w:tab w:val="left" w:pos="567"/>
              </w:tabs>
              <w:rPr>
                <w:rFonts w:cs="Arial"/>
                <w:szCs w:val="24"/>
              </w:rPr>
            </w:pPr>
            <w:r w:rsidRPr="00C5016E">
              <w:rPr>
                <w:rFonts w:cs="Arial"/>
                <w:szCs w:val="24"/>
              </w:rPr>
              <w:t>6151</w:t>
            </w:r>
          </w:p>
        </w:tc>
        <w:tc>
          <w:tcPr>
            <w:tcW w:w="1701" w:type="dxa"/>
            <w:shd w:val="clear" w:color="auto" w:fill="auto"/>
          </w:tcPr>
          <w:p w:rsidR="00C025DC" w:rsidRPr="00C5016E" w:rsidRDefault="00C025DC" w:rsidP="00C025DC">
            <w:pPr>
              <w:tabs>
                <w:tab w:val="left" w:pos="567"/>
              </w:tabs>
              <w:jc w:val="left"/>
              <w:rPr>
                <w:rFonts w:cs="Arial"/>
                <w:szCs w:val="24"/>
              </w:rPr>
            </w:pPr>
            <w:r w:rsidRPr="00C5016E">
              <w:rPr>
                <w:rFonts w:cs="Arial"/>
                <w:szCs w:val="24"/>
              </w:rPr>
              <w:t xml:space="preserve">Kapitalni transferi drugim </w:t>
            </w:r>
            <w:r w:rsidR="00B942E6" w:rsidRPr="00C5016E">
              <w:rPr>
                <w:rFonts w:cs="Arial"/>
                <w:szCs w:val="24"/>
              </w:rPr>
              <w:t>razinama</w:t>
            </w:r>
            <w:r w:rsidRPr="00C5016E">
              <w:rPr>
                <w:rFonts w:cs="Arial"/>
                <w:szCs w:val="24"/>
              </w:rPr>
              <w:t xml:space="preserve"> vlasti i fondovima – Izgradnja sportske dvorane Mostar i drugih sportskih objekata u </w:t>
            </w:r>
            <w:r w:rsidRPr="00C5016E">
              <w:rPr>
                <w:rFonts w:cs="Arial"/>
                <w:szCs w:val="24"/>
              </w:rPr>
              <w:lastRenderedPageBreak/>
              <w:t>Gradu Mostaru</w:t>
            </w:r>
          </w:p>
        </w:tc>
        <w:tc>
          <w:tcPr>
            <w:tcW w:w="1984" w:type="dxa"/>
            <w:shd w:val="clear" w:color="auto" w:fill="auto"/>
          </w:tcPr>
          <w:p w:rsidR="00C025DC" w:rsidRPr="00C5016E" w:rsidRDefault="00C025DC" w:rsidP="00C025DC">
            <w:pPr>
              <w:tabs>
                <w:tab w:val="left" w:pos="567"/>
              </w:tabs>
              <w:rPr>
                <w:rFonts w:cs="Arial"/>
                <w:szCs w:val="24"/>
              </w:rPr>
            </w:pPr>
            <w:r w:rsidRPr="00C5016E">
              <w:rPr>
                <w:rFonts w:cs="Arial"/>
                <w:szCs w:val="24"/>
              </w:rPr>
              <w:lastRenderedPageBreak/>
              <w:t>3.500.000,00</w:t>
            </w:r>
          </w:p>
        </w:tc>
        <w:tc>
          <w:tcPr>
            <w:tcW w:w="1985" w:type="dxa"/>
            <w:shd w:val="clear" w:color="auto" w:fill="auto"/>
          </w:tcPr>
          <w:p w:rsidR="00C025DC" w:rsidRPr="00C5016E" w:rsidRDefault="00C025DC" w:rsidP="00C025DC">
            <w:pPr>
              <w:tabs>
                <w:tab w:val="left" w:pos="567"/>
              </w:tabs>
              <w:rPr>
                <w:rFonts w:cs="Arial"/>
                <w:szCs w:val="24"/>
              </w:rPr>
            </w:pPr>
            <w:r w:rsidRPr="00C5016E">
              <w:rPr>
                <w:rFonts w:cs="Arial"/>
                <w:szCs w:val="24"/>
              </w:rPr>
              <w:t>0</w:t>
            </w:r>
          </w:p>
          <w:p w:rsidR="00C025DC" w:rsidRPr="00C5016E" w:rsidRDefault="00C025DC" w:rsidP="00C025DC">
            <w:pPr>
              <w:tabs>
                <w:tab w:val="left" w:pos="567"/>
              </w:tabs>
              <w:rPr>
                <w:rFonts w:cs="Arial"/>
                <w:szCs w:val="24"/>
              </w:rPr>
            </w:pPr>
          </w:p>
          <w:p w:rsidR="00C025DC" w:rsidRPr="00C5016E" w:rsidRDefault="00C025DC" w:rsidP="00C025DC">
            <w:pPr>
              <w:tabs>
                <w:tab w:val="left" w:pos="567"/>
              </w:tabs>
              <w:rPr>
                <w:rFonts w:cs="Arial"/>
                <w:szCs w:val="24"/>
              </w:rPr>
            </w:pPr>
          </w:p>
        </w:tc>
        <w:tc>
          <w:tcPr>
            <w:tcW w:w="2693" w:type="dxa"/>
            <w:shd w:val="clear" w:color="auto" w:fill="auto"/>
          </w:tcPr>
          <w:p w:rsidR="00C025DC" w:rsidRPr="00C5016E" w:rsidRDefault="00B942E6" w:rsidP="00A87702">
            <w:pPr>
              <w:tabs>
                <w:tab w:val="left" w:pos="567"/>
              </w:tabs>
              <w:jc w:val="left"/>
              <w:rPr>
                <w:rFonts w:cs="Arial"/>
                <w:szCs w:val="24"/>
              </w:rPr>
            </w:pPr>
            <w:r w:rsidRPr="00C5016E">
              <w:rPr>
                <w:rFonts w:cs="Arial"/>
                <w:szCs w:val="24"/>
              </w:rPr>
              <w:t>Sukladno</w:t>
            </w:r>
            <w:r w:rsidR="00C025DC" w:rsidRPr="00C5016E">
              <w:rPr>
                <w:rFonts w:cs="Arial"/>
                <w:szCs w:val="24"/>
              </w:rPr>
              <w:t xml:space="preserve"> član</w:t>
            </w:r>
            <w:r w:rsidRPr="00C5016E">
              <w:rPr>
                <w:rFonts w:cs="Arial"/>
                <w:szCs w:val="24"/>
              </w:rPr>
              <w:t>ku</w:t>
            </w:r>
            <w:r w:rsidR="00C025DC" w:rsidRPr="00C5016E">
              <w:rPr>
                <w:rFonts w:cs="Arial"/>
                <w:szCs w:val="24"/>
              </w:rPr>
              <w:t xml:space="preserve"> 33.  stav</w:t>
            </w:r>
            <w:r w:rsidRPr="00C5016E">
              <w:rPr>
                <w:rFonts w:cs="Arial"/>
                <w:szCs w:val="24"/>
              </w:rPr>
              <w:t>ak</w:t>
            </w:r>
            <w:r w:rsidR="00C025DC" w:rsidRPr="00C5016E">
              <w:rPr>
                <w:rFonts w:cs="Arial"/>
                <w:szCs w:val="24"/>
              </w:rPr>
              <w:t xml:space="preserve"> (4) Zakona o izvršavanju proračuna Federacije Bosne i Hercegovine za 2022. godinu („Službene novine Federacije BiH“ broj: 25/22) utvrđeno je da će se sredstva koja su određena u stav</w:t>
            </w:r>
            <w:r w:rsidRPr="00C5016E">
              <w:rPr>
                <w:rFonts w:cs="Arial"/>
                <w:szCs w:val="24"/>
              </w:rPr>
              <w:t>k</w:t>
            </w:r>
            <w:r w:rsidR="00C025DC" w:rsidRPr="00C5016E">
              <w:rPr>
                <w:rFonts w:cs="Arial"/>
                <w:szCs w:val="24"/>
              </w:rPr>
              <w:t xml:space="preserve">u (3) navedenog Zakona doznačavati sukcesivno na </w:t>
            </w:r>
            <w:r w:rsidRPr="00C5016E">
              <w:rPr>
                <w:rFonts w:cs="Arial"/>
                <w:szCs w:val="24"/>
              </w:rPr>
              <w:t>temelju</w:t>
            </w:r>
            <w:r w:rsidR="00C025DC" w:rsidRPr="00C5016E">
              <w:rPr>
                <w:rFonts w:cs="Arial"/>
                <w:szCs w:val="24"/>
              </w:rPr>
              <w:t xml:space="preserve"> programa utroška </w:t>
            </w:r>
            <w:r w:rsidR="00C025DC" w:rsidRPr="00C5016E">
              <w:rPr>
                <w:rFonts w:cs="Arial"/>
                <w:szCs w:val="24"/>
              </w:rPr>
              <w:lastRenderedPageBreak/>
              <w:t xml:space="preserve">sredstava donesenih od strane Vlade. </w:t>
            </w:r>
            <w:r w:rsidR="00A87702" w:rsidRPr="00C5016E">
              <w:rPr>
                <w:rFonts w:cs="Arial"/>
                <w:szCs w:val="24"/>
              </w:rPr>
              <w:t>Međutim</w:t>
            </w:r>
            <w:r w:rsidR="00C025DC" w:rsidRPr="00C5016E">
              <w:rPr>
                <w:rFonts w:cs="Arial"/>
                <w:szCs w:val="24"/>
              </w:rPr>
              <w:t xml:space="preserve">, ministarstvo nije zaprimilo zahtjev za uplatu sredstava </w:t>
            </w:r>
            <w:r w:rsidR="00D664CE" w:rsidRPr="00C5016E">
              <w:rPr>
                <w:rFonts w:cs="Arial"/>
                <w:szCs w:val="24"/>
              </w:rPr>
              <w:t>rezerviranih</w:t>
            </w:r>
            <w:r w:rsidR="00C025DC" w:rsidRPr="00C5016E">
              <w:rPr>
                <w:rFonts w:cs="Arial"/>
                <w:szCs w:val="24"/>
              </w:rPr>
              <w:t xml:space="preserve"> za ovaj transfer.</w:t>
            </w:r>
          </w:p>
        </w:tc>
      </w:tr>
      <w:tr w:rsidR="00C5016E" w:rsidRPr="00C5016E" w:rsidTr="00C025DC">
        <w:trPr>
          <w:trHeight w:val="2117"/>
        </w:trPr>
        <w:tc>
          <w:tcPr>
            <w:tcW w:w="880" w:type="dxa"/>
            <w:shd w:val="clear" w:color="auto" w:fill="auto"/>
          </w:tcPr>
          <w:p w:rsidR="00C025DC" w:rsidRPr="00C5016E" w:rsidRDefault="00C025DC" w:rsidP="00C025DC">
            <w:pPr>
              <w:tabs>
                <w:tab w:val="left" w:pos="567"/>
              </w:tabs>
              <w:rPr>
                <w:rFonts w:cs="Arial"/>
                <w:szCs w:val="24"/>
              </w:rPr>
            </w:pPr>
            <w:r w:rsidRPr="00C5016E">
              <w:rPr>
                <w:rFonts w:cs="Arial"/>
                <w:szCs w:val="24"/>
              </w:rPr>
              <w:lastRenderedPageBreak/>
              <w:t>5201</w:t>
            </w:r>
          </w:p>
        </w:tc>
        <w:tc>
          <w:tcPr>
            <w:tcW w:w="993" w:type="dxa"/>
            <w:shd w:val="clear" w:color="auto" w:fill="auto"/>
          </w:tcPr>
          <w:p w:rsidR="00C025DC" w:rsidRPr="00C5016E" w:rsidRDefault="00C025DC" w:rsidP="00C025DC">
            <w:pPr>
              <w:tabs>
                <w:tab w:val="left" w:pos="567"/>
              </w:tabs>
              <w:rPr>
                <w:rFonts w:cs="Arial"/>
                <w:szCs w:val="24"/>
              </w:rPr>
            </w:pPr>
            <w:r w:rsidRPr="00C5016E">
              <w:rPr>
                <w:rFonts w:cs="Arial"/>
                <w:szCs w:val="24"/>
              </w:rPr>
              <w:t>6151</w:t>
            </w:r>
          </w:p>
        </w:tc>
        <w:tc>
          <w:tcPr>
            <w:tcW w:w="1701" w:type="dxa"/>
            <w:shd w:val="clear" w:color="auto" w:fill="auto"/>
          </w:tcPr>
          <w:p w:rsidR="00C025DC" w:rsidRPr="00C5016E" w:rsidRDefault="00C025DC" w:rsidP="00C025DC">
            <w:pPr>
              <w:tabs>
                <w:tab w:val="left" w:pos="567"/>
              </w:tabs>
              <w:rPr>
                <w:rFonts w:cs="Arial"/>
                <w:szCs w:val="24"/>
              </w:rPr>
            </w:pPr>
            <w:r w:rsidRPr="00C5016E">
              <w:rPr>
                <w:rFonts w:cs="Arial"/>
                <w:szCs w:val="24"/>
              </w:rPr>
              <w:t xml:space="preserve">Kapitalni transferi drugim </w:t>
            </w:r>
            <w:r w:rsidR="00D664CE" w:rsidRPr="00C5016E">
              <w:rPr>
                <w:rFonts w:cs="Arial"/>
                <w:szCs w:val="24"/>
              </w:rPr>
              <w:t>razinama</w:t>
            </w:r>
            <w:r w:rsidRPr="00C5016E">
              <w:rPr>
                <w:rFonts w:cs="Arial"/>
                <w:szCs w:val="24"/>
              </w:rPr>
              <w:t xml:space="preserve"> vlasti i fondovima – Izgradnja bazena Mostar</w:t>
            </w:r>
          </w:p>
        </w:tc>
        <w:tc>
          <w:tcPr>
            <w:tcW w:w="1984" w:type="dxa"/>
            <w:shd w:val="clear" w:color="auto" w:fill="auto"/>
          </w:tcPr>
          <w:p w:rsidR="00C025DC" w:rsidRPr="00C5016E" w:rsidRDefault="00C025DC" w:rsidP="00C025DC">
            <w:pPr>
              <w:rPr>
                <w:rFonts w:cs="Arial"/>
                <w:szCs w:val="24"/>
              </w:rPr>
            </w:pPr>
            <w:r w:rsidRPr="00C5016E">
              <w:rPr>
                <w:rFonts w:cs="Arial"/>
                <w:szCs w:val="24"/>
              </w:rPr>
              <w:t>8.000.000,00</w:t>
            </w:r>
          </w:p>
          <w:p w:rsidR="00C025DC" w:rsidRPr="00C5016E" w:rsidRDefault="00C025DC" w:rsidP="00C025DC">
            <w:pPr>
              <w:tabs>
                <w:tab w:val="left" w:pos="567"/>
              </w:tabs>
              <w:rPr>
                <w:rFonts w:cs="Arial"/>
                <w:szCs w:val="24"/>
              </w:rPr>
            </w:pPr>
          </w:p>
        </w:tc>
        <w:tc>
          <w:tcPr>
            <w:tcW w:w="1985" w:type="dxa"/>
            <w:shd w:val="clear" w:color="auto" w:fill="auto"/>
          </w:tcPr>
          <w:p w:rsidR="00C025DC" w:rsidRPr="00C5016E" w:rsidRDefault="00C025DC" w:rsidP="00C025DC">
            <w:pPr>
              <w:tabs>
                <w:tab w:val="left" w:pos="567"/>
              </w:tabs>
              <w:rPr>
                <w:rFonts w:cs="Arial"/>
                <w:szCs w:val="24"/>
              </w:rPr>
            </w:pPr>
            <w:r w:rsidRPr="00C5016E">
              <w:rPr>
                <w:rFonts w:cs="Arial"/>
                <w:szCs w:val="24"/>
              </w:rPr>
              <w:t>1.000.000,00</w:t>
            </w:r>
          </w:p>
        </w:tc>
        <w:tc>
          <w:tcPr>
            <w:tcW w:w="2693" w:type="dxa"/>
            <w:shd w:val="clear" w:color="auto" w:fill="auto"/>
          </w:tcPr>
          <w:p w:rsidR="00C025DC" w:rsidRPr="00C5016E" w:rsidRDefault="00D664CE" w:rsidP="00A87702">
            <w:pPr>
              <w:tabs>
                <w:tab w:val="left" w:pos="567"/>
              </w:tabs>
              <w:jc w:val="left"/>
              <w:rPr>
                <w:rFonts w:cs="Arial"/>
                <w:szCs w:val="24"/>
              </w:rPr>
            </w:pPr>
            <w:r w:rsidRPr="00C5016E">
              <w:rPr>
                <w:rFonts w:cs="Arial"/>
                <w:szCs w:val="24"/>
              </w:rPr>
              <w:t>Sukladno</w:t>
            </w:r>
            <w:r w:rsidR="00C025DC" w:rsidRPr="00C5016E">
              <w:rPr>
                <w:rFonts w:cs="Arial"/>
                <w:szCs w:val="24"/>
              </w:rPr>
              <w:t xml:space="preserve"> član</w:t>
            </w:r>
            <w:r w:rsidRPr="00C5016E">
              <w:rPr>
                <w:rFonts w:cs="Arial"/>
                <w:szCs w:val="24"/>
              </w:rPr>
              <w:t>ku</w:t>
            </w:r>
            <w:r w:rsidR="00C025DC" w:rsidRPr="00C5016E">
              <w:rPr>
                <w:rFonts w:cs="Arial"/>
                <w:szCs w:val="24"/>
              </w:rPr>
              <w:t xml:space="preserve"> 33.  stav</w:t>
            </w:r>
            <w:r w:rsidRPr="00C5016E">
              <w:rPr>
                <w:rFonts w:cs="Arial"/>
                <w:szCs w:val="24"/>
              </w:rPr>
              <w:t>ak</w:t>
            </w:r>
            <w:r w:rsidR="00C025DC" w:rsidRPr="00C5016E">
              <w:rPr>
                <w:rFonts w:cs="Arial"/>
                <w:szCs w:val="24"/>
              </w:rPr>
              <w:t xml:space="preserve"> (4) Zakona o izvršavanju proračuna Federacije Bosne i Hercegovine za 2022. godinu („Službene novine Federacije BiH“ broj: 25/22) utvrđeno je da će se sredstva koja su određena u stav</w:t>
            </w:r>
            <w:r w:rsidRPr="00C5016E">
              <w:rPr>
                <w:rFonts w:cs="Arial"/>
                <w:szCs w:val="24"/>
              </w:rPr>
              <w:t>k</w:t>
            </w:r>
            <w:r w:rsidR="00C025DC" w:rsidRPr="00C5016E">
              <w:rPr>
                <w:rFonts w:cs="Arial"/>
                <w:szCs w:val="24"/>
              </w:rPr>
              <w:t xml:space="preserve">u (3) navedenog Zakona doznačavati sukcesivno na </w:t>
            </w:r>
            <w:r w:rsidRPr="00C5016E">
              <w:rPr>
                <w:rFonts w:cs="Arial"/>
                <w:szCs w:val="24"/>
              </w:rPr>
              <w:t>temelju</w:t>
            </w:r>
            <w:r w:rsidR="00C025DC" w:rsidRPr="00C5016E">
              <w:rPr>
                <w:rFonts w:cs="Arial"/>
                <w:szCs w:val="24"/>
              </w:rPr>
              <w:t xml:space="preserve"> programa utroška sredstava donesenih od strane Vlade. Utvrđeno je da se </w:t>
            </w:r>
            <w:r w:rsidR="00A87702" w:rsidRPr="00C5016E">
              <w:rPr>
                <w:rFonts w:cs="Arial"/>
                <w:szCs w:val="24"/>
              </w:rPr>
              <w:t xml:space="preserve">sredstva </w:t>
            </w:r>
            <w:r w:rsidR="00C025DC" w:rsidRPr="00C5016E">
              <w:rPr>
                <w:rFonts w:cs="Arial"/>
                <w:szCs w:val="24"/>
              </w:rPr>
              <w:t>dodjeljuju sukcesivno što je i ugovoreno i u skladu s tim se isplatila I. tranša za navedeni kapitalni transfer.</w:t>
            </w:r>
          </w:p>
        </w:tc>
      </w:tr>
    </w:tbl>
    <w:p w:rsidR="00C025DC" w:rsidRPr="00C5016E" w:rsidRDefault="00EF4C3C" w:rsidP="00C025DC">
      <w:pPr>
        <w:tabs>
          <w:tab w:val="left" w:pos="1701"/>
        </w:tabs>
        <w:spacing w:before="0" w:after="0"/>
        <w:rPr>
          <w:rFonts w:cs="Arial"/>
          <w:bCs/>
          <w:sz w:val="22"/>
        </w:rPr>
      </w:pPr>
      <w:r w:rsidRPr="00C5016E">
        <w:rPr>
          <w:rFonts w:cs="Arial"/>
          <w:b/>
          <w:bCs/>
          <w:sz w:val="22"/>
        </w:rPr>
        <w:t>Tablica</w:t>
      </w:r>
      <w:r w:rsidR="00C025DC" w:rsidRPr="00C5016E">
        <w:rPr>
          <w:rFonts w:cs="Arial"/>
          <w:b/>
          <w:bCs/>
          <w:sz w:val="22"/>
        </w:rPr>
        <w:t xml:space="preserve"> 9</w:t>
      </w:r>
      <w:r w:rsidR="00C025DC" w:rsidRPr="00C5016E">
        <w:rPr>
          <w:rFonts w:cs="Arial"/>
          <w:bCs/>
          <w:sz w:val="22"/>
        </w:rPr>
        <w:t>: Objašnjenja vezana za veća odstupanja između rashoda i izdataka odobrenih Proračunom Federacije BiH za 2022. godinu i ostvarenih u 2022. godini</w:t>
      </w:r>
    </w:p>
    <w:p w:rsidR="00C025DC" w:rsidRPr="00C5016E" w:rsidRDefault="00C025DC" w:rsidP="00C025DC">
      <w:pPr>
        <w:tabs>
          <w:tab w:val="left" w:pos="1701"/>
        </w:tabs>
        <w:spacing w:before="0" w:after="0"/>
        <w:rPr>
          <w:rFonts w:cs="Arial"/>
          <w:bCs/>
          <w:szCs w:val="24"/>
        </w:rPr>
      </w:pPr>
    </w:p>
    <w:p w:rsidR="00C025DC" w:rsidRPr="00C5016E" w:rsidRDefault="00D664CE" w:rsidP="00C025DC">
      <w:pPr>
        <w:pStyle w:val="Heading2"/>
        <w:tabs>
          <w:tab w:val="left" w:pos="1701"/>
        </w:tabs>
        <w:spacing w:before="0" w:after="0"/>
        <w:rPr>
          <w:rFonts w:cs="Arial"/>
          <w:bCs/>
        </w:rPr>
      </w:pPr>
      <w:bookmarkStart w:id="89" w:name="_Toc131505227"/>
      <w:r w:rsidRPr="00C5016E">
        <w:rPr>
          <w:rFonts w:ascii="Arial" w:hAnsi="Arial" w:cs="Arial"/>
        </w:rPr>
        <w:t>Neizmirene ob</w:t>
      </w:r>
      <w:r w:rsidR="00C025DC" w:rsidRPr="00C5016E">
        <w:rPr>
          <w:rFonts w:ascii="Arial" w:hAnsi="Arial" w:cs="Arial"/>
        </w:rPr>
        <w:t>veze na dan 31.</w:t>
      </w:r>
      <w:r w:rsidRPr="00C5016E">
        <w:rPr>
          <w:rFonts w:ascii="Arial" w:hAnsi="Arial" w:cs="Arial"/>
        </w:rPr>
        <w:t xml:space="preserve"> </w:t>
      </w:r>
      <w:r w:rsidR="00C025DC" w:rsidRPr="00C5016E">
        <w:rPr>
          <w:rFonts w:ascii="Arial" w:hAnsi="Arial" w:cs="Arial"/>
        </w:rPr>
        <w:t>12.</w:t>
      </w:r>
      <w:r w:rsidRPr="00C5016E">
        <w:rPr>
          <w:rFonts w:ascii="Arial" w:hAnsi="Arial" w:cs="Arial"/>
        </w:rPr>
        <w:t xml:space="preserve"> </w:t>
      </w:r>
      <w:r w:rsidR="00C025DC" w:rsidRPr="00C5016E">
        <w:rPr>
          <w:rFonts w:ascii="Arial" w:hAnsi="Arial" w:cs="Arial"/>
        </w:rPr>
        <w:t xml:space="preserve">2022. </w:t>
      </w:r>
      <w:bookmarkEnd w:id="89"/>
    </w:p>
    <w:p w:rsidR="00C025DC" w:rsidRPr="00C5016E" w:rsidRDefault="00D664CE" w:rsidP="00C025DC">
      <w:r w:rsidRPr="00C5016E">
        <w:t>Sukladno</w:t>
      </w:r>
      <w:r w:rsidR="00C025DC" w:rsidRPr="00C5016E">
        <w:t xml:space="preserve"> odredbama Zakona o </w:t>
      </w:r>
      <w:r w:rsidRPr="00C5016E">
        <w:t xml:space="preserve">Riznici </w:t>
      </w:r>
      <w:r w:rsidR="00C025DC" w:rsidRPr="00C5016E">
        <w:t xml:space="preserve">(„Službene novine Federacije BiH“, br. 26/16 i 3/20) priznavanje prihoda i primitaka, rashoda i izdataka, sadržanih u Glavnoj knjizi </w:t>
      </w:r>
      <w:r w:rsidRPr="00C5016E">
        <w:t>Riznice</w:t>
      </w:r>
      <w:r w:rsidR="00C025DC" w:rsidRPr="00C5016E">
        <w:t xml:space="preserve"> provodi se prema računovodstvenim načelima modificiranog nastanka događaja, po kojem se prihodi priznaju kada su mjerljivi i raspoloživi, a rashodi se knjiže u razdoblju na koji se odnose. </w:t>
      </w:r>
    </w:p>
    <w:p w:rsidR="00C025DC" w:rsidRPr="00C5016E" w:rsidRDefault="00C025DC" w:rsidP="00C025DC">
      <w:r w:rsidRPr="00C5016E">
        <w:lastRenderedPageBreak/>
        <w:t>Shodno navedenom na dan 31.</w:t>
      </w:r>
      <w:r w:rsidR="00D664CE" w:rsidRPr="00C5016E">
        <w:t xml:space="preserve"> </w:t>
      </w:r>
      <w:r w:rsidRPr="00C5016E">
        <w:t>12.</w:t>
      </w:r>
      <w:r w:rsidR="00D664CE" w:rsidRPr="00C5016E">
        <w:t xml:space="preserve"> </w:t>
      </w:r>
      <w:r w:rsidRPr="00C5016E">
        <w:t xml:space="preserve">2022. u Glavnoj knjizi </w:t>
      </w:r>
      <w:r w:rsidR="00D664CE" w:rsidRPr="00C5016E">
        <w:t>Riznice evidentirane su neizmirene ob</w:t>
      </w:r>
      <w:r w:rsidRPr="00C5016E">
        <w:t xml:space="preserve">veze u ukupnom iznosu od 218,5 </w:t>
      </w:r>
      <w:r w:rsidR="004611A5" w:rsidRPr="00C5016E">
        <w:t>milijun</w:t>
      </w:r>
      <w:r w:rsidRPr="00C5016E">
        <w:t>a KM, koje se odnose na sljedeće:</w:t>
      </w:r>
    </w:p>
    <w:p w:rsidR="00C025DC" w:rsidRPr="00C5016E" w:rsidRDefault="00D664CE" w:rsidP="00C025DC">
      <w:pPr>
        <w:pStyle w:val="ListParagraph"/>
        <w:numPr>
          <w:ilvl w:val="0"/>
          <w:numId w:val="30"/>
        </w:numPr>
        <w:rPr>
          <w:rFonts w:ascii="Arial" w:hAnsi="Arial" w:cs="Arial"/>
          <w:lang w:val="hr-HR"/>
        </w:rPr>
      </w:pPr>
      <w:r w:rsidRPr="00C5016E">
        <w:rPr>
          <w:rFonts w:ascii="Arial" w:hAnsi="Arial" w:cs="Arial"/>
          <w:lang w:val="hr-HR"/>
        </w:rPr>
        <w:t>ob</w:t>
      </w:r>
      <w:r w:rsidR="00C025DC" w:rsidRPr="00C5016E">
        <w:rPr>
          <w:rFonts w:ascii="Arial" w:hAnsi="Arial" w:cs="Arial"/>
          <w:lang w:val="hr-HR"/>
        </w:rPr>
        <w:t>veze za plaće,</w:t>
      </w:r>
      <w:r w:rsidRPr="00C5016E">
        <w:rPr>
          <w:rFonts w:ascii="Arial" w:hAnsi="Arial" w:cs="Arial"/>
          <w:lang w:val="hr-HR"/>
        </w:rPr>
        <w:t xml:space="preserve"> doprinose iz plaća i ostale ob</w:t>
      </w:r>
      <w:r w:rsidR="00C025DC" w:rsidRPr="00C5016E">
        <w:rPr>
          <w:rFonts w:ascii="Arial" w:hAnsi="Arial" w:cs="Arial"/>
          <w:lang w:val="hr-HR"/>
        </w:rPr>
        <w:t>veze po osnov</w:t>
      </w:r>
      <w:r w:rsidRPr="00C5016E">
        <w:rPr>
          <w:rFonts w:ascii="Arial" w:hAnsi="Arial" w:cs="Arial"/>
          <w:lang w:val="hr-HR"/>
        </w:rPr>
        <w:t>i</w:t>
      </w:r>
      <w:r w:rsidR="00C025DC" w:rsidRPr="00C5016E">
        <w:rPr>
          <w:rFonts w:ascii="Arial" w:hAnsi="Arial" w:cs="Arial"/>
          <w:lang w:val="hr-HR"/>
        </w:rPr>
        <w:t xml:space="preserve"> rada – 24,1 </w:t>
      </w:r>
      <w:r w:rsidR="004611A5" w:rsidRPr="00C5016E">
        <w:rPr>
          <w:rFonts w:ascii="Arial" w:hAnsi="Arial" w:cs="Arial"/>
          <w:lang w:val="hr-HR"/>
        </w:rPr>
        <w:t>milijun</w:t>
      </w:r>
      <w:r w:rsidRPr="00C5016E">
        <w:rPr>
          <w:rFonts w:ascii="Arial" w:hAnsi="Arial" w:cs="Arial"/>
          <w:lang w:val="hr-HR"/>
        </w:rPr>
        <w:t xml:space="preserve"> KM</w:t>
      </w:r>
    </w:p>
    <w:p w:rsidR="00C025DC" w:rsidRPr="00C5016E" w:rsidRDefault="00D664CE" w:rsidP="00C025DC">
      <w:pPr>
        <w:pStyle w:val="ListParagraph"/>
        <w:numPr>
          <w:ilvl w:val="0"/>
          <w:numId w:val="30"/>
        </w:numPr>
        <w:rPr>
          <w:rFonts w:ascii="Arial" w:hAnsi="Arial" w:cs="Arial"/>
          <w:lang w:val="hr-HR"/>
        </w:rPr>
      </w:pPr>
      <w:r w:rsidRPr="00C5016E">
        <w:rPr>
          <w:rFonts w:ascii="Arial" w:hAnsi="Arial" w:cs="Arial"/>
          <w:lang w:val="hr-HR"/>
        </w:rPr>
        <w:t>ob</w:t>
      </w:r>
      <w:r w:rsidR="00C025DC" w:rsidRPr="00C5016E">
        <w:rPr>
          <w:rFonts w:ascii="Arial" w:hAnsi="Arial" w:cs="Arial"/>
          <w:lang w:val="hr-HR"/>
        </w:rPr>
        <w:t xml:space="preserve">veze za robu i usluge – 15,6 </w:t>
      </w:r>
      <w:r w:rsidR="004611A5" w:rsidRPr="00C5016E">
        <w:rPr>
          <w:rFonts w:ascii="Arial" w:hAnsi="Arial" w:cs="Arial"/>
          <w:lang w:val="hr-HR"/>
        </w:rPr>
        <w:t>milijun</w:t>
      </w:r>
      <w:r w:rsidRPr="00C5016E">
        <w:rPr>
          <w:rFonts w:ascii="Arial" w:hAnsi="Arial" w:cs="Arial"/>
          <w:lang w:val="hr-HR"/>
        </w:rPr>
        <w:t>a KM</w:t>
      </w:r>
    </w:p>
    <w:p w:rsidR="00C025DC" w:rsidRPr="00C5016E" w:rsidRDefault="00D664CE" w:rsidP="00C025DC">
      <w:pPr>
        <w:pStyle w:val="ListParagraph"/>
        <w:numPr>
          <w:ilvl w:val="0"/>
          <w:numId w:val="30"/>
        </w:numPr>
        <w:rPr>
          <w:rFonts w:ascii="Arial" w:hAnsi="Arial" w:cs="Arial"/>
          <w:lang w:val="hr-HR"/>
        </w:rPr>
      </w:pPr>
      <w:r w:rsidRPr="00C5016E">
        <w:rPr>
          <w:rFonts w:ascii="Arial" w:hAnsi="Arial" w:cs="Arial"/>
          <w:lang w:val="hr-HR"/>
        </w:rPr>
        <w:t>ob</w:t>
      </w:r>
      <w:r w:rsidR="00C025DC" w:rsidRPr="00C5016E">
        <w:rPr>
          <w:rFonts w:ascii="Arial" w:hAnsi="Arial" w:cs="Arial"/>
          <w:lang w:val="hr-HR"/>
        </w:rPr>
        <w:t xml:space="preserve">veze za nefinancijska sredstva – 3,9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ListParagraph"/>
        <w:numPr>
          <w:ilvl w:val="0"/>
          <w:numId w:val="30"/>
        </w:numPr>
        <w:rPr>
          <w:rFonts w:ascii="Arial" w:hAnsi="Arial" w:cs="Arial"/>
          <w:lang w:val="hr-HR"/>
        </w:rPr>
      </w:pPr>
      <w:r w:rsidRPr="00C5016E">
        <w:rPr>
          <w:rFonts w:ascii="Arial" w:hAnsi="Arial" w:cs="Arial"/>
          <w:lang w:val="hr-HR"/>
        </w:rPr>
        <w:t xml:space="preserve">PIO/MIO -15,1 </w:t>
      </w:r>
      <w:r w:rsidR="004611A5" w:rsidRPr="00C5016E">
        <w:rPr>
          <w:rFonts w:ascii="Arial" w:hAnsi="Arial" w:cs="Arial"/>
          <w:lang w:val="hr-HR"/>
        </w:rPr>
        <w:t>milijun</w:t>
      </w:r>
      <w:r w:rsidR="00D664CE" w:rsidRPr="00C5016E">
        <w:rPr>
          <w:rFonts w:ascii="Arial" w:hAnsi="Arial" w:cs="Arial"/>
          <w:lang w:val="hr-HR"/>
        </w:rPr>
        <w:t xml:space="preserve"> KM</w:t>
      </w:r>
    </w:p>
    <w:p w:rsidR="00C025DC" w:rsidRPr="00C5016E" w:rsidRDefault="00D664CE" w:rsidP="00C025DC">
      <w:pPr>
        <w:pStyle w:val="ListParagraph"/>
        <w:numPr>
          <w:ilvl w:val="0"/>
          <w:numId w:val="30"/>
        </w:numPr>
        <w:rPr>
          <w:rFonts w:ascii="Arial" w:hAnsi="Arial" w:cs="Arial"/>
          <w:lang w:val="hr-HR"/>
        </w:rPr>
      </w:pPr>
      <w:r w:rsidRPr="00C5016E">
        <w:rPr>
          <w:rFonts w:ascii="Arial" w:hAnsi="Arial" w:cs="Arial"/>
          <w:lang w:val="hr-HR"/>
        </w:rPr>
        <w:t>ob</w:t>
      </w:r>
      <w:r w:rsidR="00C025DC" w:rsidRPr="00C5016E">
        <w:rPr>
          <w:rFonts w:ascii="Arial" w:hAnsi="Arial" w:cs="Arial"/>
          <w:lang w:val="hr-HR"/>
        </w:rPr>
        <w:t xml:space="preserve">veze za transfere pojedincima – 58,9 </w:t>
      </w:r>
      <w:r w:rsidR="004611A5" w:rsidRPr="00C5016E">
        <w:rPr>
          <w:rFonts w:ascii="Arial" w:hAnsi="Arial" w:cs="Arial"/>
          <w:lang w:val="hr-HR"/>
        </w:rPr>
        <w:t>milijun</w:t>
      </w:r>
      <w:r w:rsidRPr="00C5016E">
        <w:rPr>
          <w:rFonts w:ascii="Arial" w:hAnsi="Arial" w:cs="Arial"/>
          <w:lang w:val="hr-HR"/>
        </w:rPr>
        <w:t>a KM</w:t>
      </w:r>
    </w:p>
    <w:p w:rsidR="00C025DC" w:rsidRPr="00C5016E" w:rsidRDefault="00D664CE" w:rsidP="00C025DC">
      <w:pPr>
        <w:pStyle w:val="ListParagraph"/>
        <w:numPr>
          <w:ilvl w:val="0"/>
          <w:numId w:val="30"/>
        </w:numPr>
        <w:rPr>
          <w:rFonts w:ascii="Arial" w:hAnsi="Arial" w:cs="Arial"/>
          <w:lang w:val="hr-HR"/>
        </w:rPr>
      </w:pPr>
      <w:r w:rsidRPr="00C5016E">
        <w:rPr>
          <w:rFonts w:ascii="Arial" w:hAnsi="Arial" w:cs="Arial"/>
          <w:lang w:val="hr-HR"/>
        </w:rPr>
        <w:t>ob</w:t>
      </w:r>
      <w:r w:rsidR="00C025DC" w:rsidRPr="00C5016E">
        <w:rPr>
          <w:rFonts w:ascii="Arial" w:hAnsi="Arial" w:cs="Arial"/>
          <w:lang w:val="hr-HR"/>
        </w:rPr>
        <w:t xml:space="preserve">veze za subvencije – 63,4 </w:t>
      </w:r>
      <w:r w:rsidR="004611A5" w:rsidRPr="00C5016E">
        <w:rPr>
          <w:rFonts w:ascii="Arial" w:hAnsi="Arial" w:cs="Arial"/>
          <w:lang w:val="hr-HR"/>
        </w:rPr>
        <w:t>milijun</w:t>
      </w:r>
      <w:r w:rsidRPr="00C5016E">
        <w:rPr>
          <w:rFonts w:ascii="Arial" w:hAnsi="Arial" w:cs="Arial"/>
          <w:lang w:val="hr-HR"/>
        </w:rPr>
        <w:t>a KM</w:t>
      </w:r>
    </w:p>
    <w:p w:rsidR="00C025DC" w:rsidRPr="00C5016E" w:rsidRDefault="00D664CE" w:rsidP="00C025DC">
      <w:pPr>
        <w:pStyle w:val="ListParagraph"/>
        <w:numPr>
          <w:ilvl w:val="0"/>
          <w:numId w:val="30"/>
        </w:numPr>
        <w:rPr>
          <w:rFonts w:ascii="Arial" w:hAnsi="Arial" w:cs="Arial"/>
          <w:lang w:val="hr-HR"/>
        </w:rPr>
      </w:pPr>
      <w:r w:rsidRPr="00C5016E">
        <w:rPr>
          <w:rFonts w:ascii="Arial" w:hAnsi="Arial" w:cs="Arial"/>
          <w:lang w:val="hr-HR"/>
        </w:rPr>
        <w:t>ob</w:t>
      </w:r>
      <w:r w:rsidR="00C025DC" w:rsidRPr="00C5016E">
        <w:rPr>
          <w:rFonts w:ascii="Arial" w:hAnsi="Arial" w:cs="Arial"/>
          <w:lang w:val="hr-HR"/>
        </w:rPr>
        <w:t xml:space="preserve">veze za ostale transfere – 25,6 </w:t>
      </w:r>
      <w:r w:rsidR="004611A5" w:rsidRPr="00C5016E">
        <w:rPr>
          <w:rFonts w:ascii="Arial" w:hAnsi="Arial" w:cs="Arial"/>
          <w:lang w:val="hr-HR"/>
        </w:rPr>
        <w:t>milijun</w:t>
      </w:r>
      <w:r w:rsidRPr="00C5016E">
        <w:rPr>
          <w:rFonts w:ascii="Arial" w:hAnsi="Arial" w:cs="Arial"/>
          <w:lang w:val="hr-HR"/>
        </w:rPr>
        <w:t>a KM</w:t>
      </w:r>
    </w:p>
    <w:p w:rsidR="00C025DC" w:rsidRPr="00C5016E" w:rsidRDefault="00D664CE" w:rsidP="00C025DC">
      <w:pPr>
        <w:pStyle w:val="ListParagraph"/>
        <w:numPr>
          <w:ilvl w:val="0"/>
          <w:numId w:val="30"/>
        </w:numPr>
        <w:rPr>
          <w:rFonts w:ascii="Arial" w:hAnsi="Arial" w:cs="Arial"/>
          <w:lang w:val="hr-HR"/>
        </w:rPr>
      </w:pPr>
      <w:r w:rsidRPr="00C5016E">
        <w:rPr>
          <w:rFonts w:ascii="Arial" w:hAnsi="Arial" w:cs="Arial"/>
          <w:lang w:val="hr-HR"/>
        </w:rPr>
        <w:t>ob</w:t>
      </w:r>
      <w:r w:rsidR="00C025DC" w:rsidRPr="00C5016E">
        <w:rPr>
          <w:rFonts w:ascii="Arial" w:hAnsi="Arial" w:cs="Arial"/>
          <w:lang w:val="hr-HR"/>
        </w:rPr>
        <w:t xml:space="preserve">veze po sudskim presudama i rješenjima o izvršenju – 0,5 </w:t>
      </w:r>
      <w:r w:rsidR="004611A5" w:rsidRPr="00C5016E">
        <w:rPr>
          <w:rFonts w:ascii="Arial" w:hAnsi="Arial" w:cs="Arial"/>
          <w:lang w:val="hr-HR"/>
        </w:rPr>
        <w:t>milijun</w:t>
      </w:r>
      <w:r w:rsidRPr="00C5016E">
        <w:rPr>
          <w:rFonts w:ascii="Arial" w:hAnsi="Arial" w:cs="Arial"/>
          <w:lang w:val="hr-HR"/>
        </w:rPr>
        <w:t>a KM</w:t>
      </w:r>
    </w:p>
    <w:p w:rsidR="00C025DC" w:rsidRPr="00C5016E" w:rsidRDefault="00D664CE" w:rsidP="00C025DC">
      <w:pPr>
        <w:pStyle w:val="ListParagraph"/>
        <w:numPr>
          <w:ilvl w:val="0"/>
          <w:numId w:val="30"/>
        </w:numPr>
        <w:rPr>
          <w:rFonts w:ascii="Arial" w:hAnsi="Arial" w:cs="Arial"/>
          <w:lang w:val="hr-HR"/>
        </w:rPr>
      </w:pPr>
      <w:r w:rsidRPr="00C5016E">
        <w:rPr>
          <w:rFonts w:ascii="Arial" w:hAnsi="Arial" w:cs="Arial"/>
          <w:lang w:val="hr-HR"/>
        </w:rPr>
        <w:t>ostale tekuće ob</w:t>
      </w:r>
      <w:r w:rsidR="00C025DC" w:rsidRPr="00C5016E">
        <w:rPr>
          <w:rFonts w:ascii="Arial" w:hAnsi="Arial" w:cs="Arial"/>
          <w:lang w:val="hr-HR"/>
        </w:rPr>
        <w:t xml:space="preserve">veze – 2,45 </w:t>
      </w:r>
      <w:r w:rsidR="004611A5" w:rsidRPr="00C5016E">
        <w:rPr>
          <w:rFonts w:ascii="Arial" w:hAnsi="Arial" w:cs="Arial"/>
          <w:lang w:val="hr-HR"/>
        </w:rPr>
        <w:t>milijun</w:t>
      </w:r>
      <w:r w:rsidRPr="00C5016E">
        <w:rPr>
          <w:rFonts w:ascii="Arial" w:hAnsi="Arial" w:cs="Arial"/>
          <w:lang w:val="hr-HR"/>
        </w:rPr>
        <w:t xml:space="preserve">a KM </w:t>
      </w:r>
    </w:p>
    <w:p w:rsidR="00C025DC" w:rsidRPr="00C5016E" w:rsidRDefault="00D664CE" w:rsidP="00C025DC">
      <w:pPr>
        <w:pStyle w:val="ListParagraph"/>
        <w:numPr>
          <w:ilvl w:val="0"/>
          <w:numId w:val="30"/>
        </w:numPr>
        <w:rPr>
          <w:rFonts w:ascii="Arial" w:hAnsi="Arial" w:cs="Arial"/>
          <w:lang w:val="hr-HR"/>
        </w:rPr>
      </w:pPr>
      <w:r w:rsidRPr="00C5016E">
        <w:rPr>
          <w:rFonts w:ascii="Arial" w:hAnsi="Arial" w:cs="Arial"/>
          <w:lang w:val="hr-HR"/>
        </w:rPr>
        <w:t>ob</w:t>
      </w:r>
      <w:r w:rsidR="00C025DC" w:rsidRPr="00C5016E">
        <w:rPr>
          <w:rFonts w:ascii="Arial" w:hAnsi="Arial" w:cs="Arial"/>
          <w:lang w:val="hr-HR"/>
        </w:rPr>
        <w:t>veze po unut</w:t>
      </w:r>
      <w:r w:rsidRPr="00C5016E">
        <w:rPr>
          <w:rFonts w:ascii="Arial" w:hAnsi="Arial" w:cs="Arial"/>
          <w:lang w:val="hr-HR"/>
        </w:rPr>
        <w:t>ar</w:t>
      </w:r>
      <w:r w:rsidR="00C025DC" w:rsidRPr="00C5016E">
        <w:rPr>
          <w:rFonts w:ascii="Arial" w:hAnsi="Arial" w:cs="Arial"/>
          <w:lang w:val="hr-HR"/>
        </w:rPr>
        <w:t xml:space="preserve">njem dugu – 0,9 </w:t>
      </w:r>
      <w:r w:rsidR="004611A5" w:rsidRPr="00C5016E">
        <w:rPr>
          <w:rFonts w:ascii="Arial" w:hAnsi="Arial" w:cs="Arial"/>
          <w:lang w:val="hr-HR"/>
        </w:rPr>
        <w:t>milijun</w:t>
      </w:r>
      <w:r w:rsidR="00C025DC" w:rsidRPr="00C5016E">
        <w:rPr>
          <w:rFonts w:ascii="Arial" w:hAnsi="Arial" w:cs="Arial"/>
          <w:lang w:val="hr-HR"/>
        </w:rPr>
        <w:t>a KM.</w:t>
      </w:r>
    </w:p>
    <w:p w:rsidR="00C025DC" w:rsidRPr="00C5016E" w:rsidRDefault="00C025DC" w:rsidP="00C025DC">
      <w:pPr>
        <w:pStyle w:val="ListParagraph"/>
        <w:rPr>
          <w:rFonts w:ascii="Arial" w:hAnsi="Arial" w:cs="Arial"/>
          <w:lang w:val="hr-HR"/>
        </w:rPr>
      </w:pPr>
    </w:p>
    <w:p w:rsidR="00C025DC" w:rsidRPr="00C5016E" w:rsidRDefault="00D664CE" w:rsidP="00C025DC">
      <w:pPr>
        <w:pStyle w:val="ListParagraph"/>
        <w:ind w:left="0"/>
        <w:rPr>
          <w:rFonts w:ascii="Arial" w:hAnsi="Arial" w:cs="Arial"/>
          <w:lang w:val="hr-HR"/>
        </w:rPr>
      </w:pPr>
      <w:r w:rsidRPr="00C5016E">
        <w:rPr>
          <w:rFonts w:ascii="Arial" w:hAnsi="Arial" w:cs="Arial"/>
          <w:lang w:val="hr-HR"/>
        </w:rPr>
        <w:t>Sukladno</w:t>
      </w:r>
      <w:r w:rsidR="00C025DC" w:rsidRPr="00C5016E">
        <w:rPr>
          <w:rFonts w:ascii="Arial" w:hAnsi="Arial" w:cs="Arial"/>
          <w:lang w:val="hr-HR"/>
        </w:rPr>
        <w:t xml:space="preserve"> Zakon</w:t>
      </w:r>
      <w:r w:rsidRPr="00C5016E">
        <w:rPr>
          <w:rFonts w:ascii="Arial" w:hAnsi="Arial" w:cs="Arial"/>
          <w:lang w:val="hr-HR"/>
        </w:rPr>
        <w:t>u</w:t>
      </w:r>
      <w:r w:rsidR="00C025DC" w:rsidRPr="00C5016E">
        <w:rPr>
          <w:rFonts w:ascii="Arial" w:hAnsi="Arial" w:cs="Arial"/>
          <w:lang w:val="hr-HR"/>
        </w:rPr>
        <w:t xml:space="preserve"> o proračunima u Federaciji BiH („Službene novine Federacije BiH“, br. 102/13, 9/14, 13/14, 8/15, 91/15, 102/15, 104/16, 5/18, 11/19, 99/19 i 25/22) financ</w:t>
      </w:r>
      <w:r w:rsidRPr="00C5016E">
        <w:rPr>
          <w:rFonts w:ascii="Arial" w:hAnsi="Arial" w:cs="Arial"/>
          <w:lang w:val="hr-HR"/>
        </w:rPr>
        <w:t>ijske ob</w:t>
      </w:r>
      <w:r w:rsidR="00C025DC" w:rsidRPr="00C5016E">
        <w:rPr>
          <w:rFonts w:ascii="Arial" w:hAnsi="Arial" w:cs="Arial"/>
          <w:lang w:val="hr-HR"/>
        </w:rPr>
        <w:t xml:space="preserve">veze nastale do 31. prosinca 2022. mogu se unositi u </w:t>
      </w:r>
      <w:r w:rsidRPr="00C5016E">
        <w:rPr>
          <w:rFonts w:ascii="Arial" w:hAnsi="Arial" w:cs="Arial"/>
          <w:lang w:val="hr-HR"/>
        </w:rPr>
        <w:t>sustav u Modulu AP (ob</w:t>
      </w:r>
      <w:r w:rsidR="00C025DC" w:rsidRPr="00C5016E">
        <w:rPr>
          <w:rFonts w:ascii="Arial" w:hAnsi="Arial" w:cs="Arial"/>
          <w:lang w:val="hr-HR"/>
        </w:rPr>
        <w:t>veze prema doba</w:t>
      </w:r>
      <w:r w:rsidR="002422C2" w:rsidRPr="00C5016E">
        <w:rPr>
          <w:rFonts w:ascii="Arial" w:hAnsi="Arial" w:cs="Arial"/>
          <w:lang w:val="hr-HR"/>
        </w:rPr>
        <w:t>vljačima) do 31. siječnja 2023.</w:t>
      </w:r>
      <w:r w:rsidR="00C025DC" w:rsidRPr="00C5016E">
        <w:rPr>
          <w:rFonts w:ascii="Arial" w:hAnsi="Arial" w:cs="Arial"/>
          <w:lang w:val="hr-HR"/>
        </w:rPr>
        <w:t xml:space="preserve"> za </w:t>
      </w:r>
      <w:r w:rsidRPr="00C5016E">
        <w:rPr>
          <w:rFonts w:ascii="Arial" w:hAnsi="Arial" w:cs="Arial"/>
          <w:lang w:val="hr-HR"/>
        </w:rPr>
        <w:t>razdoblje</w:t>
      </w:r>
      <w:r w:rsidR="00C025DC" w:rsidRPr="00C5016E">
        <w:rPr>
          <w:rFonts w:ascii="Arial" w:hAnsi="Arial" w:cs="Arial"/>
          <w:lang w:val="hr-HR"/>
        </w:rPr>
        <w:t xml:space="preserve"> </w:t>
      </w:r>
      <w:r w:rsidRPr="00C5016E">
        <w:rPr>
          <w:rFonts w:ascii="Arial" w:hAnsi="Arial" w:cs="Arial"/>
          <w:lang w:val="hr-HR"/>
        </w:rPr>
        <w:t>prosinac</w:t>
      </w:r>
      <w:r w:rsidR="00C025DC" w:rsidRPr="00C5016E">
        <w:rPr>
          <w:rFonts w:ascii="Arial" w:hAnsi="Arial" w:cs="Arial"/>
          <w:lang w:val="hr-HR"/>
        </w:rPr>
        <w:t xml:space="preserve"> 2022. godine (DEC-22), a do visine odobrenih sredstava u proračunu te je </w:t>
      </w:r>
      <w:r w:rsidR="002422C2" w:rsidRPr="00C5016E">
        <w:rPr>
          <w:rFonts w:ascii="Arial" w:hAnsi="Arial" w:cs="Arial"/>
          <w:lang w:val="hr-HR"/>
        </w:rPr>
        <w:t xml:space="preserve">tijekom siječnja u trezorsku aplikaciju unesen </w:t>
      </w:r>
      <w:r w:rsidRPr="00C5016E">
        <w:rPr>
          <w:rFonts w:ascii="Arial" w:hAnsi="Arial" w:cs="Arial"/>
          <w:lang w:val="hr-HR"/>
        </w:rPr>
        <w:t>značaj</w:t>
      </w:r>
      <w:r w:rsidR="002422C2" w:rsidRPr="00C5016E">
        <w:rPr>
          <w:rFonts w:ascii="Arial" w:hAnsi="Arial" w:cs="Arial"/>
          <w:lang w:val="hr-HR"/>
        </w:rPr>
        <w:t>an</w:t>
      </w:r>
      <w:r w:rsidRPr="00C5016E">
        <w:rPr>
          <w:rFonts w:ascii="Arial" w:hAnsi="Arial" w:cs="Arial"/>
          <w:lang w:val="hr-HR"/>
        </w:rPr>
        <w:t xml:space="preserve"> iznos neizmirenih ob</w:t>
      </w:r>
      <w:r w:rsidR="00C025DC" w:rsidRPr="00C5016E">
        <w:rPr>
          <w:rFonts w:ascii="Arial" w:hAnsi="Arial" w:cs="Arial"/>
          <w:lang w:val="hr-HR"/>
        </w:rPr>
        <w:t>veza.</w:t>
      </w:r>
    </w:p>
    <w:p w:rsidR="00C025DC" w:rsidRPr="00C5016E" w:rsidRDefault="00C025DC" w:rsidP="00C025DC">
      <w:pPr>
        <w:contextualSpacing/>
      </w:pPr>
      <w:r w:rsidRPr="00C5016E">
        <w:t>Imajući u vi</w:t>
      </w:r>
      <w:r w:rsidR="00D664CE" w:rsidRPr="00C5016E">
        <w:t>du da se navedene neizmirene ob</w:t>
      </w:r>
      <w:r w:rsidRPr="00C5016E">
        <w:t>veze odnose uglavnom na tekuće mjesečne rashode i subvencije za koje su već pribavljena sredstva, a uzimajući u obzir likvidnost i stabilnost Proračuna Federacije BiH i činjenic</w:t>
      </w:r>
      <w:r w:rsidR="00D664CE" w:rsidRPr="00C5016E">
        <w:t>u da se redovno izmiruju sve ob</w:t>
      </w:r>
      <w:r w:rsidRPr="00C5016E">
        <w:t>veze iz federalnog proračun</w:t>
      </w:r>
      <w:r w:rsidR="00D664CE" w:rsidRPr="00C5016E">
        <w:t>a, tako su i ove ob</w:t>
      </w:r>
      <w:r w:rsidRPr="00C5016E">
        <w:t>veze izmirene u prvom kvartalu 2023. godine.</w:t>
      </w:r>
    </w:p>
    <w:p w:rsidR="00C025DC" w:rsidRPr="00C5016E" w:rsidRDefault="00C025DC" w:rsidP="00C025DC">
      <w:pPr>
        <w:pStyle w:val="ListParagraph"/>
        <w:ind w:left="0"/>
        <w:rPr>
          <w:rFonts w:ascii="Arial" w:hAnsi="Arial" w:cs="Arial"/>
          <w:lang w:val="hr-HR"/>
        </w:rPr>
      </w:pPr>
    </w:p>
    <w:p w:rsidR="00C025DC" w:rsidRPr="00C5016E" w:rsidRDefault="00C025DC" w:rsidP="00C025DC">
      <w:pPr>
        <w:contextualSpacing/>
      </w:pPr>
    </w:p>
    <w:p w:rsidR="00C025DC" w:rsidRPr="00C5016E" w:rsidRDefault="00C025DC" w:rsidP="00C025DC">
      <w:pPr>
        <w:contextualSpacing/>
      </w:pPr>
    </w:p>
    <w:p w:rsidR="00C025DC" w:rsidRPr="00C5016E" w:rsidRDefault="00C025DC" w:rsidP="00C025DC">
      <w:pPr>
        <w:contextualSpacing/>
      </w:pPr>
    </w:p>
    <w:p w:rsidR="00C025DC" w:rsidRPr="00C5016E" w:rsidRDefault="00C025DC" w:rsidP="00C025DC">
      <w:pPr>
        <w:contextualSpacing/>
      </w:pPr>
    </w:p>
    <w:p w:rsidR="00C025DC" w:rsidRPr="00C5016E" w:rsidRDefault="00C025DC" w:rsidP="00C025DC">
      <w:pPr>
        <w:contextualSpacing/>
      </w:pPr>
    </w:p>
    <w:p w:rsidR="00C025DC" w:rsidRPr="00C5016E" w:rsidRDefault="00C025DC" w:rsidP="00C025DC">
      <w:pPr>
        <w:spacing w:before="0" w:after="160" w:line="259" w:lineRule="auto"/>
        <w:jc w:val="left"/>
      </w:pPr>
      <w:r w:rsidRPr="00C5016E">
        <w:br w:type="page"/>
      </w:r>
    </w:p>
    <w:p w:rsidR="00C025DC" w:rsidRPr="00C5016E" w:rsidRDefault="00C025DC" w:rsidP="00C025DC">
      <w:pPr>
        <w:pStyle w:val="Heading1"/>
        <w:rPr>
          <w:rFonts w:ascii="Arial" w:hAnsi="Arial" w:cs="Arial"/>
          <w:lang w:val="hr-HR" w:eastAsia="hr-HR"/>
        </w:rPr>
      </w:pPr>
      <w:bookmarkStart w:id="90" w:name="_Toc131505228"/>
      <w:r w:rsidRPr="00C5016E">
        <w:rPr>
          <w:rFonts w:ascii="Arial" w:hAnsi="Arial" w:cs="Arial"/>
          <w:lang w:val="hr-HR" w:eastAsia="hr-HR"/>
        </w:rPr>
        <w:lastRenderedPageBreak/>
        <w:t>NOVČANA SREDSTVA</w:t>
      </w:r>
      <w:bookmarkEnd w:id="90"/>
    </w:p>
    <w:p w:rsidR="00C025DC" w:rsidRPr="00C5016E" w:rsidRDefault="00C025DC" w:rsidP="00C025DC">
      <w:r w:rsidRPr="00C5016E">
        <w:t xml:space="preserve">Na dan 31. prosinca 2022., na Jedinstvenom računu </w:t>
      </w:r>
      <w:r w:rsidR="003E3EDD" w:rsidRPr="00C5016E">
        <w:t xml:space="preserve">Riznice </w:t>
      </w:r>
      <w:r w:rsidRPr="00C5016E">
        <w:t>(JR</w:t>
      </w:r>
      <w:r w:rsidR="003E3EDD" w:rsidRPr="00C5016E">
        <w:t>R</w:t>
      </w:r>
      <w:r w:rsidRPr="00C5016E">
        <w:t>) saldo novčanih sredstava iznosi 680.653.939,02 KM, od čega stanje novčanih sredstava na transakcijskim računima otvorenih kod poslovnih banaka (Union banka d.d. Sarajevo, ASA banka d.d. Sarajevo, Privredna banka Sarajevo d.d. Sarajevo, Intesa Sanpaolo Banka d.d. BiH) iznosi 524.953.483,34 K</w:t>
      </w:r>
      <w:r w:rsidRPr="00C5016E">
        <w:rPr>
          <w:bCs/>
        </w:rPr>
        <w:t>M</w:t>
      </w:r>
      <w:r w:rsidRPr="00C5016E">
        <w:t>, dok na posebnim namjenskim i donatorskim transakcijskim računima otvorenim kod Depozitne banke - Union bank</w:t>
      </w:r>
      <w:r w:rsidR="003E3EDD" w:rsidRPr="00C5016E">
        <w:t>e</w:t>
      </w:r>
      <w:r w:rsidRPr="00C5016E">
        <w:t xml:space="preserve"> d.d. Sar</w:t>
      </w:r>
      <w:r w:rsidR="0062797A" w:rsidRPr="00C5016E">
        <w:t>ajevo iznosi 155.700.455,68 KM.</w:t>
      </w:r>
    </w:p>
    <w:p w:rsidR="00C025DC" w:rsidRPr="00C5016E" w:rsidRDefault="00C025DC" w:rsidP="00C025DC">
      <w:r w:rsidRPr="00C5016E">
        <w:rPr>
          <w:bCs/>
        </w:rPr>
        <w:t>Početno st</w:t>
      </w:r>
      <w:r w:rsidR="003E3EDD" w:rsidRPr="00C5016E">
        <w:rPr>
          <w:bCs/>
        </w:rPr>
        <w:t xml:space="preserve">anje novčanih sredstava na dan 1. </w:t>
      </w:r>
      <w:r w:rsidRPr="00C5016E">
        <w:rPr>
          <w:bCs/>
        </w:rPr>
        <w:t>1.</w:t>
      </w:r>
      <w:r w:rsidR="003E3EDD" w:rsidRPr="00C5016E">
        <w:rPr>
          <w:bCs/>
        </w:rPr>
        <w:t xml:space="preserve"> </w:t>
      </w:r>
      <w:r w:rsidRPr="00C5016E">
        <w:rPr>
          <w:bCs/>
        </w:rPr>
        <w:t>2022. iznosilo je 559.483.887,34 KM</w:t>
      </w:r>
      <w:r w:rsidRPr="00C5016E">
        <w:t xml:space="preserve">. </w:t>
      </w:r>
    </w:p>
    <w:p w:rsidR="00C025DC" w:rsidRPr="00C5016E" w:rsidRDefault="00C025DC" w:rsidP="00C025DC">
      <w:pPr>
        <w:spacing w:before="0" w:after="0"/>
        <w:ind w:firstLine="720"/>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457"/>
        <w:gridCol w:w="2380"/>
      </w:tblGrid>
      <w:tr w:rsidR="00C5016E" w:rsidRPr="00C5016E" w:rsidTr="00C025DC">
        <w:trPr>
          <w:trHeight w:val="492"/>
        </w:trPr>
        <w:tc>
          <w:tcPr>
            <w:tcW w:w="883" w:type="dxa"/>
            <w:shd w:val="clear" w:color="auto" w:fill="auto"/>
            <w:vAlign w:val="center"/>
          </w:tcPr>
          <w:p w:rsidR="00C025DC" w:rsidRPr="00C5016E" w:rsidRDefault="00C025DC" w:rsidP="00C025DC">
            <w:pPr>
              <w:spacing w:before="0" w:after="0"/>
              <w:jc w:val="center"/>
              <w:rPr>
                <w:rFonts w:cs="Arial"/>
                <w:b/>
                <w:sz w:val="22"/>
              </w:rPr>
            </w:pPr>
          </w:p>
          <w:p w:rsidR="00C025DC" w:rsidRPr="00C5016E" w:rsidRDefault="00C025DC" w:rsidP="00C025DC">
            <w:pPr>
              <w:spacing w:before="0" w:after="0"/>
              <w:jc w:val="center"/>
              <w:rPr>
                <w:rFonts w:cs="Arial"/>
                <w:b/>
                <w:sz w:val="22"/>
              </w:rPr>
            </w:pPr>
            <w:r w:rsidRPr="00C5016E">
              <w:rPr>
                <w:rFonts w:cs="Arial"/>
                <w:b/>
                <w:sz w:val="22"/>
              </w:rPr>
              <w:t>Redni</w:t>
            </w:r>
          </w:p>
          <w:p w:rsidR="00C025DC" w:rsidRPr="00C5016E" w:rsidRDefault="00C025DC" w:rsidP="00C025DC">
            <w:pPr>
              <w:spacing w:before="0" w:after="0"/>
              <w:jc w:val="center"/>
              <w:rPr>
                <w:rFonts w:cs="Arial"/>
                <w:b/>
                <w:sz w:val="22"/>
              </w:rPr>
            </w:pPr>
            <w:r w:rsidRPr="00C5016E">
              <w:rPr>
                <w:rFonts w:cs="Arial"/>
                <w:b/>
                <w:sz w:val="22"/>
              </w:rPr>
              <w:t>broj</w:t>
            </w:r>
          </w:p>
        </w:tc>
        <w:tc>
          <w:tcPr>
            <w:tcW w:w="5517" w:type="dxa"/>
            <w:shd w:val="clear" w:color="auto" w:fill="auto"/>
            <w:vAlign w:val="center"/>
          </w:tcPr>
          <w:p w:rsidR="00C025DC" w:rsidRPr="00C5016E" w:rsidRDefault="00C025DC" w:rsidP="00C025DC">
            <w:pPr>
              <w:spacing w:before="0" w:after="0"/>
              <w:jc w:val="center"/>
              <w:rPr>
                <w:rFonts w:cs="Arial"/>
                <w:b/>
                <w:sz w:val="22"/>
              </w:rPr>
            </w:pPr>
            <w:r w:rsidRPr="00C5016E">
              <w:rPr>
                <w:rFonts w:cs="Arial"/>
                <w:b/>
                <w:sz w:val="22"/>
              </w:rPr>
              <w:t>Banka</w:t>
            </w:r>
          </w:p>
        </w:tc>
        <w:tc>
          <w:tcPr>
            <w:tcW w:w="2389" w:type="dxa"/>
            <w:shd w:val="clear" w:color="auto" w:fill="auto"/>
            <w:vAlign w:val="center"/>
          </w:tcPr>
          <w:p w:rsidR="00C025DC" w:rsidRPr="00C5016E" w:rsidRDefault="00C025DC" w:rsidP="00C025DC">
            <w:pPr>
              <w:spacing w:before="0" w:after="0"/>
              <w:jc w:val="center"/>
              <w:rPr>
                <w:rFonts w:cs="Arial"/>
                <w:b/>
                <w:sz w:val="22"/>
              </w:rPr>
            </w:pPr>
            <w:r w:rsidRPr="00C5016E">
              <w:rPr>
                <w:rFonts w:cs="Arial"/>
                <w:b/>
                <w:sz w:val="22"/>
              </w:rPr>
              <w:t>Saldo</w:t>
            </w:r>
          </w:p>
        </w:tc>
      </w:tr>
      <w:tr w:rsidR="00C5016E" w:rsidRPr="00C5016E" w:rsidTr="00C025DC">
        <w:tc>
          <w:tcPr>
            <w:tcW w:w="883" w:type="dxa"/>
            <w:shd w:val="clear" w:color="auto" w:fill="auto"/>
          </w:tcPr>
          <w:p w:rsidR="00C025DC" w:rsidRPr="00C5016E" w:rsidRDefault="00C025DC" w:rsidP="00C025DC">
            <w:pPr>
              <w:spacing w:before="0" w:after="0"/>
              <w:jc w:val="center"/>
              <w:rPr>
                <w:rFonts w:cs="Arial"/>
                <w:sz w:val="22"/>
              </w:rPr>
            </w:pPr>
            <w:r w:rsidRPr="00C5016E">
              <w:rPr>
                <w:rFonts w:cs="Arial"/>
                <w:sz w:val="22"/>
              </w:rPr>
              <w:t>1.</w:t>
            </w:r>
          </w:p>
        </w:tc>
        <w:tc>
          <w:tcPr>
            <w:tcW w:w="5517" w:type="dxa"/>
            <w:shd w:val="clear" w:color="auto" w:fill="auto"/>
          </w:tcPr>
          <w:p w:rsidR="00C025DC" w:rsidRPr="00C5016E" w:rsidRDefault="00C025DC" w:rsidP="00C025DC">
            <w:pPr>
              <w:spacing w:before="0" w:after="0"/>
              <w:rPr>
                <w:rFonts w:cs="Arial"/>
                <w:sz w:val="22"/>
              </w:rPr>
            </w:pPr>
            <w:r w:rsidRPr="00C5016E">
              <w:rPr>
                <w:rFonts w:cs="Arial"/>
                <w:sz w:val="22"/>
              </w:rPr>
              <w:t>Union banka d.d. Sarajevo</w:t>
            </w:r>
          </w:p>
        </w:tc>
        <w:tc>
          <w:tcPr>
            <w:tcW w:w="2389" w:type="dxa"/>
            <w:shd w:val="clear" w:color="auto" w:fill="auto"/>
          </w:tcPr>
          <w:p w:rsidR="00C025DC" w:rsidRPr="00C5016E" w:rsidRDefault="00C025DC" w:rsidP="00C025DC">
            <w:pPr>
              <w:spacing w:before="0" w:after="0"/>
              <w:jc w:val="right"/>
              <w:rPr>
                <w:rFonts w:cs="Arial"/>
                <w:sz w:val="22"/>
              </w:rPr>
            </w:pPr>
            <w:r w:rsidRPr="00C5016E">
              <w:rPr>
                <w:rFonts w:cs="Arial"/>
                <w:sz w:val="22"/>
              </w:rPr>
              <w:t>121.704.119,17</w:t>
            </w:r>
          </w:p>
        </w:tc>
      </w:tr>
      <w:tr w:rsidR="00C5016E" w:rsidRPr="00C5016E" w:rsidTr="00C025DC">
        <w:tc>
          <w:tcPr>
            <w:tcW w:w="883"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center"/>
              <w:rPr>
                <w:rFonts w:cs="Arial"/>
                <w:sz w:val="22"/>
              </w:rPr>
            </w:pPr>
            <w:r w:rsidRPr="00C5016E">
              <w:rPr>
                <w:rFonts w:cs="Arial"/>
                <w:sz w:val="22"/>
              </w:rPr>
              <w:t>2.</w:t>
            </w:r>
          </w:p>
        </w:tc>
        <w:tc>
          <w:tcPr>
            <w:tcW w:w="551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rPr>
                <w:rFonts w:cs="Arial"/>
                <w:sz w:val="22"/>
              </w:rPr>
            </w:pPr>
            <w:r w:rsidRPr="00C5016E">
              <w:t>ASA banka d.d. Sarajevo</w:t>
            </w:r>
          </w:p>
        </w:tc>
        <w:tc>
          <w:tcPr>
            <w:tcW w:w="238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156.961.886,45</w:t>
            </w:r>
          </w:p>
        </w:tc>
      </w:tr>
      <w:tr w:rsidR="00C5016E" w:rsidRPr="00C5016E" w:rsidTr="00C025DC">
        <w:tc>
          <w:tcPr>
            <w:tcW w:w="883" w:type="dxa"/>
            <w:shd w:val="clear" w:color="auto" w:fill="auto"/>
          </w:tcPr>
          <w:p w:rsidR="00C025DC" w:rsidRPr="00C5016E" w:rsidRDefault="00C025DC" w:rsidP="00C025DC">
            <w:pPr>
              <w:spacing w:before="0" w:after="0"/>
              <w:jc w:val="center"/>
              <w:rPr>
                <w:rFonts w:cs="Arial"/>
                <w:sz w:val="22"/>
              </w:rPr>
            </w:pPr>
            <w:r w:rsidRPr="00C5016E">
              <w:rPr>
                <w:rFonts w:cs="Arial"/>
                <w:sz w:val="22"/>
              </w:rPr>
              <w:t>3.</w:t>
            </w:r>
          </w:p>
        </w:tc>
        <w:tc>
          <w:tcPr>
            <w:tcW w:w="5517" w:type="dxa"/>
            <w:shd w:val="clear" w:color="auto" w:fill="auto"/>
          </w:tcPr>
          <w:p w:rsidR="00C025DC" w:rsidRPr="00C5016E" w:rsidRDefault="00C025DC" w:rsidP="00C025DC">
            <w:pPr>
              <w:spacing w:before="0" w:after="0"/>
              <w:rPr>
                <w:rFonts w:cs="Arial"/>
                <w:sz w:val="22"/>
              </w:rPr>
            </w:pPr>
            <w:r w:rsidRPr="00C5016E">
              <w:rPr>
                <w:rFonts w:cs="Arial"/>
                <w:sz w:val="22"/>
              </w:rPr>
              <w:t>Privredna banka Sarajevo d.d. Sarajevo</w:t>
            </w:r>
          </w:p>
        </w:tc>
        <w:tc>
          <w:tcPr>
            <w:tcW w:w="2389" w:type="dxa"/>
            <w:shd w:val="clear" w:color="auto" w:fill="auto"/>
          </w:tcPr>
          <w:p w:rsidR="00C025DC" w:rsidRPr="00C5016E" w:rsidRDefault="00C025DC" w:rsidP="00C025DC">
            <w:pPr>
              <w:spacing w:before="0" w:after="0"/>
              <w:jc w:val="right"/>
              <w:rPr>
                <w:rFonts w:cs="Arial"/>
                <w:sz w:val="22"/>
              </w:rPr>
            </w:pPr>
            <w:r w:rsidRPr="00C5016E">
              <w:rPr>
                <w:rFonts w:cs="Arial"/>
                <w:sz w:val="22"/>
              </w:rPr>
              <w:t>137.038.253,42</w:t>
            </w:r>
          </w:p>
        </w:tc>
      </w:tr>
      <w:tr w:rsidR="00C5016E" w:rsidRPr="00C5016E" w:rsidTr="00C025DC">
        <w:tc>
          <w:tcPr>
            <w:tcW w:w="883" w:type="dxa"/>
            <w:shd w:val="clear" w:color="auto" w:fill="auto"/>
          </w:tcPr>
          <w:p w:rsidR="00C025DC" w:rsidRPr="00C5016E" w:rsidRDefault="00C025DC" w:rsidP="00C025DC">
            <w:pPr>
              <w:spacing w:before="0" w:after="0"/>
              <w:jc w:val="center"/>
              <w:rPr>
                <w:rFonts w:cs="Arial"/>
                <w:sz w:val="22"/>
              </w:rPr>
            </w:pPr>
            <w:r w:rsidRPr="00C5016E">
              <w:rPr>
                <w:rFonts w:cs="Arial"/>
                <w:sz w:val="22"/>
              </w:rPr>
              <w:t>4.</w:t>
            </w:r>
          </w:p>
        </w:tc>
        <w:tc>
          <w:tcPr>
            <w:tcW w:w="5517" w:type="dxa"/>
            <w:shd w:val="clear" w:color="auto" w:fill="auto"/>
          </w:tcPr>
          <w:p w:rsidR="00C025DC" w:rsidRPr="00C5016E" w:rsidRDefault="00C025DC" w:rsidP="00C025DC">
            <w:pPr>
              <w:spacing w:before="0" w:after="0"/>
              <w:rPr>
                <w:rFonts w:cs="Arial"/>
                <w:sz w:val="22"/>
              </w:rPr>
            </w:pPr>
            <w:r w:rsidRPr="00C5016E">
              <w:rPr>
                <w:rFonts w:cs="Arial"/>
                <w:sz w:val="22"/>
              </w:rPr>
              <w:t>Intesa Sanpaolo</w:t>
            </w:r>
            <w:r w:rsidR="0050105F" w:rsidRPr="00C5016E">
              <w:rPr>
                <w:rFonts w:cs="Arial"/>
                <w:sz w:val="22"/>
              </w:rPr>
              <w:t xml:space="preserve"> </w:t>
            </w:r>
            <w:r w:rsidRPr="00C5016E">
              <w:rPr>
                <w:rFonts w:cs="Arial"/>
                <w:sz w:val="22"/>
              </w:rPr>
              <w:t>Banka d.d. BiH</w:t>
            </w:r>
          </w:p>
        </w:tc>
        <w:tc>
          <w:tcPr>
            <w:tcW w:w="2389" w:type="dxa"/>
            <w:shd w:val="clear" w:color="auto" w:fill="auto"/>
          </w:tcPr>
          <w:p w:rsidR="00C025DC" w:rsidRPr="00C5016E" w:rsidRDefault="00C025DC" w:rsidP="00C025DC">
            <w:pPr>
              <w:spacing w:before="0" w:after="0"/>
              <w:jc w:val="right"/>
              <w:rPr>
                <w:rFonts w:cs="Arial"/>
                <w:sz w:val="22"/>
              </w:rPr>
            </w:pPr>
            <w:r w:rsidRPr="00C5016E">
              <w:rPr>
                <w:rFonts w:cs="Arial"/>
                <w:sz w:val="22"/>
              </w:rPr>
              <w:t>109.249.224,30</w:t>
            </w:r>
          </w:p>
        </w:tc>
      </w:tr>
      <w:tr w:rsidR="00C5016E" w:rsidRPr="00C5016E" w:rsidTr="00C025DC">
        <w:tc>
          <w:tcPr>
            <w:tcW w:w="883" w:type="dxa"/>
            <w:shd w:val="clear" w:color="auto" w:fill="auto"/>
          </w:tcPr>
          <w:p w:rsidR="00C025DC" w:rsidRPr="00C5016E" w:rsidRDefault="00C025DC" w:rsidP="00C025DC">
            <w:pPr>
              <w:spacing w:before="0" w:after="0"/>
              <w:rPr>
                <w:rFonts w:cs="Arial"/>
                <w:sz w:val="22"/>
              </w:rPr>
            </w:pPr>
          </w:p>
        </w:tc>
        <w:tc>
          <w:tcPr>
            <w:tcW w:w="5517" w:type="dxa"/>
            <w:shd w:val="clear" w:color="auto" w:fill="auto"/>
          </w:tcPr>
          <w:p w:rsidR="00C025DC" w:rsidRPr="00C5016E" w:rsidRDefault="00C025DC" w:rsidP="00C025DC">
            <w:pPr>
              <w:spacing w:before="0" w:after="0"/>
              <w:rPr>
                <w:rFonts w:cs="Arial"/>
                <w:b/>
                <w:sz w:val="22"/>
              </w:rPr>
            </w:pPr>
            <w:r w:rsidRPr="00C5016E">
              <w:rPr>
                <w:rFonts w:cs="Arial"/>
                <w:b/>
                <w:sz w:val="22"/>
              </w:rPr>
              <w:t>UKUPNO</w:t>
            </w:r>
          </w:p>
        </w:tc>
        <w:tc>
          <w:tcPr>
            <w:tcW w:w="2389" w:type="dxa"/>
            <w:shd w:val="clear" w:color="auto" w:fill="auto"/>
          </w:tcPr>
          <w:p w:rsidR="00C025DC" w:rsidRPr="00C5016E" w:rsidRDefault="00C025DC" w:rsidP="00C025DC">
            <w:pPr>
              <w:spacing w:before="0" w:after="0"/>
              <w:jc w:val="right"/>
              <w:rPr>
                <w:rFonts w:cs="Arial"/>
                <w:b/>
                <w:sz w:val="22"/>
              </w:rPr>
            </w:pPr>
            <w:r w:rsidRPr="00C5016E">
              <w:rPr>
                <w:rFonts w:cs="Arial"/>
                <w:b/>
                <w:bCs/>
                <w:sz w:val="22"/>
              </w:rPr>
              <w:t>524.953.483,34</w:t>
            </w:r>
          </w:p>
        </w:tc>
      </w:tr>
    </w:tbl>
    <w:p w:rsidR="00C025DC" w:rsidRPr="00C5016E" w:rsidRDefault="00EF4C3C" w:rsidP="00C025DC">
      <w:pPr>
        <w:spacing w:before="0" w:after="0"/>
        <w:rPr>
          <w:rFonts w:cs="Arial"/>
          <w:sz w:val="22"/>
          <w:szCs w:val="24"/>
        </w:rPr>
      </w:pPr>
      <w:bookmarkStart w:id="91" w:name="_Toc99939234"/>
      <w:r w:rsidRPr="00C5016E">
        <w:rPr>
          <w:b/>
          <w:sz w:val="22"/>
        </w:rPr>
        <w:t>Tablica</w:t>
      </w:r>
      <w:r w:rsidR="00C025DC" w:rsidRPr="00C5016E">
        <w:rPr>
          <w:b/>
          <w:sz w:val="22"/>
        </w:rPr>
        <w:t xml:space="preserve"> 10: </w:t>
      </w:r>
      <w:r w:rsidR="00C025DC" w:rsidRPr="00C5016E">
        <w:rPr>
          <w:rFonts w:cs="Arial"/>
          <w:sz w:val="22"/>
          <w:szCs w:val="24"/>
        </w:rPr>
        <w:t>Stanje novčanih sredstava na dan 31.</w:t>
      </w:r>
      <w:r w:rsidR="0062797A" w:rsidRPr="00C5016E">
        <w:rPr>
          <w:rFonts w:cs="Arial"/>
          <w:sz w:val="22"/>
          <w:szCs w:val="24"/>
        </w:rPr>
        <w:t xml:space="preserve"> </w:t>
      </w:r>
      <w:r w:rsidR="00C025DC" w:rsidRPr="00C5016E">
        <w:rPr>
          <w:rFonts w:cs="Arial"/>
          <w:sz w:val="22"/>
          <w:szCs w:val="24"/>
        </w:rPr>
        <w:t>12.</w:t>
      </w:r>
      <w:r w:rsidR="0062797A" w:rsidRPr="00C5016E">
        <w:rPr>
          <w:rFonts w:cs="Arial"/>
          <w:sz w:val="22"/>
          <w:szCs w:val="24"/>
        </w:rPr>
        <w:t xml:space="preserve"> </w:t>
      </w:r>
      <w:r w:rsidR="00C025DC" w:rsidRPr="00C5016E">
        <w:rPr>
          <w:rFonts w:cs="Arial"/>
          <w:sz w:val="22"/>
          <w:szCs w:val="24"/>
        </w:rPr>
        <w:t>2022. na transakcijskim računima</w:t>
      </w:r>
      <w:bookmarkEnd w:id="91"/>
    </w:p>
    <w:p w:rsidR="00C025DC" w:rsidRPr="00C5016E" w:rsidRDefault="00C025DC" w:rsidP="00C025DC">
      <w:pPr>
        <w:spacing w:before="0" w:after="0"/>
        <w:rPr>
          <w:rFonts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95"/>
        <w:gridCol w:w="1843"/>
      </w:tblGrid>
      <w:tr w:rsidR="00C5016E" w:rsidRPr="00C5016E" w:rsidTr="00C025DC">
        <w:trPr>
          <w:trHeight w:val="512"/>
        </w:trPr>
        <w:tc>
          <w:tcPr>
            <w:tcW w:w="851" w:type="dxa"/>
            <w:shd w:val="clear" w:color="auto" w:fill="auto"/>
            <w:vAlign w:val="center"/>
          </w:tcPr>
          <w:p w:rsidR="00C025DC" w:rsidRPr="00C5016E" w:rsidRDefault="00C025DC" w:rsidP="00C025DC">
            <w:pPr>
              <w:spacing w:before="0" w:after="0"/>
              <w:jc w:val="center"/>
              <w:rPr>
                <w:rFonts w:cs="Arial"/>
                <w:b/>
                <w:sz w:val="22"/>
              </w:rPr>
            </w:pPr>
            <w:bookmarkStart w:id="92" w:name="_Toc99939235"/>
            <w:r w:rsidRPr="00C5016E">
              <w:rPr>
                <w:rFonts w:cs="Arial"/>
                <w:b/>
                <w:sz w:val="22"/>
              </w:rPr>
              <w:t>Redni broj</w:t>
            </w:r>
          </w:p>
        </w:tc>
        <w:tc>
          <w:tcPr>
            <w:tcW w:w="6095" w:type="dxa"/>
            <w:shd w:val="clear" w:color="auto" w:fill="auto"/>
            <w:vAlign w:val="center"/>
          </w:tcPr>
          <w:p w:rsidR="00C025DC" w:rsidRPr="00C5016E" w:rsidRDefault="00C025DC" w:rsidP="00C025DC">
            <w:pPr>
              <w:spacing w:before="0" w:after="0"/>
              <w:jc w:val="center"/>
              <w:rPr>
                <w:rFonts w:cs="Arial"/>
                <w:b/>
                <w:sz w:val="22"/>
              </w:rPr>
            </w:pPr>
            <w:r w:rsidRPr="00C5016E">
              <w:rPr>
                <w:rFonts w:cs="Arial"/>
                <w:b/>
                <w:sz w:val="22"/>
              </w:rPr>
              <w:t>Naziv računa</w:t>
            </w:r>
          </w:p>
        </w:tc>
        <w:tc>
          <w:tcPr>
            <w:tcW w:w="1843" w:type="dxa"/>
            <w:shd w:val="clear" w:color="auto" w:fill="auto"/>
            <w:vAlign w:val="center"/>
          </w:tcPr>
          <w:p w:rsidR="00C025DC" w:rsidRPr="00C5016E" w:rsidRDefault="00C025DC" w:rsidP="00C025DC">
            <w:pPr>
              <w:spacing w:before="0" w:after="0"/>
              <w:jc w:val="center"/>
              <w:rPr>
                <w:rFonts w:cs="Arial"/>
                <w:b/>
                <w:sz w:val="22"/>
              </w:rPr>
            </w:pPr>
            <w:r w:rsidRPr="00C5016E">
              <w:rPr>
                <w:rFonts w:cs="Arial"/>
                <w:b/>
                <w:sz w:val="22"/>
              </w:rPr>
              <w:t>Iznos preknjiženih sredstava</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w:t>
            </w:r>
          </w:p>
        </w:tc>
        <w:tc>
          <w:tcPr>
            <w:tcW w:w="6095" w:type="dxa"/>
            <w:shd w:val="clear" w:color="auto" w:fill="auto"/>
          </w:tcPr>
          <w:p w:rsidR="00C025DC" w:rsidRPr="00C5016E" w:rsidRDefault="00C025DC" w:rsidP="00A54BD3">
            <w:pPr>
              <w:spacing w:before="0" w:after="0"/>
              <w:rPr>
                <w:rFonts w:cs="Arial"/>
                <w:sz w:val="22"/>
              </w:rPr>
            </w:pPr>
            <w:r w:rsidRPr="00C5016E">
              <w:rPr>
                <w:rFonts w:cs="Arial"/>
                <w:sz w:val="22"/>
              </w:rPr>
              <w:t xml:space="preserve">Razvoj i unapređenje </w:t>
            </w:r>
            <w:r w:rsidR="00A54BD3" w:rsidRPr="00C5016E">
              <w:rPr>
                <w:rFonts w:cs="Arial"/>
                <w:sz w:val="22"/>
              </w:rPr>
              <w:t>zračnog</w:t>
            </w:r>
            <w:r w:rsidRPr="00C5016E">
              <w:rPr>
                <w:rFonts w:cs="Arial"/>
                <w:sz w:val="22"/>
              </w:rPr>
              <w:t xml:space="preserve"> prometa u FBiH</w:t>
            </w:r>
          </w:p>
        </w:tc>
        <w:tc>
          <w:tcPr>
            <w:tcW w:w="1843" w:type="dxa"/>
            <w:shd w:val="clear" w:color="auto" w:fill="auto"/>
          </w:tcPr>
          <w:p w:rsidR="00C025DC" w:rsidRPr="00C5016E" w:rsidRDefault="00C025DC" w:rsidP="00C025DC">
            <w:pPr>
              <w:spacing w:before="0" w:after="0"/>
              <w:jc w:val="right"/>
              <w:rPr>
                <w:rFonts w:cs="Arial"/>
                <w:sz w:val="22"/>
              </w:rPr>
            </w:pPr>
            <w:r w:rsidRPr="00C5016E">
              <w:rPr>
                <w:rFonts w:cs="Arial"/>
                <w:sz w:val="22"/>
              </w:rPr>
              <w:t>3.432.543,36</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Prihodi od GSM licenc</w:t>
            </w:r>
            <w:r w:rsidR="0062797A" w:rsidRPr="00C5016E">
              <w:rPr>
                <w:rFonts w:cs="Arial"/>
                <w:sz w:val="22"/>
              </w:rPr>
              <w:t>ij</w:t>
            </w:r>
            <w:r w:rsidRPr="00C5016E">
              <w:rPr>
                <w:rFonts w:cs="Arial"/>
                <w:sz w:val="22"/>
              </w:rPr>
              <w:t>e</w:t>
            </w:r>
          </w:p>
        </w:tc>
        <w:tc>
          <w:tcPr>
            <w:tcW w:w="1843" w:type="dxa"/>
            <w:shd w:val="clear" w:color="auto" w:fill="auto"/>
          </w:tcPr>
          <w:p w:rsidR="00C025DC" w:rsidRPr="00C5016E" w:rsidRDefault="00C025DC" w:rsidP="00C025DC">
            <w:pPr>
              <w:spacing w:before="0" w:after="0"/>
              <w:jc w:val="right"/>
              <w:rPr>
                <w:rFonts w:cs="Arial"/>
                <w:sz w:val="22"/>
              </w:rPr>
            </w:pPr>
            <w:r w:rsidRPr="00C5016E">
              <w:rPr>
                <w:rFonts w:cs="Arial"/>
                <w:sz w:val="22"/>
              </w:rPr>
              <w:t>351,63</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Uplata naknada i prihoda za korištenje šuma</w:t>
            </w:r>
          </w:p>
        </w:tc>
        <w:tc>
          <w:tcPr>
            <w:tcW w:w="1843" w:type="dxa"/>
            <w:shd w:val="clear" w:color="auto" w:fill="auto"/>
          </w:tcPr>
          <w:p w:rsidR="00C025DC" w:rsidRPr="00C5016E" w:rsidRDefault="00C025DC" w:rsidP="00C025DC">
            <w:pPr>
              <w:spacing w:before="0" w:after="0"/>
              <w:jc w:val="right"/>
              <w:rPr>
                <w:rFonts w:cs="Arial"/>
                <w:sz w:val="22"/>
              </w:rPr>
            </w:pPr>
            <w:r w:rsidRPr="00C5016E">
              <w:rPr>
                <w:rFonts w:cs="Arial"/>
                <w:sz w:val="22"/>
              </w:rPr>
              <w:t>2.781.336,08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4.</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Naknade iz osiguranja od požara</w:t>
            </w:r>
          </w:p>
        </w:tc>
        <w:tc>
          <w:tcPr>
            <w:tcW w:w="1843" w:type="dxa"/>
            <w:shd w:val="clear" w:color="auto" w:fill="auto"/>
          </w:tcPr>
          <w:p w:rsidR="00C025DC" w:rsidRPr="00C5016E" w:rsidRDefault="00C025DC" w:rsidP="00C025DC">
            <w:pPr>
              <w:spacing w:before="0" w:after="0"/>
              <w:jc w:val="right"/>
              <w:rPr>
                <w:rFonts w:cs="Arial"/>
                <w:sz w:val="22"/>
              </w:rPr>
            </w:pPr>
            <w:r w:rsidRPr="00C5016E">
              <w:rPr>
                <w:rFonts w:cs="Arial"/>
                <w:sz w:val="22"/>
              </w:rPr>
              <w:t>628.742,52</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5.</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Prikupljanje prihoda ostvarenih od naknada za tehničke preglede, polaganja stručnih ispita, izdavanja licenci</w:t>
            </w:r>
            <w:r w:rsidR="000F0C50" w:rsidRPr="00C5016E">
              <w:rPr>
                <w:rFonts w:cs="Arial"/>
                <w:sz w:val="22"/>
              </w:rPr>
              <w:t>ja</w:t>
            </w:r>
            <w:r w:rsidRPr="00C5016E">
              <w:rPr>
                <w:rFonts w:cs="Arial"/>
                <w:sz w:val="22"/>
              </w:rPr>
              <w:t>, uvjerenja, certifikata i ostalo</w:t>
            </w:r>
          </w:p>
        </w:tc>
        <w:tc>
          <w:tcPr>
            <w:tcW w:w="1843" w:type="dxa"/>
            <w:shd w:val="clear" w:color="auto" w:fill="auto"/>
          </w:tcPr>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r w:rsidRPr="00C5016E">
              <w:rPr>
                <w:rFonts w:cs="Arial"/>
                <w:sz w:val="22"/>
              </w:rPr>
              <w:t>626.611,56</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6.</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Prikupljanje prihoda ostvarenih od prometa Lutrije BiH i naknada od priređivanja igara na sreću</w:t>
            </w:r>
          </w:p>
        </w:tc>
        <w:tc>
          <w:tcPr>
            <w:tcW w:w="1843" w:type="dxa"/>
            <w:shd w:val="clear" w:color="auto" w:fill="auto"/>
          </w:tcPr>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r w:rsidRPr="00C5016E">
              <w:rPr>
                <w:rFonts w:cs="Arial"/>
                <w:sz w:val="22"/>
              </w:rPr>
              <w:t>3.642.294,10</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7.</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Prihodi od pružanja ugostiteljskih usluga</w:t>
            </w:r>
          </w:p>
        </w:tc>
        <w:tc>
          <w:tcPr>
            <w:tcW w:w="1843" w:type="dxa"/>
            <w:shd w:val="clear" w:color="auto" w:fill="auto"/>
          </w:tcPr>
          <w:p w:rsidR="00C025DC" w:rsidRPr="00C5016E" w:rsidRDefault="00C025DC" w:rsidP="00C025DC">
            <w:pPr>
              <w:spacing w:before="0" w:after="0"/>
              <w:jc w:val="right"/>
              <w:rPr>
                <w:rFonts w:cs="Arial"/>
                <w:sz w:val="22"/>
              </w:rPr>
            </w:pPr>
            <w:r w:rsidRPr="00C5016E">
              <w:rPr>
                <w:rFonts w:cs="Arial"/>
                <w:sz w:val="22"/>
              </w:rPr>
              <w:t>699.147,09</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8.</w:t>
            </w:r>
          </w:p>
        </w:tc>
        <w:tc>
          <w:tcPr>
            <w:tcW w:w="6095" w:type="dxa"/>
            <w:shd w:val="clear" w:color="auto" w:fill="auto"/>
          </w:tcPr>
          <w:p w:rsidR="00C025DC" w:rsidRPr="00C5016E" w:rsidRDefault="00C025DC" w:rsidP="00834957">
            <w:pPr>
              <w:spacing w:before="0" w:after="0"/>
              <w:rPr>
                <w:rFonts w:cs="Arial"/>
                <w:sz w:val="22"/>
              </w:rPr>
            </w:pPr>
            <w:r w:rsidRPr="00C5016E">
              <w:rPr>
                <w:rFonts w:cs="Arial"/>
                <w:sz w:val="22"/>
              </w:rPr>
              <w:t xml:space="preserve">Energoinvest d.d. Sarajevo za plaćanje </w:t>
            </w:r>
            <w:r w:rsidR="00834957" w:rsidRPr="00C5016E">
              <w:rPr>
                <w:rFonts w:cs="Arial"/>
                <w:sz w:val="22"/>
              </w:rPr>
              <w:t>pristojbe</w:t>
            </w:r>
            <w:r w:rsidRPr="00C5016E">
              <w:rPr>
                <w:rFonts w:cs="Arial"/>
                <w:sz w:val="22"/>
              </w:rPr>
              <w:t xml:space="preserve"> Gasprom Export u Moskvi</w:t>
            </w:r>
          </w:p>
        </w:tc>
        <w:tc>
          <w:tcPr>
            <w:tcW w:w="1843" w:type="dxa"/>
            <w:shd w:val="clear" w:color="auto" w:fill="auto"/>
          </w:tcPr>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r w:rsidRPr="00C5016E">
              <w:rPr>
                <w:rFonts w:cs="Arial"/>
                <w:sz w:val="22"/>
              </w:rPr>
              <w:t>264.176,08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9.</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Polaganja stručnog i za registraciju i obnovu registracije lijekova koji se upotrebljavaju u veterinarstvu</w:t>
            </w:r>
          </w:p>
        </w:tc>
        <w:tc>
          <w:tcPr>
            <w:tcW w:w="1843" w:type="dxa"/>
            <w:shd w:val="clear" w:color="auto" w:fill="auto"/>
          </w:tcPr>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r w:rsidRPr="00C5016E">
              <w:rPr>
                <w:rFonts w:cs="Arial"/>
                <w:sz w:val="22"/>
              </w:rPr>
              <w:t>54.373,08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10.</w:t>
            </w:r>
          </w:p>
        </w:tc>
        <w:tc>
          <w:tcPr>
            <w:tcW w:w="6095" w:type="dxa"/>
            <w:shd w:val="clear" w:color="auto" w:fill="auto"/>
          </w:tcPr>
          <w:p w:rsidR="00C025DC" w:rsidRPr="00C5016E" w:rsidRDefault="00C025DC" w:rsidP="00834957">
            <w:pPr>
              <w:spacing w:before="0" w:after="0"/>
              <w:rPr>
                <w:rFonts w:cs="Arial"/>
                <w:sz w:val="22"/>
              </w:rPr>
            </w:pPr>
            <w:r w:rsidRPr="00C5016E">
              <w:rPr>
                <w:rFonts w:cs="Arial"/>
                <w:sz w:val="22"/>
              </w:rPr>
              <w:t xml:space="preserve">Uplata </w:t>
            </w:r>
            <w:r w:rsidR="00834957" w:rsidRPr="00C5016E">
              <w:rPr>
                <w:rFonts w:cs="Arial"/>
                <w:sz w:val="22"/>
              </w:rPr>
              <w:t>pristojbi</w:t>
            </w:r>
            <w:r w:rsidRPr="00C5016E">
              <w:rPr>
                <w:rFonts w:cs="Arial"/>
                <w:sz w:val="22"/>
              </w:rPr>
              <w:t xml:space="preserve"> za uspostavu rezervi za naftne derivate</w:t>
            </w:r>
          </w:p>
        </w:tc>
        <w:tc>
          <w:tcPr>
            <w:tcW w:w="1843" w:type="dxa"/>
            <w:shd w:val="clear" w:color="auto" w:fill="auto"/>
          </w:tcPr>
          <w:p w:rsidR="00C025DC" w:rsidRPr="00C5016E" w:rsidRDefault="00C025DC" w:rsidP="00C025DC">
            <w:pPr>
              <w:spacing w:before="0" w:after="0"/>
              <w:jc w:val="right"/>
              <w:rPr>
                <w:rFonts w:cs="Arial"/>
                <w:sz w:val="22"/>
              </w:rPr>
            </w:pPr>
            <w:r w:rsidRPr="00C5016E">
              <w:rPr>
                <w:rFonts w:cs="Arial"/>
                <w:sz w:val="22"/>
              </w:rPr>
              <w:t>983.199,42</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11.</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Polaganje specijalističkih i stručnih ispita zdravstvenih djelatnika</w:t>
            </w:r>
          </w:p>
        </w:tc>
        <w:tc>
          <w:tcPr>
            <w:tcW w:w="1843" w:type="dxa"/>
            <w:shd w:val="clear" w:color="auto" w:fill="auto"/>
          </w:tcPr>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r w:rsidRPr="00C5016E">
              <w:rPr>
                <w:rFonts w:cs="Arial"/>
                <w:sz w:val="22"/>
              </w:rPr>
              <w:t>1.617.895,38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12.</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Garancijski fond</w:t>
            </w:r>
          </w:p>
        </w:tc>
        <w:tc>
          <w:tcPr>
            <w:tcW w:w="1843" w:type="dxa"/>
            <w:shd w:val="clear" w:color="auto" w:fill="auto"/>
          </w:tcPr>
          <w:p w:rsidR="00C025DC" w:rsidRPr="00C5016E" w:rsidRDefault="00C025DC" w:rsidP="00C025DC">
            <w:pPr>
              <w:spacing w:before="0" w:after="0"/>
              <w:jc w:val="right"/>
              <w:rPr>
                <w:rFonts w:cs="Arial"/>
                <w:sz w:val="22"/>
              </w:rPr>
            </w:pPr>
            <w:r w:rsidRPr="00C5016E">
              <w:rPr>
                <w:rFonts w:cs="Arial"/>
                <w:sz w:val="22"/>
              </w:rPr>
              <w:t>47.728.719,02</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13.</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Sredstva za zaštitu i spašavanje</w:t>
            </w:r>
          </w:p>
        </w:tc>
        <w:tc>
          <w:tcPr>
            <w:tcW w:w="1843" w:type="dxa"/>
            <w:shd w:val="clear" w:color="auto" w:fill="auto"/>
          </w:tcPr>
          <w:p w:rsidR="00C025DC" w:rsidRPr="00C5016E" w:rsidRDefault="00C025DC" w:rsidP="00C025DC">
            <w:pPr>
              <w:spacing w:before="0" w:after="0"/>
              <w:jc w:val="right"/>
              <w:rPr>
                <w:rFonts w:cs="Arial"/>
                <w:sz w:val="22"/>
              </w:rPr>
            </w:pPr>
            <w:r w:rsidRPr="00C5016E">
              <w:rPr>
                <w:rFonts w:cs="Arial"/>
                <w:sz w:val="22"/>
              </w:rPr>
              <w:t>15.880.610,00</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14.</w:t>
            </w:r>
          </w:p>
        </w:tc>
        <w:tc>
          <w:tcPr>
            <w:tcW w:w="6095" w:type="dxa"/>
            <w:shd w:val="clear" w:color="auto" w:fill="auto"/>
          </w:tcPr>
          <w:p w:rsidR="00C025DC" w:rsidRPr="00C5016E" w:rsidRDefault="00C025DC" w:rsidP="00834957">
            <w:pPr>
              <w:spacing w:before="0" w:after="0"/>
              <w:rPr>
                <w:rFonts w:cs="Arial"/>
                <w:sz w:val="22"/>
              </w:rPr>
            </w:pPr>
            <w:r w:rsidRPr="00C5016E">
              <w:rPr>
                <w:rFonts w:cs="Arial"/>
                <w:sz w:val="22"/>
              </w:rPr>
              <w:t>Prikupljanje prihoda ostvarenih od naknada za polaganje ispita za rukovodi</w:t>
            </w:r>
            <w:r w:rsidR="00834957" w:rsidRPr="00C5016E">
              <w:rPr>
                <w:rFonts w:cs="Arial"/>
                <w:sz w:val="22"/>
              </w:rPr>
              <w:t>telja</w:t>
            </w:r>
            <w:r w:rsidRPr="00C5016E">
              <w:rPr>
                <w:rFonts w:cs="Arial"/>
                <w:sz w:val="22"/>
              </w:rPr>
              <w:t xml:space="preserve"> akcije gašenja požara</w:t>
            </w:r>
          </w:p>
        </w:tc>
        <w:tc>
          <w:tcPr>
            <w:tcW w:w="1843" w:type="dxa"/>
            <w:shd w:val="clear" w:color="auto" w:fill="auto"/>
          </w:tcPr>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r w:rsidRPr="00C5016E">
              <w:rPr>
                <w:rFonts w:cs="Arial"/>
                <w:sz w:val="22"/>
              </w:rPr>
              <w:t>4.129,06</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lastRenderedPageBreak/>
              <w:t>15.</w:t>
            </w:r>
          </w:p>
        </w:tc>
        <w:tc>
          <w:tcPr>
            <w:tcW w:w="6095" w:type="dxa"/>
            <w:shd w:val="clear" w:color="auto" w:fill="auto"/>
          </w:tcPr>
          <w:p w:rsidR="00C025DC" w:rsidRPr="00C5016E" w:rsidRDefault="00C025DC" w:rsidP="00834957">
            <w:pPr>
              <w:spacing w:before="0" w:after="0"/>
              <w:rPr>
                <w:rFonts w:cs="Arial"/>
                <w:sz w:val="22"/>
              </w:rPr>
            </w:pPr>
            <w:r w:rsidRPr="00C5016E">
              <w:rPr>
                <w:rFonts w:cs="Arial"/>
                <w:sz w:val="22"/>
              </w:rPr>
              <w:t>Uplata sredstava po osnov</w:t>
            </w:r>
            <w:r w:rsidR="00834957" w:rsidRPr="00C5016E">
              <w:rPr>
                <w:rFonts w:cs="Arial"/>
                <w:sz w:val="22"/>
              </w:rPr>
              <w:t>i</w:t>
            </w:r>
            <w:r w:rsidRPr="00C5016E">
              <w:rPr>
                <w:rFonts w:cs="Arial"/>
                <w:sz w:val="22"/>
              </w:rPr>
              <w:t xml:space="preserve"> naknade za korištenje službenih stanova za privremeni smještaj</w:t>
            </w:r>
          </w:p>
        </w:tc>
        <w:tc>
          <w:tcPr>
            <w:tcW w:w="1843" w:type="dxa"/>
            <w:shd w:val="clear" w:color="auto" w:fill="auto"/>
          </w:tcPr>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r w:rsidRPr="00C5016E">
              <w:rPr>
                <w:rFonts w:cs="Arial"/>
                <w:sz w:val="22"/>
              </w:rPr>
              <w:t>258.316,52</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16.</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Izdavanje okolišnih dozvola i kategorizaciju ugostiteljskih objekata</w:t>
            </w:r>
          </w:p>
        </w:tc>
        <w:tc>
          <w:tcPr>
            <w:tcW w:w="1843" w:type="dxa"/>
            <w:shd w:val="clear" w:color="auto" w:fill="auto"/>
          </w:tcPr>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r w:rsidRPr="00C5016E">
              <w:rPr>
                <w:rFonts w:cs="Arial"/>
                <w:sz w:val="22"/>
              </w:rPr>
              <w:t>17.463,40</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17.</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 xml:space="preserve">Fed. Ministarstvo </w:t>
            </w:r>
            <w:r w:rsidR="00834957" w:rsidRPr="00C5016E">
              <w:rPr>
                <w:rFonts w:cs="Arial"/>
                <w:sz w:val="22"/>
              </w:rPr>
              <w:t>pravde</w:t>
            </w:r>
            <w:r w:rsidRPr="00C5016E">
              <w:rPr>
                <w:rFonts w:cs="Arial"/>
                <w:sz w:val="22"/>
              </w:rPr>
              <w:t xml:space="preserve"> – polaganje stručnih ispita</w:t>
            </w:r>
          </w:p>
        </w:tc>
        <w:tc>
          <w:tcPr>
            <w:tcW w:w="1843" w:type="dxa"/>
            <w:shd w:val="clear" w:color="auto" w:fill="auto"/>
          </w:tcPr>
          <w:p w:rsidR="00C025DC" w:rsidRPr="00C5016E" w:rsidRDefault="00C025DC" w:rsidP="00C025DC">
            <w:pPr>
              <w:spacing w:before="0" w:after="0"/>
              <w:jc w:val="right"/>
              <w:rPr>
                <w:rFonts w:cs="Arial"/>
                <w:sz w:val="22"/>
              </w:rPr>
            </w:pPr>
            <w:r w:rsidRPr="00C5016E">
              <w:rPr>
                <w:rFonts w:cs="Arial"/>
                <w:sz w:val="22"/>
              </w:rPr>
              <w:t>75.180,94</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18.</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ZZJZ FBiH – Stručna edukacija</w:t>
            </w:r>
          </w:p>
        </w:tc>
        <w:tc>
          <w:tcPr>
            <w:tcW w:w="1843" w:type="dxa"/>
            <w:shd w:val="clear" w:color="auto" w:fill="auto"/>
          </w:tcPr>
          <w:p w:rsidR="00C025DC" w:rsidRPr="00C5016E" w:rsidRDefault="00C025DC" w:rsidP="00C025DC">
            <w:pPr>
              <w:spacing w:before="0" w:after="0"/>
              <w:jc w:val="right"/>
              <w:rPr>
                <w:rFonts w:cs="Arial"/>
                <w:sz w:val="22"/>
              </w:rPr>
            </w:pPr>
            <w:r w:rsidRPr="00C5016E">
              <w:rPr>
                <w:rFonts w:cs="Arial"/>
                <w:sz w:val="22"/>
              </w:rPr>
              <w:t>115.277,08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19.</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Polaganje stručnog arhivističkog ispita</w:t>
            </w:r>
          </w:p>
        </w:tc>
        <w:tc>
          <w:tcPr>
            <w:tcW w:w="1843" w:type="dxa"/>
            <w:shd w:val="clear" w:color="auto" w:fill="auto"/>
          </w:tcPr>
          <w:p w:rsidR="00C025DC" w:rsidRPr="00C5016E" w:rsidRDefault="00C025DC" w:rsidP="00C025DC">
            <w:pPr>
              <w:spacing w:before="0" w:after="0"/>
              <w:jc w:val="right"/>
              <w:rPr>
                <w:rFonts w:cs="Arial"/>
                <w:sz w:val="22"/>
              </w:rPr>
            </w:pPr>
            <w:r w:rsidRPr="00C5016E">
              <w:rPr>
                <w:rFonts w:cs="Arial"/>
                <w:sz w:val="22"/>
              </w:rPr>
              <w:t>3.733,20</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20.</w:t>
            </w:r>
          </w:p>
        </w:tc>
        <w:tc>
          <w:tcPr>
            <w:tcW w:w="6095" w:type="dxa"/>
            <w:shd w:val="clear" w:color="auto" w:fill="auto"/>
          </w:tcPr>
          <w:p w:rsidR="00C025DC" w:rsidRPr="00C5016E" w:rsidRDefault="00C025DC" w:rsidP="00C025DC">
            <w:pPr>
              <w:spacing w:before="0" w:after="0"/>
              <w:rPr>
                <w:rFonts w:cs="Arial"/>
                <w:sz w:val="22"/>
              </w:rPr>
            </w:pPr>
            <w:r w:rsidRPr="00C5016E">
              <w:rPr>
                <w:rFonts w:cs="Arial"/>
                <w:sz w:val="22"/>
              </w:rPr>
              <w:t>Upravljanje razvojnim sredstvima za implementaciju sredstava namijenjenih za financiranje kapitalnih infrastrukturnih projekata</w:t>
            </w:r>
          </w:p>
        </w:tc>
        <w:tc>
          <w:tcPr>
            <w:tcW w:w="1843" w:type="dxa"/>
            <w:shd w:val="clear" w:color="auto" w:fill="auto"/>
          </w:tcPr>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r w:rsidRPr="00C5016E">
              <w:rPr>
                <w:rFonts w:cs="Arial"/>
                <w:sz w:val="22"/>
              </w:rPr>
              <w:t>51.979.163,08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21.</w:t>
            </w:r>
          </w:p>
        </w:tc>
        <w:tc>
          <w:tcPr>
            <w:tcW w:w="6095" w:type="dxa"/>
            <w:shd w:val="clear" w:color="auto" w:fill="auto"/>
          </w:tcPr>
          <w:p w:rsidR="00C025DC" w:rsidRPr="00C5016E" w:rsidRDefault="00C025DC" w:rsidP="00834957">
            <w:pPr>
              <w:spacing w:before="0" w:after="0"/>
              <w:rPr>
                <w:rFonts w:cs="Arial"/>
                <w:sz w:val="22"/>
              </w:rPr>
            </w:pPr>
            <w:r w:rsidRPr="00C5016E">
              <w:rPr>
                <w:rFonts w:cs="Arial"/>
                <w:sz w:val="22"/>
              </w:rPr>
              <w:t xml:space="preserve">Upravljanje razvojnim sredstvima u </w:t>
            </w:r>
            <w:r w:rsidR="00834957" w:rsidRPr="00C5016E">
              <w:rPr>
                <w:rFonts w:cs="Arial"/>
                <w:sz w:val="22"/>
              </w:rPr>
              <w:t>okviru</w:t>
            </w:r>
            <w:r w:rsidRPr="00C5016E">
              <w:rPr>
                <w:rFonts w:cs="Arial"/>
                <w:sz w:val="22"/>
              </w:rPr>
              <w:t xml:space="preserve"> JR</w:t>
            </w:r>
            <w:r w:rsidR="00834957" w:rsidRPr="00C5016E">
              <w:rPr>
                <w:rFonts w:cs="Arial"/>
                <w:sz w:val="22"/>
              </w:rPr>
              <w:t>R</w:t>
            </w:r>
            <w:r w:rsidRPr="00C5016E">
              <w:rPr>
                <w:rFonts w:cs="Arial"/>
                <w:sz w:val="22"/>
              </w:rPr>
              <w:t xml:space="preserve"> za implementaciju sredstava </w:t>
            </w:r>
            <w:r w:rsidR="00834957" w:rsidRPr="00C5016E">
              <w:rPr>
                <w:rFonts w:cs="Arial"/>
                <w:sz w:val="22"/>
              </w:rPr>
              <w:t>namijenjenih</w:t>
            </w:r>
            <w:r w:rsidRPr="00C5016E">
              <w:rPr>
                <w:rFonts w:cs="Arial"/>
                <w:sz w:val="22"/>
              </w:rPr>
              <w:t xml:space="preserve"> za potrebe izgradnje aerodroma u Federaciji BiH</w:t>
            </w:r>
          </w:p>
        </w:tc>
        <w:tc>
          <w:tcPr>
            <w:tcW w:w="1843" w:type="dxa"/>
            <w:shd w:val="clear" w:color="auto" w:fill="auto"/>
          </w:tcPr>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p>
          <w:p w:rsidR="00C025DC" w:rsidRPr="00C5016E" w:rsidRDefault="00C025DC" w:rsidP="00C025DC">
            <w:pPr>
              <w:spacing w:before="0" w:after="0"/>
              <w:jc w:val="right"/>
              <w:rPr>
                <w:rFonts w:cs="Arial"/>
                <w:sz w:val="22"/>
              </w:rPr>
            </w:pPr>
            <w:r w:rsidRPr="00C5016E">
              <w:rPr>
                <w:rFonts w:cs="Arial"/>
                <w:sz w:val="22"/>
              </w:rPr>
              <w:t>22.608.748,79</w:t>
            </w:r>
          </w:p>
        </w:tc>
      </w:tr>
      <w:tr w:rsidR="00C5016E" w:rsidRPr="00C5016E" w:rsidTr="00C025DC">
        <w:tc>
          <w:tcPr>
            <w:tcW w:w="851" w:type="dxa"/>
            <w:shd w:val="clear" w:color="auto" w:fill="auto"/>
          </w:tcPr>
          <w:p w:rsidR="00C025DC" w:rsidRPr="00C5016E" w:rsidRDefault="00C025DC" w:rsidP="00C025DC">
            <w:pPr>
              <w:spacing w:before="0" w:after="0"/>
              <w:rPr>
                <w:rFonts w:cs="Arial"/>
                <w:sz w:val="22"/>
              </w:rPr>
            </w:pPr>
          </w:p>
        </w:tc>
        <w:tc>
          <w:tcPr>
            <w:tcW w:w="6095" w:type="dxa"/>
            <w:shd w:val="clear" w:color="auto" w:fill="auto"/>
          </w:tcPr>
          <w:p w:rsidR="00C025DC" w:rsidRPr="00C5016E" w:rsidRDefault="00C025DC" w:rsidP="00C025DC">
            <w:pPr>
              <w:spacing w:before="0" w:after="0"/>
              <w:rPr>
                <w:rFonts w:cs="Arial"/>
                <w:b/>
                <w:sz w:val="22"/>
              </w:rPr>
            </w:pPr>
            <w:r w:rsidRPr="00C5016E">
              <w:rPr>
                <w:rFonts w:cs="Arial"/>
                <w:b/>
                <w:sz w:val="22"/>
              </w:rPr>
              <w:t>UKUPNO</w:t>
            </w:r>
          </w:p>
        </w:tc>
        <w:tc>
          <w:tcPr>
            <w:tcW w:w="1843" w:type="dxa"/>
            <w:shd w:val="clear" w:color="auto" w:fill="auto"/>
          </w:tcPr>
          <w:p w:rsidR="00C025DC" w:rsidRPr="00C5016E" w:rsidRDefault="00C025DC" w:rsidP="00C025DC">
            <w:pPr>
              <w:spacing w:before="0" w:after="0"/>
              <w:jc w:val="right"/>
              <w:rPr>
                <w:rFonts w:cs="Arial"/>
                <w:b/>
                <w:sz w:val="22"/>
              </w:rPr>
            </w:pPr>
            <w:r w:rsidRPr="00C5016E">
              <w:rPr>
                <w:rFonts w:cs="Arial"/>
                <w:b/>
                <w:sz w:val="22"/>
              </w:rPr>
              <w:t>153.402.011,39</w:t>
            </w:r>
          </w:p>
        </w:tc>
      </w:tr>
    </w:tbl>
    <w:p w:rsidR="00C025DC" w:rsidRPr="00C5016E" w:rsidRDefault="00EF4C3C" w:rsidP="00C025DC">
      <w:pPr>
        <w:spacing w:before="0" w:after="0"/>
        <w:rPr>
          <w:sz w:val="22"/>
        </w:rPr>
      </w:pPr>
      <w:r w:rsidRPr="00C5016E">
        <w:rPr>
          <w:b/>
          <w:sz w:val="22"/>
        </w:rPr>
        <w:t>Tablica</w:t>
      </w:r>
      <w:r w:rsidR="00C025DC" w:rsidRPr="00C5016E">
        <w:rPr>
          <w:b/>
          <w:sz w:val="22"/>
        </w:rPr>
        <w:t xml:space="preserve"> 11: </w:t>
      </w:r>
      <w:r w:rsidR="00C025DC" w:rsidRPr="00C5016E">
        <w:rPr>
          <w:sz w:val="22"/>
        </w:rPr>
        <w:t>Stanje novčanih sredstava na dan 31.</w:t>
      </w:r>
      <w:r w:rsidR="00834957" w:rsidRPr="00C5016E">
        <w:rPr>
          <w:sz w:val="22"/>
        </w:rPr>
        <w:t xml:space="preserve"> </w:t>
      </w:r>
      <w:r w:rsidR="00C025DC" w:rsidRPr="00C5016E">
        <w:rPr>
          <w:sz w:val="22"/>
        </w:rPr>
        <w:t>12.</w:t>
      </w:r>
      <w:r w:rsidR="00834957" w:rsidRPr="00C5016E">
        <w:rPr>
          <w:sz w:val="22"/>
        </w:rPr>
        <w:t xml:space="preserve"> </w:t>
      </w:r>
      <w:r w:rsidR="00C025DC" w:rsidRPr="00C5016E">
        <w:rPr>
          <w:sz w:val="22"/>
        </w:rPr>
        <w:t>2022. na posebnim namjenskim transakcijskim računima otvorenim u okviru JR</w:t>
      </w:r>
      <w:r w:rsidR="00834957" w:rsidRPr="00C5016E">
        <w:rPr>
          <w:sz w:val="22"/>
        </w:rPr>
        <w:t>R</w:t>
      </w:r>
      <w:r w:rsidR="00C025DC" w:rsidRPr="00C5016E">
        <w:rPr>
          <w:sz w:val="22"/>
        </w:rPr>
        <w:t>-a</w:t>
      </w:r>
      <w:bookmarkEnd w:id="92"/>
    </w:p>
    <w:p w:rsidR="00C025DC" w:rsidRPr="00C5016E" w:rsidRDefault="00C025DC" w:rsidP="00C025DC">
      <w:r w:rsidRPr="00C5016E">
        <w:t>Stanje novčanih sredstava na dan 31.</w:t>
      </w:r>
      <w:r w:rsidR="00834957" w:rsidRPr="00C5016E">
        <w:t xml:space="preserve"> </w:t>
      </w:r>
      <w:r w:rsidRPr="00C5016E">
        <w:t>12.</w:t>
      </w:r>
      <w:r w:rsidR="00834957" w:rsidRPr="00C5016E">
        <w:t xml:space="preserve"> </w:t>
      </w:r>
      <w:r w:rsidRPr="00C5016E">
        <w:t>2022. na donatorskim transakcijskim računima otvorenim u okviru JR</w:t>
      </w:r>
      <w:r w:rsidR="00834957" w:rsidRPr="00C5016E">
        <w:t>R</w:t>
      </w:r>
      <w:r w:rsidRPr="00C5016E">
        <w:t xml:space="preserve">-a iznosilo je </w:t>
      </w:r>
      <w:r w:rsidRPr="00C5016E">
        <w:rPr>
          <w:rFonts w:cs="Arial"/>
          <w:bCs/>
          <w:sz w:val="22"/>
          <w:lang w:eastAsia="bs-Latn-BA"/>
        </w:rPr>
        <w:t xml:space="preserve">2.298.444,29 </w:t>
      </w:r>
      <w:r w:rsidRPr="00C5016E">
        <w:t>KM.</w:t>
      </w:r>
    </w:p>
    <w:p w:rsidR="00C025DC" w:rsidRPr="00C5016E" w:rsidRDefault="00C025DC" w:rsidP="00C025DC">
      <w:pPr>
        <w:spacing w:before="0"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3"/>
        <w:gridCol w:w="1985"/>
      </w:tblGrid>
      <w:tr w:rsidR="00C5016E" w:rsidRPr="00C5016E" w:rsidTr="00C025DC">
        <w:trPr>
          <w:trHeight w:val="512"/>
        </w:trPr>
        <w:tc>
          <w:tcPr>
            <w:tcW w:w="851" w:type="dxa"/>
            <w:shd w:val="clear" w:color="auto" w:fill="auto"/>
            <w:vAlign w:val="center"/>
          </w:tcPr>
          <w:p w:rsidR="00C025DC" w:rsidRPr="00C5016E" w:rsidRDefault="00C025DC" w:rsidP="00C025DC">
            <w:pPr>
              <w:spacing w:before="0" w:after="0"/>
              <w:jc w:val="center"/>
              <w:rPr>
                <w:rFonts w:cs="Arial"/>
                <w:b/>
                <w:sz w:val="22"/>
              </w:rPr>
            </w:pPr>
            <w:r w:rsidRPr="00C5016E">
              <w:rPr>
                <w:rFonts w:cs="Arial"/>
                <w:b/>
                <w:sz w:val="22"/>
              </w:rPr>
              <w:t>Redni broj</w:t>
            </w:r>
          </w:p>
        </w:tc>
        <w:tc>
          <w:tcPr>
            <w:tcW w:w="5953" w:type="dxa"/>
            <w:shd w:val="clear" w:color="auto" w:fill="auto"/>
            <w:vAlign w:val="center"/>
          </w:tcPr>
          <w:p w:rsidR="00C025DC" w:rsidRPr="00C5016E" w:rsidRDefault="00C025DC" w:rsidP="00C025DC">
            <w:pPr>
              <w:spacing w:before="0" w:after="0"/>
              <w:jc w:val="center"/>
              <w:rPr>
                <w:rFonts w:cs="Arial"/>
                <w:b/>
                <w:sz w:val="22"/>
              </w:rPr>
            </w:pPr>
            <w:r w:rsidRPr="00C5016E">
              <w:rPr>
                <w:rFonts w:cs="Arial"/>
                <w:b/>
                <w:sz w:val="22"/>
              </w:rPr>
              <w:t>Naziv računa</w:t>
            </w:r>
          </w:p>
        </w:tc>
        <w:tc>
          <w:tcPr>
            <w:tcW w:w="1985" w:type="dxa"/>
            <w:shd w:val="clear" w:color="auto" w:fill="auto"/>
            <w:vAlign w:val="center"/>
          </w:tcPr>
          <w:p w:rsidR="00C025DC" w:rsidRPr="00C5016E" w:rsidRDefault="00C025DC" w:rsidP="00C025DC">
            <w:pPr>
              <w:spacing w:before="0" w:after="0"/>
              <w:jc w:val="center"/>
              <w:rPr>
                <w:rFonts w:cs="Arial"/>
                <w:b/>
                <w:sz w:val="22"/>
              </w:rPr>
            </w:pPr>
            <w:r w:rsidRPr="00C5016E">
              <w:rPr>
                <w:rFonts w:cs="Arial"/>
                <w:b/>
                <w:sz w:val="22"/>
              </w:rPr>
              <w:t>Saldo</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FMF-CZ Cards 2001</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154.581,21</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Obilježavanje e</w:t>
            </w:r>
            <w:r w:rsidR="00834957" w:rsidRPr="00C5016E">
              <w:rPr>
                <w:rFonts w:cs="Arial"/>
                <w:sz w:val="22"/>
              </w:rPr>
              <w:t>u</w:t>
            </w:r>
            <w:r w:rsidRPr="00C5016E">
              <w:rPr>
                <w:rFonts w:cs="Arial"/>
                <w:sz w:val="22"/>
              </w:rPr>
              <w:t>ropsk</w:t>
            </w:r>
            <w:r w:rsidR="00834957" w:rsidRPr="00C5016E">
              <w:rPr>
                <w:rFonts w:cs="Arial"/>
                <w:sz w:val="22"/>
              </w:rPr>
              <w:t>og</w:t>
            </w:r>
            <w:r w:rsidRPr="00C5016E">
              <w:rPr>
                <w:rFonts w:cs="Arial"/>
                <w:sz w:val="22"/>
              </w:rPr>
              <w:t xml:space="preserve"> </w:t>
            </w:r>
            <w:r w:rsidR="00834957" w:rsidRPr="00C5016E">
              <w:rPr>
                <w:rFonts w:cs="Arial"/>
                <w:sz w:val="22"/>
              </w:rPr>
              <w:t>tjedna</w:t>
            </w:r>
            <w:r w:rsidRPr="00C5016E">
              <w:rPr>
                <w:rFonts w:cs="Arial"/>
                <w:sz w:val="22"/>
              </w:rPr>
              <w:t xml:space="preserve"> imunizacije</w:t>
            </w:r>
          </w:p>
        </w:tc>
        <w:tc>
          <w:tcPr>
            <w:tcW w:w="1985" w:type="dxa"/>
            <w:shd w:val="clear" w:color="auto" w:fill="auto"/>
          </w:tcPr>
          <w:p w:rsidR="00C025DC" w:rsidRPr="00C5016E" w:rsidRDefault="00C025DC" w:rsidP="00C025DC">
            <w:pPr>
              <w:spacing w:before="0" w:after="0"/>
              <w:jc w:val="right"/>
              <w:rPr>
                <w:rFonts w:cs="Arial"/>
                <w:b/>
                <w:sz w:val="22"/>
              </w:rPr>
            </w:pPr>
            <w:r w:rsidRPr="00C5016E">
              <w:rPr>
                <w:rFonts w:cs="Arial"/>
                <w:b/>
                <w:sz w:val="22"/>
              </w:rPr>
              <w:t>13.866,28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EVROPREVOB „Socio-ekonomske determinante ishrane i fizičke aktivnosti za prevencije gojaznosti u E</w:t>
            </w:r>
            <w:r w:rsidR="00834957" w:rsidRPr="00C5016E">
              <w:rPr>
                <w:rFonts w:cs="Arial"/>
                <w:sz w:val="22"/>
              </w:rPr>
              <w:t>u</w:t>
            </w:r>
            <w:r w:rsidRPr="00C5016E">
              <w:rPr>
                <w:rFonts w:cs="Arial"/>
                <w:sz w:val="22"/>
              </w:rPr>
              <w:t>ropi“</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3,90</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4.</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Potpora akciji zemlje CBD program rada</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15.044,72</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5.</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Implementacija Gender akci</w:t>
            </w:r>
            <w:r w:rsidR="00834957" w:rsidRPr="00C5016E">
              <w:rPr>
                <w:rFonts w:cs="Arial"/>
                <w:sz w:val="22"/>
              </w:rPr>
              <w:t>jskog</w:t>
            </w:r>
            <w:r w:rsidRPr="00C5016E">
              <w:rPr>
                <w:rFonts w:cs="Arial"/>
                <w:sz w:val="22"/>
              </w:rPr>
              <w:t xml:space="preserve"> plana BiH</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169.056,02</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6.</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Smanjenje prostora za korupciju kroz jačanje ljudskih kapaciteta u javnom sektoru u FBiH</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0,21</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7.</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Istraživanje višestrukih pokazatelja 4 (MICSU) BiH 2011 za uk. stan</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136.228,25</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8.</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Istraživanje zdravstvenog stanja stanovništva u Federaciji BiH“</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57.069,26</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9.</w:t>
            </w:r>
          </w:p>
        </w:tc>
        <w:tc>
          <w:tcPr>
            <w:tcW w:w="5953" w:type="dxa"/>
            <w:shd w:val="clear" w:color="auto" w:fill="auto"/>
          </w:tcPr>
          <w:p w:rsidR="00C025DC" w:rsidRPr="00C5016E" w:rsidRDefault="00C025DC" w:rsidP="00834957">
            <w:pPr>
              <w:spacing w:before="0" w:after="0"/>
              <w:rPr>
                <w:rFonts w:cs="Arial"/>
                <w:sz w:val="22"/>
                <w:highlight w:val="yellow"/>
              </w:rPr>
            </w:pPr>
            <w:r w:rsidRPr="00C5016E">
              <w:rPr>
                <w:rFonts w:cs="Arial"/>
                <w:sz w:val="22"/>
              </w:rPr>
              <w:t xml:space="preserve">Prognozno-izvještajni </w:t>
            </w:r>
            <w:r w:rsidR="00834957" w:rsidRPr="00C5016E">
              <w:rPr>
                <w:rFonts w:cs="Arial"/>
                <w:sz w:val="22"/>
              </w:rPr>
              <w:t>sustav</w:t>
            </w:r>
            <w:r w:rsidRPr="00C5016E">
              <w:rPr>
                <w:rFonts w:cs="Arial"/>
                <w:sz w:val="22"/>
              </w:rPr>
              <w:t xml:space="preserve"> u poljoprivredi prekograničn</w:t>
            </w:r>
            <w:r w:rsidR="00834957" w:rsidRPr="00C5016E">
              <w:rPr>
                <w:rFonts w:cs="Arial"/>
                <w:sz w:val="22"/>
              </w:rPr>
              <w:t>e</w:t>
            </w:r>
            <w:r w:rsidRPr="00C5016E">
              <w:rPr>
                <w:rFonts w:cs="Arial"/>
                <w:sz w:val="22"/>
              </w:rPr>
              <w:t xml:space="preserve"> regi</w:t>
            </w:r>
            <w:r w:rsidR="00834957" w:rsidRPr="00C5016E">
              <w:rPr>
                <w:rFonts w:cs="Arial"/>
                <w:sz w:val="22"/>
              </w:rPr>
              <w:t>je</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23.081,82</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10.</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 xml:space="preserve">Zdravstvo, rani </w:t>
            </w:r>
            <w:r w:rsidR="00834957" w:rsidRPr="00C5016E">
              <w:rPr>
                <w:rFonts w:cs="Arial"/>
                <w:sz w:val="22"/>
              </w:rPr>
              <w:t>dječji</w:t>
            </w:r>
            <w:r w:rsidRPr="00C5016E">
              <w:rPr>
                <w:rFonts w:cs="Arial"/>
                <w:sz w:val="22"/>
              </w:rPr>
              <w:t xml:space="preserve"> rast i razvoj i ishrana</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14,83</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11.</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 xml:space="preserve">Jačanje principa tretmana </w:t>
            </w:r>
            <w:r w:rsidR="00834957" w:rsidRPr="00C5016E">
              <w:rPr>
                <w:rFonts w:cs="Arial"/>
                <w:sz w:val="22"/>
              </w:rPr>
              <w:t>osoba</w:t>
            </w:r>
            <w:r w:rsidRPr="00C5016E">
              <w:rPr>
                <w:rFonts w:cs="Arial"/>
                <w:sz w:val="22"/>
              </w:rPr>
              <w:t xml:space="preserve"> lišenih slobode zasnovanog na ljudskim pravima, europskim standardima i najboljoj praksi u Bosni i Hercegovini</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1.402,33</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12.</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Jadranski model održive mobilnosti u oblasti zdravstvene zaštite</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4.017,59</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13.</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Zavod za javno zdr</w:t>
            </w:r>
            <w:r w:rsidR="00834957" w:rsidRPr="00C5016E">
              <w:rPr>
                <w:rFonts w:cs="Arial"/>
                <w:sz w:val="22"/>
              </w:rPr>
              <w:t>avstvo Federacije BiH – „Projek</w:t>
            </w:r>
            <w:r w:rsidRPr="00C5016E">
              <w:rPr>
                <w:rFonts w:cs="Arial"/>
                <w:sz w:val="22"/>
              </w:rPr>
              <w:t xml:space="preserve">t- CDC Kina“  </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155.734,34</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14.</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Agencija za državnu službu FBiH - "Podrška FUZIP u izgradnji kapaciteta i poboljšanju koordinacije"</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28.670,86</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15.</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Pilot projekata agromonetarnih statistika</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9.988,28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16.</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Mreža volontera civilne zaštite</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234,56</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lastRenderedPageBreak/>
              <w:t>17.</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 xml:space="preserve">Razvoj i unapređenje </w:t>
            </w:r>
            <w:r w:rsidR="00834957" w:rsidRPr="00C5016E">
              <w:rPr>
                <w:rFonts w:cs="Arial"/>
                <w:sz w:val="22"/>
              </w:rPr>
              <w:t>sustava</w:t>
            </w:r>
            <w:r w:rsidRPr="00C5016E">
              <w:rPr>
                <w:rFonts w:cs="Arial"/>
                <w:sz w:val="22"/>
              </w:rPr>
              <w:t xml:space="preserve"> upravljanja kvalitetom u statističkim institucijama u BiH</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6.919,86</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18.</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Mreža za zbrinjavanje bolesnika s farmakoreziste</w:t>
            </w:r>
            <w:r w:rsidR="00834957" w:rsidRPr="00C5016E">
              <w:rPr>
                <w:rFonts w:cs="Arial"/>
                <w:sz w:val="22"/>
              </w:rPr>
              <w:t>ntnom epilepsijom i bolesnika s</w:t>
            </w:r>
            <w:r w:rsidRPr="00C5016E">
              <w:rPr>
                <w:rFonts w:cs="Arial"/>
                <w:sz w:val="22"/>
              </w:rPr>
              <w:t xml:space="preserve"> uznapredovalom fazom Parkinsonove bolesti“</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11.074,35</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19.</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DARLINGe</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4.808,37</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20.</w:t>
            </w:r>
          </w:p>
          <w:p w:rsidR="00C025DC" w:rsidRPr="00C5016E" w:rsidRDefault="00C025DC" w:rsidP="00C025DC">
            <w:pPr>
              <w:spacing w:before="0" w:after="0"/>
              <w:jc w:val="center"/>
              <w:rPr>
                <w:rFonts w:cs="Arial"/>
                <w:sz w:val="22"/>
              </w:rPr>
            </w:pP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Prikupljanje, analiza i obrada podataka o mineralnim sirovinama u Federaciji BiH (EIT/RAW MATERIALS)“</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92.271,38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21.</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Izvođenje preventivnih arheoloških istraživanja i zaštita arheoloških lokaliteta i spomenika kulture na trasi autoputa Koridor Vc</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153.679,82</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22.</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FENA BIZ SERVIS</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103.439,22</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23.</w:t>
            </w:r>
          </w:p>
        </w:tc>
        <w:tc>
          <w:tcPr>
            <w:tcW w:w="5953" w:type="dxa"/>
            <w:shd w:val="clear" w:color="auto" w:fill="auto"/>
          </w:tcPr>
          <w:p w:rsidR="00C025DC" w:rsidRPr="00C5016E" w:rsidRDefault="00834957" w:rsidP="00C025DC">
            <w:pPr>
              <w:spacing w:before="0" w:after="0"/>
              <w:rPr>
                <w:rFonts w:cs="Arial"/>
                <w:sz w:val="22"/>
              </w:rPr>
            </w:pPr>
            <w:r w:rsidRPr="00C5016E">
              <w:rPr>
                <w:rFonts w:cs="Arial"/>
                <w:sz w:val="22"/>
              </w:rPr>
              <w:t>PROJEK</w:t>
            </w:r>
            <w:r w:rsidR="00C025DC" w:rsidRPr="00C5016E">
              <w:rPr>
                <w:rFonts w:cs="Arial"/>
                <w:sz w:val="22"/>
              </w:rPr>
              <w:t>T 731166 GeoEra., oblast geoenergije podzemnih voda i mineralnih sirovina</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43.079,55</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24.</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 xml:space="preserve">Jačanje principa tretmana </w:t>
            </w:r>
            <w:r w:rsidR="00834957" w:rsidRPr="00C5016E">
              <w:rPr>
                <w:rFonts w:cs="Arial"/>
                <w:sz w:val="22"/>
              </w:rPr>
              <w:t>osoba</w:t>
            </w:r>
            <w:r w:rsidRPr="00C5016E">
              <w:rPr>
                <w:rFonts w:cs="Arial"/>
                <w:sz w:val="22"/>
              </w:rPr>
              <w:t xml:space="preserve"> lišenih slobode zasnovanog na ljudskim pravima, europskim standardima i najboljoj praksi u Bosni i Hercegovini</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2.104,47</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25.</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SIMONA</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64.046,66</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26.</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Razvoj financijske statistike obrazovanja u BiH</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6,82</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27.</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 xml:space="preserve">Jačanje institucionalnih mehanizama za prevenciju, postupanje  i zaštitu u slučajevima nasilja u </w:t>
            </w:r>
            <w:r w:rsidR="00834957" w:rsidRPr="00C5016E">
              <w:rPr>
                <w:rFonts w:cs="Arial"/>
                <w:sz w:val="22"/>
              </w:rPr>
              <w:t>obitelji</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22.332,89</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28.</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Jačanje kapaciteta institucija za rješavanje rodno zasnovanog nasilja u BiH</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8,00</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29.</w:t>
            </w:r>
          </w:p>
        </w:tc>
        <w:tc>
          <w:tcPr>
            <w:tcW w:w="5953" w:type="dxa"/>
            <w:shd w:val="clear" w:color="auto" w:fill="auto"/>
          </w:tcPr>
          <w:p w:rsidR="00C025DC" w:rsidRPr="00C5016E" w:rsidRDefault="00C025DC" w:rsidP="00C025DC">
            <w:pPr>
              <w:spacing w:before="0" w:after="0"/>
              <w:rPr>
                <w:rFonts w:cs="Arial"/>
                <w:sz w:val="22"/>
              </w:rPr>
            </w:pPr>
            <w:r w:rsidRPr="00C5016E">
              <w:rPr>
                <w:rFonts w:eastAsia="Calibri" w:cs="Arial"/>
                <w:sz w:val="22"/>
              </w:rPr>
              <w:t>Sloboda izražavanja i sloboda medija u BiH - JUFREX 2</w:t>
            </w:r>
          </w:p>
        </w:tc>
        <w:tc>
          <w:tcPr>
            <w:tcW w:w="1985" w:type="dxa"/>
            <w:shd w:val="clear" w:color="auto" w:fill="auto"/>
          </w:tcPr>
          <w:p w:rsidR="00C025DC" w:rsidRPr="00C5016E" w:rsidRDefault="00C025DC" w:rsidP="00C025DC">
            <w:pPr>
              <w:spacing w:before="0" w:after="0"/>
              <w:jc w:val="right"/>
              <w:rPr>
                <w:rFonts w:cs="Arial"/>
                <w:b/>
                <w:sz w:val="22"/>
              </w:rPr>
            </w:pPr>
            <w:r w:rsidRPr="00C5016E">
              <w:rPr>
                <w:rFonts w:cs="Arial"/>
                <w:b/>
                <w:sz w:val="22"/>
              </w:rPr>
              <w:t>1.488,73</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30.</w:t>
            </w:r>
          </w:p>
        </w:tc>
        <w:tc>
          <w:tcPr>
            <w:tcW w:w="5953" w:type="dxa"/>
            <w:shd w:val="clear" w:color="auto" w:fill="auto"/>
          </w:tcPr>
          <w:p w:rsidR="00C025DC" w:rsidRPr="00C5016E" w:rsidRDefault="00C025DC" w:rsidP="00C025DC">
            <w:pPr>
              <w:spacing w:before="0" w:after="0"/>
              <w:rPr>
                <w:rFonts w:cs="Arial"/>
                <w:sz w:val="22"/>
                <w:highlight w:val="yellow"/>
              </w:rPr>
            </w:pPr>
            <w:r w:rsidRPr="00C5016E">
              <w:rPr>
                <w:rFonts w:cs="Arial"/>
                <w:sz w:val="22"/>
              </w:rPr>
              <w:t xml:space="preserve">Jačanje kapaciteta pravosuđa za borbu protiv </w:t>
            </w:r>
            <w:r w:rsidR="00834957" w:rsidRPr="00C5016E">
              <w:rPr>
                <w:rFonts w:cs="Arial"/>
                <w:sz w:val="22"/>
              </w:rPr>
              <w:t>organiziranog</w:t>
            </w:r>
            <w:r w:rsidRPr="00C5016E">
              <w:rPr>
                <w:rFonts w:cs="Arial"/>
                <w:sz w:val="22"/>
              </w:rPr>
              <w:t xml:space="preserve"> kriminala i nekažnjivosti u Bosni i Hercegovini</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8.899,03</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31.</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Implementacija tekućeg transfera za informiranje</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44.913,97</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32.</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Povećanje ulaganja u javne objekte s niskom emisijom ugljika u BiH 2018-2026</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353.988,59</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33.</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Procjena jalovišta crvenog mulja u regi</w:t>
            </w:r>
            <w:r w:rsidR="00834957" w:rsidRPr="00C5016E">
              <w:rPr>
                <w:rFonts w:cs="Arial"/>
                <w:sz w:val="22"/>
              </w:rPr>
              <w:t>ji</w:t>
            </w:r>
            <w:r w:rsidRPr="00C5016E">
              <w:rPr>
                <w:rFonts w:cs="Arial"/>
                <w:sz w:val="22"/>
              </w:rPr>
              <w:t xml:space="preserve"> </w:t>
            </w:r>
            <w:r w:rsidR="00834957" w:rsidRPr="00C5016E">
              <w:rPr>
                <w:rFonts w:cs="Arial"/>
                <w:sz w:val="22"/>
              </w:rPr>
              <w:t xml:space="preserve">Istočne </w:t>
            </w:r>
            <w:r w:rsidRPr="00C5016E">
              <w:rPr>
                <w:rFonts w:cs="Arial"/>
                <w:sz w:val="22"/>
              </w:rPr>
              <w:t xml:space="preserve">i </w:t>
            </w:r>
            <w:r w:rsidR="00834957" w:rsidRPr="00C5016E">
              <w:rPr>
                <w:rFonts w:cs="Arial"/>
                <w:sz w:val="22"/>
              </w:rPr>
              <w:t xml:space="preserve">Jugoistočne </w:t>
            </w:r>
            <w:r w:rsidRPr="00C5016E">
              <w:rPr>
                <w:rFonts w:cs="Arial"/>
                <w:sz w:val="22"/>
              </w:rPr>
              <w:t>E</w:t>
            </w:r>
            <w:r w:rsidR="00834957" w:rsidRPr="00C5016E">
              <w:rPr>
                <w:rFonts w:cs="Arial"/>
                <w:sz w:val="22"/>
              </w:rPr>
              <w:t>u</w:t>
            </w:r>
            <w:r w:rsidRPr="00C5016E">
              <w:rPr>
                <w:rFonts w:cs="Arial"/>
                <w:sz w:val="22"/>
              </w:rPr>
              <w:t>rope</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43.163,31</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34.</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 xml:space="preserve">Unaprjeđenje glavnog </w:t>
            </w:r>
            <w:r w:rsidR="00834957" w:rsidRPr="00C5016E">
              <w:rPr>
                <w:rFonts w:cs="Arial"/>
                <w:sz w:val="22"/>
              </w:rPr>
              <w:t>sustava</w:t>
            </w:r>
            <w:r w:rsidRPr="00C5016E">
              <w:rPr>
                <w:rFonts w:cs="Arial"/>
                <w:sz w:val="22"/>
              </w:rPr>
              <w:t xml:space="preserve"> i modula </w:t>
            </w:r>
            <w:r w:rsidR="00834957" w:rsidRPr="00C5016E">
              <w:rPr>
                <w:rFonts w:cs="Arial"/>
                <w:sz w:val="22"/>
              </w:rPr>
              <w:t>integrirane</w:t>
            </w:r>
            <w:r w:rsidRPr="00C5016E">
              <w:rPr>
                <w:rFonts w:cs="Arial"/>
                <w:sz w:val="22"/>
              </w:rPr>
              <w:t xml:space="preserve"> statistike socijalne zaštite (ESSPROS) u BiH</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3.471,18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35.</w:t>
            </w:r>
          </w:p>
        </w:tc>
        <w:tc>
          <w:tcPr>
            <w:tcW w:w="5953" w:type="dxa"/>
            <w:shd w:val="clear" w:color="auto" w:fill="auto"/>
          </w:tcPr>
          <w:p w:rsidR="00C025DC" w:rsidRPr="00C5016E" w:rsidRDefault="00834957" w:rsidP="00C025DC">
            <w:pPr>
              <w:spacing w:before="0" w:after="0"/>
              <w:rPr>
                <w:rFonts w:cs="Arial"/>
                <w:sz w:val="22"/>
              </w:rPr>
            </w:pPr>
            <w:r w:rsidRPr="00C5016E">
              <w:rPr>
                <w:rFonts w:cs="Arial"/>
                <w:sz w:val="22"/>
              </w:rPr>
              <w:t>Izgradnja, nabav</w:t>
            </w:r>
            <w:r w:rsidR="00C025DC" w:rsidRPr="00C5016E">
              <w:rPr>
                <w:rFonts w:cs="Arial"/>
                <w:sz w:val="22"/>
              </w:rPr>
              <w:t>a i opremanje trening centra za policijske službenike i polaznike Policijske akademije</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31.004,67</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36.</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Jačanje BiH sudskih kapaciteta i harmonizacija domaćih zakona i</w:t>
            </w:r>
            <w:r w:rsidR="00834957" w:rsidRPr="00C5016E">
              <w:rPr>
                <w:rFonts w:cs="Arial"/>
                <w:sz w:val="22"/>
              </w:rPr>
              <w:t xml:space="preserve"> pravnih normi i usklađivanja s</w:t>
            </w:r>
            <w:r w:rsidRPr="00C5016E">
              <w:rPr>
                <w:rFonts w:cs="Arial"/>
                <w:sz w:val="22"/>
              </w:rPr>
              <w:t xml:space="preserve"> Europskim standardima</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11,48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37.</w:t>
            </w:r>
          </w:p>
        </w:tc>
        <w:tc>
          <w:tcPr>
            <w:tcW w:w="5953" w:type="dxa"/>
            <w:shd w:val="clear" w:color="auto" w:fill="auto"/>
          </w:tcPr>
          <w:p w:rsidR="00C025DC" w:rsidRPr="00C5016E" w:rsidRDefault="00C025DC" w:rsidP="00834957">
            <w:pPr>
              <w:spacing w:before="0" w:after="0"/>
              <w:rPr>
                <w:rFonts w:cs="Arial"/>
                <w:sz w:val="22"/>
                <w:highlight w:val="yellow"/>
              </w:rPr>
            </w:pPr>
            <w:r w:rsidRPr="00C5016E">
              <w:rPr>
                <w:rFonts w:cs="Arial"/>
                <w:sz w:val="22"/>
              </w:rPr>
              <w:t xml:space="preserve">KPZ Zenica-Jačanje principa tretmana </w:t>
            </w:r>
            <w:r w:rsidR="00834957" w:rsidRPr="00C5016E">
              <w:rPr>
                <w:rFonts w:cs="Arial"/>
                <w:sz w:val="22"/>
              </w:rPr>
              <w:t>osoba</w:t>
            </w:r>
            <w:r w:rsidRPr="00C5016E">
              <w:rPr>
                <w:rFonts w:cs="Arial"/>
                <w:sz w:val="22"/>
              </w:rPr>
              <w:t xml:space="preserve"> lišenih slobode zasnovanog na ljudskim pravima, europskim standardima i najboljoj praksi u Bosni i Hercegovini</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1.402,33</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38.</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Nastavak provedbe pravne stečevine EU u području strukturne poslovne statistike</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3.260,96</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39.</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Anketa o rodno zasnovanom nasilju u Bosni i Hercegovini</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75,98</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40.</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 xml:space="preserve">Razvoj i unapređenje </w:t>
            </w:r>
            <w:r w:rsidR="00834957" w:rsidRPr="00C5016E">
              <w:rPr>
                <w:rFonts w:cs="Arial"/>
                <w:sz w:val="22"/>
              </w:rPr>
              <w:t>sustava</w:t>
            </w:r>
            <w:r w:rsidRPr="00C5016E">
              <w:rPr>
                <w:rFonts w:cs="Arial"/>
                <w:sz w:val="22"/>
              </w:rPr>
              <w:t xml:space="preserve"> metapodataka u BiH</w:t>
            </w:r>
          </w:p>
        </w:tc>
        <w:tc>
          <w:tcPr>
            <w:tcW w:w="1985" w:type="dxa"/>
            <w:shd w:val="clear" w:color="auto" w:fill="auto"/>
          </w:tcPr>
          <w:p w:rsidR="00C025DC" w:rsidRPr="00C5016E" w:rsidRDefault="00C025DC" w:rsidP="00C025DC">
            <w:pPr>
              <w:spacing w:before="0" w:after="0"/>
              <w:jc w:val="right"/>
              <w:rPr>
                <w:rFonts w:cs="Arial"/>
                <w:b/>
                <w:sz w:val="22"/>
              </w:rPr>
            </w:pPr>
            <w:r w:rsidRPr="00C5016E">
              <w:rPr>
                <w:rFonts w:cs="Arial"/>
                <w:b/>
                <w:sz w:val="22"/>
              </w:rPr>
              <w:t>0,66</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41.</w:t>
            </w:r>
          </w:p>
        </w:tc>
        <w:tc>
          <w:tcPr>
            <w:tcW w:w="5953" w:type="dxa"/>
            <w:shd w:val="clear" w:color="auto" w:fill="auto"/>
          </w:tcPr>
          <w:p w:rsidR="00C025DC" w:rsidRPr="00C5016E" w:rsidRDefault="00834957" w:rsidP="00834957">
            <w:pPr>
              <w:spacing w:before="0" w:after="0"/>
              <w:rPr>
                <w:rFonts w:cs="Arial"/>
                <w:sz w:val="22"/>
              </w:rPr>
            </w:pPr>
            <w:r w:rsidRPr="00C5016E">
              <w:rPr>
                <w:rFonts w:cs="Arial"/>
                <w:sz w:val="22"/>
              </w:rPr>
              <w:t>Reguliranje međusobnih prava i ob</w:t>
            </w:r>
            <w:r w:rsidR="00C025DC" w:rsidRPr="00C5016E">
              <w:rPr>
                <w:rFonts w:cs="Arial"/>
                <w:sz w:val="22"/>
              </w:rPr>
              <w:t>veza u vezi</w:t>
            </w:r>
            <w:r w:rsidRPr="00C5016E">
              <w:rPr>
                <w:rFonts w:cs="Arial"/>
                <w:sz w:val="22"/>
              </w:rPr>
              <w:t xml:space="preserve"> s</w:t>
            </w:r>
            <w:r w:rsidR="00C025DC" w:rsidRPr="00C5016E">
              <w:rPr>
                <w:rFonts w:cs="Arial"/>
                <w:sz w:val="22"/>
              </w:rPr>
              <w:t xml:space="preserve"> implementacij</w:t>
            </w:r>
            <w:r w:rsidRPr="00C5016E">
              <w:rPr>
                <w:rFonts w:cs="Arial"/>
                <w:sz w:val="22"/>
              </w:rPr>
              <w:t>om</w:t>
            </w:r>
            <w:r w:rsidR="00C025DC" w:rsidRPr="00C5016E">
              <w:rPr>
                <w:rFonts w:cs="Arial"/>
                <w:sz w:val="22"/>
              </w:rPr>
              <w:t xml:space="preserve"> projekta pomoći Bosni i Hercegovini u poboljšanju kvalitete zraka</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19,37</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lastRenderedPageBreak/>
              <w:t>42.</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EU4Youth – E</w:t>
            </w:r>
            <w:r w:rsidR="00834957" w:rsidRPr="00C5016E">
              <w:rPr>
                <w:rFonts w:cs="Arial"/>
                <w:sz w:val="22"/>
              </w:rPr>
              <w:t>u</w:t>
            </w:r>
            <w:r w:rsidRPr="00C5016E">
              <w:rPr>
                <w:rFonts w:cs="Arial"/>
                <w:sz w:val="22"/>
              </w:rPr>
              <w:t>ropsk</w:t>
            </w:r>
            <w:r w:rsidR="00834957" w:rsidRPr="00C5016E">
              <w:rPr>
                <w:rFonts w:cs="Arial"/>
                <w:sz w:val="22"/>
              </w:rPr>
              <w:t>i</w:t>
            </w:r>
            <w:r w:rsidRPr="00C5016E">
              <w:rPr>
                <w:rFonts w:cs="Arial"/>
                <w:sz w:val="22"/>
              </w:rPr>
              <w:t xml:space="preserve"> </w:t>
            </w:r>
            <w:r w:rsidR="00834957" w:rsidRPr="00C5016E">
              <w:rPr>
                <w:rFonts w:cs="Arial"/>
                <w:sz w:val="22"/>
              </w:rPr>
              <w:t>tjedan</w:t>
            </w:r>
            <w:r w:rsidRPr="00C5016E">
              <w:rPr>
                <w:rFonts w:cs="Arial"/>
                <w:sz w:val="22"/>
              </w:rPr>
              <w:t xml:space="preserve"> sporta izvan granica za zemlje Zapadnog Balkana</w:t>
            </w:r>
          </w:p>
        </w:tc>
        <w:tc>
          <w:tcPr>
            <w:tcW w:w="1985" w:type="dxa"/>
            <w:shd w:val="clear" w:color="auto" w:fill="auto"/>
          </w:tcPr>
          <w:p w:rsidR="00C025DC" w:rsidRPr="00C5016E" w:rsidRDefault="00C025DC" w:rsidP="00C025DC">
            <w:pPr>
              <w:spacing w:before="0" w:after="0"/>
              <w:jc w:val="right"/>
              <w:rPr>
                <w:rFonts w:cs="Arial"/>
                <w:sz w:val="22"/>
              </w:rPr>
            </w:pPr>
            <w:r w:rsidRPr="00C5016E">
              <w:rPr>
                <w:rFonts w:cs="Arial"/>
                <w:b/>
                <w:bCs/>
                <w:sz w:val="22"/>
                <w:lang w:eastAsia="bs-Latn-BA"/>
              </w:rPr>
              <w:t>43.110,03</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43.</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Razmjene stručnosti i iskustava o pravosudnoj etici i integritetu i učinkovitosti među pravosuđima Republike Srbije, Crne Gore i Bosne i Hercegovine</w:t>
            </w:r>
          </w:p>
        </w:tc>
        <w:tc>
          <w:tcPr>
            <w:tcW w:w="1985" w:type="dxa"/>
            <w:shd w:val="clear" w:color="auto" w:fill="auto"/>
          </w:tcPr>
          <w:p w:rsidR="00C025DC" w:rsidRPr="00C5016E" w:rsidRDefault="00C025DC" w:rsidP="00C025DC">
            <w:pPr>
              <w:spacing w:before="0" w:after="0"/>
              <w:jc w:val="right"/>
              <w:rPr>
                <w:rFonts w:cs="Arial"/>
                <w:b/>
                <w:sz w:val="22"/>
              </w:rPr>
            </w:pPr>
            <w:r w:rsidRPr="00C5016E">
              <w:rPr>
                <w:rFonts w:cs="Arial"/>
                <w:b/>
                <w:sz w:val="22"/>
              </w:rPr>
              <w:t>51.314,01</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44.</w:t>
            </w:r>
          </w:p>
        </w:tc>
        <w:tc>
          <w:tcPr>
            <w:tcW w:w="5953" w:type="dxa"/>
            <w:shd w:val="clear" w:color="auto" w:fill="auto"/>
          </w:tcPr>
          <w:p w:rsidR="00C025DC" w:rsidRPr="00C5016E" w:rsidRDefault="00C025DC" w:rsidP="00C025DC">
            <w:pPr>
              <w:spacing w:before="0" w:after="0"/>
              <w:rPr>
                <w:rFonts w:cs="Arial"/>
                <w:sz w:val="22"/>
              </w:rPr>
            </w:pPr>
            <w:r w:rsidRPr="00C5016E">
              <w:rPr>
                <w:rFonts w:cs="Arial"/>
                <w:sz w:val="22"/>
              </w:rPr>
              <w:t>Dodatna radna snaga u FBiH radi jačanja nadzora nad COVID-19</w:t>
            </w:r>
          </w:p>
        </w:tc>
        <w:tc>
          <w:tcPr>
            <w:tcW w:w="1985" w:type="dxa"/>
            <w:shd w:val="clear" w:color="auto" w:fill="auto"/>
          </w:tcPr>
          <w:p w:rsidR="00C025DC" w:rsidRPr="00C5016E" w:rsidRDefault="00C025DC" w:rsidP="00C025DC">
            <w:pPr>
              <w:spacing w:before="0" w:after="0"/>
              <w:jc w:val="right"/>
              <w:rPr>
                <w:rFonts w:cs="Arial"/>
                <w:b/>
                <w:sz w:val="22"/>
              </w:rPr>
            </w:pPr>
            <w:r w:rsidRPr="00C5016E">
              <w:rPr>
                <w:rFonts w:cs="Arial"/>
                <w:b/>
                <w:sz w:val="22"/>
              </w:rPr>
              <w:t>209.563,33</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45.</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 xml:space="preserve">Edukacija za zdravstvene radnike u Federaciji Bosne i Hercegovine i Kampanja komunikacije i promocije </w:t>
            </w:r>
            <w:r w:rsidR="00834957" w:rsidRPr="00C5016E">
              <w:rPr>
                <w:rFonts w:cs="Arial"/>
                <w:sz w:val="22"/>
              </w:rPr>
              <w:t>cijepljenja</w:t>
            </w:r>
            <w:r w:rsidRPr="00C5016E">
              <w:rPr>
                <w:rFonts w:cs="Arial"/>
                <w:sz w:val="22"/>
              </w:rPr>
              <w:t xml:space="preserve"> protiv COVID-19</w:t>
            </w:r>
          </w:p>
        </w:tc>
        <w:tc>
          <w:tcPr>
            <w:tcW w:w="1985" w:type="dxa"/>
            <w:shd w:val="clear" w:color="auto" w:fill="auto"/>
          </w:tcPr>
          <w:p w:rsidR="00C025DC" w:rsidRPr="00C5016E" w:rsidRDefault="00C025DC" w:rsidP="00C025DC">
            <w:pPr>
              <w:spacing w:before="0" w:after="0"/>
              <w:jc w:val="right"/>
              <w:rPr>
                <w:rFonts w:cs="Arial"/>
                <w:b/>
                <w:sz w:val="22"/>
              </w:rPr>
            </w:pPr>
            <w:r w:rsidRPr="00C5016E">
              <w:rPr>
                <w:rFonts w:cs="Arial"/>
                <w:b/>
                <w:sz w:val="22"/>
              </w:rPr>
              <w:t>223.471,36</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r w:rsidRPr="00C5016E">
              <w:rPr>
                <w:rFonts w:cs="Arial"/>
                <w:sz w:val="22"/>
              </w:rPr>
              <w:t>46.</w:t>
            </w:r>
          </w:p>
        </w:tc>
        <w:tc>
          <w:tcPr>
            <w:tcW w:w="5953" w:type="dxa"/>
            <w:shd w:val="clear" w:color="auto" w:fill="auto"/>
          </w:tcPr>
          <w:p w:rsidR="00C025DC" w:rsidRPr="00C5016E" w:rsidRDefault="00C025DC" w:rsidP="00834957">
            <w:pPr>
              <w:spacing w:before="0" w:after="0"/>
              <w:rPr>
                <w:rFonts w:cs="Arial"/>
                <w:sz w:val="22"/>
              </w:rPr>
            </w:pPr>
            <w:r w:rsidRPr="00C5016E">
              <w:rPr>
                <w:rFonts w:cs="Arial"/>
                <w:sz w:val="22"/>
              </w:rPr>
              <w:t>Unaprjeđenje statistike kriminaliteta i k</w:t>
            </w:r>
            <w:r w:rsidR="00834957" w:rsidRPr="00C5016E">
              <w:rPr>
                <w:rFonts w:cs="Arial"/>
                <w:sz w:val="22"/>
              </w:rPr>
              <w:t>aznenog</w:t>
            </w:r>
            <w:r w:rsidRPr="00C5016E">
              <w:rPr>
                <w:rFonts w:cs="Arial"/>
                <w:sz w:val="22"/>
              </w:rPr>
              <w:t xml:space="preserve"> pravosuđa u Bosni i Hercegovini</w:t>
            </w:r>
          </w:p>
        </w:tc>
        <w:tc>
          <w:tcPr>
            <w:tcW w:w="1985" w:type="dxa"/>
            <w:shd w:val="clear" w:color="auto" w:fill="auto"/>
          </w:tcPr>
          <w:p w:rsidR="00C025DC" w:rsidRPr="00C5016E" w:rsidRDefault="00C025DC" w:rsidP="00C025DC">
            <w:pPr>
              <w:spacing w:before="0" w:after="0"/>
              <w:jc w:val="right"/>
              <w:rPr>
                <w:rFonts w:cs="Arial"/>
                <w:b/>
                <w:sz w:val="22"/>
              </w:rPr>
            </w:pPr>
            <w:r w:rsidRPr="00C5016E">
              <w:rPr>
                <w:rFonts w:cs="Arial"/>
                <w:b/>
                <w:sz w:val="22"/>
              </w:rPr>
              <w:t>6.519,45</w:t>
            </w:r>
          </w:p>
        </w:tc>
      </w:tr>
      <w:tr w:rsidR="00C5016E" w:rsidRPr="00C5016E" w:rsidTr="00C025DC">
        <w:tc>
          <w:tcPr>
            <w:tcW w:w="851" w:type="dxa"/>
            <w:shd w:val="clear" w:color="auto" w:fill="auto"/>
          </w:tcPr>
          <w:p w:rsidR="00C025DC" w:rsidRPr="00C5016E" w:rsidRDefault="00C025DC" w:rsidP="00C025DC">
            <w:pPr>
              <w:spacing w:before="0" w:after="0"/>
              <w:jc w:val="center"/>
              <w:rPr>
                <w:rFonts w:cs="Arial"/>
                <w:sz w:val="22"/>
              </w:rPr>
            </w:pPr>
          </w:p>
        </w:tc>
        <w:tc>
          <w:tcPr>
            <w:tcW w:w="5953" w:type="dxa"/>
            <w:shd w:val="clear" w:color="auto" w:fill="auto"/>
          </w:tcPr>
          <w:p w:rsidR="00C025DC" w:rsidRPr="00C5016E" w:rsidRDefault="00C025DC" w:rsidP="00C025DC">
            <w:pPr>
              <w:spacing w:before="0" w:after="0"/>
              <w:rPr>
                <w:rFonts w:cs="Arial"/>
                <w:b/>
                <w:sz w:val="22"/>
              </w:rPr>
            </w:pPr>
            <w:r w:rsidRPr="00C5016E">
              <w:rPr>
                <w:rFonts w:cs="Arial"/>
                <w:b/>
                <w:sz w:val="22"/>
              </w:rPr>
              <w:t>UKUPNO</w:t>
            </w:r>
          </w:p>
        </w:tc>
        <w:tc>
          <w:tcPr>
            <w:tcW w:w="1985" w:type="dxa"/>
            <w:shd w:val="clear" w:color="auto" w:fill="auto"/>
          </w:tcPr>
          <w:p w:rsidR="00C025DC" w:rsidRPr="00C5016E" w:rsidRDefault="00C025DC" w:rsidP="00C025DC">
            <w:pPr>
              <w:spacing w:before="0" w:after="0"/>
              <w:jc w:val="right"/>
              <w:rPr>
                <w:rFonts w:cs="Arial"/>
                <w:b/>
                <w:sz w:val="22"/>
              </w:rPr>
            </w:pPr>
            <w:r w:rsidRPr="00C5016E">
              <w:rPr>
                <w:rFonts w:cs="Arial"/>
                <w:b/>
                <w:bCs/>
                <w:sz w:val="22"/>
                <w:lang w:eastAsia="bs-Latn-BA"/>
              </w:rPr>
              <w:t>2.298.444,29</w:t>
            </w:r>
          </w:p>
        </w:tc>
      </w:tr>
    </w:tbl>
    <w:p w:rsidR="00C025DC" w:rsidRPr="00C5016E" w:rsidRDefault="00EF4C3C" w:rsidP="00C025DC">
      <w:pPr>
        <w:pStyle w:val="Caption"/>
        <w:spacing w:before="0" w:after="0"/>
        <w:rPr>
          <w:rFonts w:ascii="Arial" w:hAnsi="Arial" w:cs="Arial"/>
          <w:b w:val="0"/>
          <w:color w:val="auto"/>
          <w:sz w:val="22"/>
          <w:szCs w:val="24"/>
          <w:lang w:val="hr-HR"/>
        </w:rPr>
      </w:pPr>
      <w:bookmarkStart w:id="93" w:name="_Toc99939236"/>
      <w:r w:rsidRPr="00C5016E">
        <w:rPr>
          <w:rFonts w:ascii="Arial" w:hAnsi="Arial" w:cs="Arial"/>
          <w:color w:val="auto"/>
          <w:sz w:val="22"/>
          <w:szCs w:val="24"/>
          <w:lang w:val="hr-HR"/>
        </w:rPr>
        <w:t>Tablica</w:t>
      </w:r>
      <w:r w:rsidR="00C025DC" w:rsidRPr="00C5016E">
        <w:rPr>
          <w:rFonts w:ascii="Arial" w:hAnsi="Arial" w:cs="Arial"/>
          <w:color w:val="auto"/>
          <w:sz w:val="22"/>
          <w:szCs w:val="24"/>
          <w:lang w:val="hr-HR"/>
        </w:rPr>
        <w:t xml:space="preserve"> 12:</w:t>
      </w:r>
      <w:r w:rsidR="00C025DC" w:rsidRPr="00C5016E">
        <w:rPr>
          <w:rFonts w:ascii="Arial" w:hAnsi="Arial" w:cs="Arial"/>
          <w:b w:val="0"/>
          <w:color w:val="auto"/>
          <w:sz w:val="22"/>
          <w:szCs w:val="24"/>
          <w:lang w:val="hr-HR"/>
        </w:rPr>
        <w:t xml:space="preserve"> Stanje novčanih sredstava na dan 31.</w:t>
      </w:r>
      <w:r w:rsidR="00834957" w:rsidRPr="00C5016E">
        <w:rPr>
          <w:rFonts w:ascii="Arial" w:hAnsi="Arial" w:cs="Arial"/>
          <w:b w:val="0"/>
          <w:color w:val="auto"/>
          <w:sz w:val="22"/>
          <w:szCs w:val="24"/>
          <w:lang w:val="hr-HR"/>
        </w:rPr>
        <w:t xml:space="preserve"> </w:t>
      </w:r>
      <w:r w:rsidR="00C025DC" w:rsidRPr="00C5016E">
        <w:rPr>
          <w:rFonts w:ascii="Arial" w:hAnsi="Arial" w:cs="Arial"/>
          <w:b w:val="0"/>
          <w:color w:val="auto"/>
          <w:sz w:val="22"/>
          <w:szCs w:val="24"/>
          <w:lang w:val="hr-HR"/>
        </w:rPr>
        <w:t>12.</w:t>
      </w:r>
      <w:r w:rsidR="00834957" w:rsidRPr="00C5016E">
        <w:rPr>
          <w:rFonts w:ascii="Arial" w:hAnsi="Arial" w:cs="Arial"/>
          <w:b w:val="0"/>
          <w:color w:val="auto"/>
          <w:sz w:val="22"/>
          <w:szCs w:val="24"/>
          <w:lang w:val="hr-HR"/>
        </w:rPr>
        <w:t xml:space="preserve"> </w:t>
      </w:r>
      <w:r w:rsidR="00C025DC" w:rsidRPr="00C5016E">
        <w:rPr>
          <w:rFonts w:ascii="Arial" w:hAnsi="Arial" w:cs="Arial"/>
          <w:b w:val="0"/>
          <w:color w:val="auto"/>
          <w:sz w:val="22"/>
          <w:szCs w:val="24"/>
          <w:lang w:val="hr-HR"/>
        </w:rPr>
        <w:t>2022. na donatorskim transakcijskim računima otvorenim u okviru JR</w:t>
      </w:r>
      <w:r w:rsidR="00834957" w:rsidRPr="00C5016E">
        <w:rPr>
          <w:rFonts w:ascii="Arial" w:hAnsi="Arial" w:cs="Arial"/>
          <w:b w:val="0"/>
          <w:color w:val="auto"/>
          <w:sz w:val="22"/>
          <w:szCs w:val="24"/>
          <w:lang w:val="hr-HR"/>
        </w:rPr>
        <w:t>R</w:t>
      </w:r>
      <w:r w:rsidR="00C025DC" w:rsidRPr="00C5016E">
        <w:rPr>
          <w:rFonts w:ascii="Arial" w:hAnsi="Arial" w:cs="Arial"/>
          <w:b w:val="0"/>
          <w:color w:val="auto"/>
          <w:sz w:val="22"/>
          <w:szCs w:val="24"/>
          <w:lang w:val="hr-HR"/>
        </w:rPr>
        <w:t>-a</w:t>
      </w:r>
      <w:bookmarkEnd w:id="93"/>
    </w:p>
    <w:p w:rsidR="00C025DC" w:rsidRPr="00C5016E" w:rsidRDefault="00C025DC" w:rsidP="00C025DC">
      <w:pPr>
        <w:spacing w:after="0"/>
        <w:rPr>
          <w:rFonts w:cs="Arial"/>
        </w:rPr>
      </w:pPr>
      <w:r w:rsidRPr="00C5016E">
        <w:rPr>
          <w:rFonts w:cs="Arial"/>
        </w:rPr>
        <w:t>Na računu za gotovinu, koji je također otvoren u okviru JR</w:t>
      </w:r>
      <w:r w:rsidR="00834957" w:rsidRPr="00C5016E">
        <w:rPr>
          <w:rFonts w:cs="Arial"/>
        </w:rPr>
        <w:t>R</w:t>
      </w:r>
      <w:r w:rsidRPr="00C5016E">
        <w:rPr>
          <w:rFonts w:cs="Arial"/>
        </w:rPr>
        <w:t>-a, stanje novčanih sredstava na dan 31. prosinca 2022. iznosilo je 151.948,76 KM.</w:t>
      </w:r>
    </w:p>
    <w:p w:rsidR="00C025DC" w:rsidRPr="00C5016E" w:rsidRDefault="00C025DC" w:rsidP="00C025DC">
      <w:pPr>
        <w:rPr>
          <w:bCs/>
        </w:rPr>
      </w:pPr>
      <w:r w:rsidRPr="00C5016E">
        <w:t>Pored naprijed raspoloživih novčanih sredstava, Federalno ministarstvo financija/finan</w:t>
      </w:r>
      <w:r w:rsidR="00834957" w:rsidRPr="00C5016E">
        <w:t>s</w:t>
      </w:r>
      <w:r w:rsidRPr="00C5016E">
        <w:t xml:space="preserve">ija je na </w:t>
      </w:r>
      <w:r w:rsidR="00834957" w:rsidRPr="00C5016E">
        <w:t>temelju ugovora s</w:t>
      </w:r>
      <w:r w:rsidRPr="00C5016E">
        <w:t xml:space="preserve"> poslovnim banaka (Union banka d.d. Sarajevo, ASA banka d.d. Sarajevo, Privredna banka Sarajevo d.d. Sarajevo i Intesa Sanpaolo Banka d.d. BiH) oročilo sredstva u iznosu od 286,1 </w:t>
      </w:r>
      <w:r w:rsidR="004611A5" w:rsidRPr="00C5016E">
        <w:t>milijun</w:t>
      </w:r>
      <w:r w:rsidRPr="00C5016E">
        <w:t xml:space="preserve"> KM.</w:t>
      </w:r>
    </w:p>
    <w:p w:rsidR="00C025DC" w:rsidRPr="00C5016E" w:rsidRDefault="00C025DC" w:rsidP="00C025DC">
      <w:pPr>
        <w:spacing w:after="0"/>
        <w:rPr>
          <w:rFonts w:eastAsia="Calibri" w:cs="Arial"/>
        </w:rPr>
      </w:pPr>
      <w:r w:rsidRPr="00C5016E">
        <w:rPr>
          <w:rFonts w:eastAsia="Calibri" w:cs="Arial"/>
        </w:rPr>
        <w:t>Na analitičkom kontu 022111</w:t>
      </w:r>
      <w:r w:rsidR="00834957" w:rsidRPr="00C5016E">
        <w:rPr>
          <w:rFonts w:eastAsia="Calibri" w:cs="Arial"/>
        </w:rPr>
        <w:t xml:space="preserve"> </w:t>
      </w:r>
      <w:r w:rsidRPr="00C5016E">
        <w:rPr>
          <w:rFonts w:eastAsia="Calibri" w:cs="Arial"/>
        </w:rPr>
        <w:t>- „Dugoročni depoziti“, na dan 31.</w:t>
      </w:r>
      <w:r w:rsidR="00834957" w:rsidRPr="00C5016E">
        <w:rPr>
          <w:rFonts w:eastAsia="Calibri" w:cs="Arial"/>
        </w:rPr>
        <w:t xml:space="preserve"> </w:t>
      </w:r>
      <w:r w:rsidRPr="00C5016E">
        <w:rPr>
          <w:rFonts w:eastAsia="Calibri" w:cs="Arial"/>
        </w:rPr>
        <w:t>12.</w:t>
      </w:r>
      <w:r w:rsidR="00834957" w:rsidRPr="00C5016E">
        <w:rPr>
          <w:rFonts w:eastAsia="Calibri" w:cs="Arial"/>
        </w:rPr>
        <w:t xml:space="preserve"> 2022.</w:t>
      </w:r>
      <w:r w:rsidRPr="00C5016E">
        <w:rPr>
          <w:rFonts w:eastAsia="Calibri" w:cs="Arial"/>
        </w:rPr>
        <w:t xml:space="preserve"> iskazan je saldo u iznosu od 250.000.000,00 KM. </w:t>
      </w:r>
      <w:r w:rsidRPr="00C5016E">
        <w:rPr>
          <w:rFonts w:eastAsia="Calibri" w:cs="Arial"/>
          <w:szCs w:val="24"/>
        </w:rPr>
        <w:t xml:space="preserve">Početno stanje iz prošle godine je bilo 150.000.000,00 KM. </w:t>
      </w:r>
      <w:r w:rsidRPr="00C5016E">
        <w:rPr>
          <w:rFonts w:eastAsia="Calibri" w:cs="Arial"/>
        </w:rPr>
        <w:t>Iskazani saldo odnosi se na oročena sredstva Federacije BiH kod poslovnih banaka, kako slijedi:</w:t>
      </w:r>
    </w:p>
    <w:p w:rsidR="00C025DC" w:rsidRPr="00C5016E" w:rsidRDefault="00C025DC" w:rsidP="00C025DC">
      <w:pPr>
        <w:spacing w:after="0"/>
        <w:ind w:left="567"/>
        <w:rPr>
          <w:rFonts w:eastAsia="Calibri" w:cs="Arial"/>
        </w:rPr>
      </w:pP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15.000.000,00 KM kod Union banke d.d</w:t>
      </w:r>
      <w:r w:rsidR="00834957" w:rsidRPr="00C5016E">
        <w:rPr>
          <w:rFonts w:ascii="Arial" w:hAnsi="Arial" w:cs="Arial"/>
          <w:szCs w:val="24"/>
          <w:lang w:val="hr-HR"/>
        </w:rPr>
        <w:t>.</w:t>
      </w:r>
      <w:r w:rsidRPr="00C5016E">
        <w:rPr>
          <w:rFonts w:ascii="Arial" w:hAnsi="Arial" w:cs="Arial"/>
          <w:szCs w:val="24"/>
          <w:lang w:val="hr-HR"/>
        </w:rPr>
        <w:t xml:space="preserve"> Sarajevo na </w:t>
      </w:r>
      <w:r w:rsidR="00834957" w:rsidRPr="00C5016E">
        <w:rPr>
          <w:rFonts w:ascii="Arial" w:hAnsi="Arial" w:cs="Arial"/>
          <w:szCs w:val="24"/>
          <w:lang w:val="hr-HR"/>
        </w:rPr>
        <w:t>temelju</w:t>
      </w:r>
      <w:r w:rsidRPr="00C5016E">
        <w:rPr>
          <w:rFonts w:ascii="Arial" w:hAnsi="Arial" w:cs="Arial"/>
          <w:szCs w:val="24"/>
          <w:lang w:val="hr-HR"/>
        </w:rPr>
        <w:t xml:space="preserve"> Ugovora i aneksa Ugovora broj 05/20–KM-OD</w:t>
      </w: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15.000.000,00 KM kod Union banke d.d</w:t>
      </w:r>
      <w:r w:rsidR="00834957" w:rsidRPr="00C5016E">
        <w:rPr>
          <w:rFonts w:ascii="Arial" w:hAnsi="Arial" w:cs="Arial"/>
          <w:szCs w:val="24"/>
          <w:lang w:val="hr-HR"/>
        </w:rPr>
        <w:t>.</w:t>
      </w:r>
      <w:r w:rsidRPr="00C5016E">
        <w:rPr>
          <w:rFonts w:ascii="Arial" w:hAnsi="Arial" w:cs="Arial"/>
          <w:szCs w:val="24"/>
          <w:lang w:val="hr-HR"/>
        </w:rPr>
        <w:t xml:space="preserve"> Sarajevo </w:t>
      </w:r>
      <w:r w:rsidR="00834957" w:rsidRPr="00C5016E">
        <w:rPr>
          <w:rFonts w:ascii="Arial" w:hAnsi="Arial" w:cs="Arial"/>
          <w:szCs w:val="24"/>
          <w:lang w:val="hr-HR"/>
        </w:rPr>
        <w:t xml:space="preserve">na temelju </w:t>
      </w:r>
      <w:r w:rsidRPr="00C5016E">
        <w:rPr>
          <w:rFonts w:ascii="Arial" w:hAnsi="Arial" w:cs="Arial"/>
          <w:szCs w:val="24"/>
          <w:lang w:val="hr-HR"/>
        </w:rPr>
        <w:t>Ugovora i aneksa Ugovora broj 06/20–KM-OD</w:t>
      </w: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10.000.000,00 KM kod Union banke d.d</w:t>
      </w:r>
      <w:r w:rsidR="00834957" w:rsidRPr="00C5016E">
        <w:rPr>
          <w:rFonts w:ascii="Arial" w:hAnsi="Arial" w:cs="Arial"/>
          <w:szCs w:val="24"/>
          <w:lang w:val="hr-HR"/>
        </w:rPr>
        <w:t>.</w:t>
      </w:r>
      <w:r w:rsidRPr="00C5016E">
        <w:rPr>
          <w:rFonts w:ascii="Arial" w:hAnsi="Arial" w:cs="Arial"/>
          <w:szCs w:val="24"/>
          <w:lang w:val="hr-HR"/>
        </w:rPr>
        <w:t xml:space="preserve"> Sarajevo </w:t>
      </w:r>
      <w:r w:rsidR="00834957" w:rsidRPr="00C5016E">
        <w:rPr>
          <w:rFonts w:ascii="Arial" w:hAnsi="Arial" w:cs="Arial"/>
          <w:szCs w:val="24"/>
          <w:lang w:val="hr-HR"/>
        </w:rPr>
        <w:t xml:space="preserve">na temelju </w:t>
      </w:r>
      <w:r w:rsidRPr="00C5016E">
        <w:rPr>
          <w:rFonts w:ascii="Arial" w:hAnsi="Arial" w:cs="Arial"/>
          <w:szCs w:val="24"/>
          <w:lang w:val="hr-HR"/>
        </w:rPr>
        <w:t>Ugovora</w:t>
      </w:r>
      <w:r w:rsidR="00834957" w:rsidRPr="00C5016E">
        <w:rPr>
          <w:rFonts w:ascii="Arial" w:hAnsi="Arial" w:cs="Arial"/>
          <w:szCs w:val="24"/>
          <w:lang w:val="hr-HR"/>
        </w:rPr>
        <w:t xml:space="preserve"> o</w:t>
      </w:r>
      <w:r w:rsidRPr="00C5016E">
        <w:rPr>
          <w:rFonts w:ascii="Arial" w:hAnsi="Arial" w:cs="Arial"/>
          <w:szCs w:val="24"/>
          <w:lang w:val="hr-HR"/>
        </w:rPr>
        <w:t xml:space="preserve">  depozitu broj: 04/21-KM-DO</w:t>
      </w: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20.000.000,00 KM kod Union banke d.d</w:t>
      </w:r>
      <w:r w:rsidR="00834957" w:rsidRPr="00C5016E">
        <w:rPr>
          <w:rFonts w:ascii="Arial" w:hAnsi="Arial" w:cs="Arial"/>
          <w:szCs w:val="24"/>
          <w:lang w:val="hr-HR"/>
        </w:rPr>
        <w:t>.</w:t>
      </w:r>
      <w:r w:rsidRPr="00C5016E">
        <w:rPr>
          <w:rFonts w:ascii="Arial" w:hAnsi="Arial" w:cs="Arial"/>
          <w:szCs w:val="24"/>
          <w:lang w:val="hr-HR"/>
        </w:rPr>
        <w:t xml:space="preserve"> Sarajevo </w:t>
      </w:r>
      <w:r w:rsidR="00834957" w:rsidRPr="00C5016E">
        <w:rPr>
          <w:rFonts w:ascii="Arial" w:hAnsi="Arial" w:cs="Arial"/>
          <w:szCs w:val="24"/>
          <w:lang w:val="hr-HR"/>
        </w:rPr>
        <w:t xml:space="preserve">na temelju </w:t>
      </w:r>
      <w:r w:rsidRPr="00C5016E">
        <w:rPr>
          <w:rFonts w:ascii="Arial" w:hAnsi="Arial" w:cs="Arial"/>
          <w:szCs w:val="24"/>
          <w:lang w:val="hr-HR"/>
        </w:rPr>
        <w:t>Ugovora</w:t>
      </w:r>
      <w:r w:rsidR="00834957" w:rsidRPr="00C5016E">
        <w:rPr>
          <w:rFonts w:ascii="Arial" w:hAnsi="Arial" w:cs="Arial"/>
          <w:szCs w:val="24"/>
          <w:lang w:val="hr-HR"/>
        </w:rPr>
        <w:t xml:space="preserve"> o </w:t>
      </w:r>
      <w:r w:rsidRPr="00C5016E">
        <w:rPr>
          <w:rFonts w:ascii="Arial" w:hAnsi="Arial" w:cs="Arial"/>
          <w:szCs w:val="24"/>
          <w:lang w:val="hr-HR"/>
        </w:rPr>
        <w:t xml:space="preserve">  depozitu broj: 16/22-KM-DO</w:t>
      </w: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 xml:space="preserve">10.000.000,00 KM kod Sberbank BH d.d. Sarajevo </w:t>
      </w:r>
      <w:r w:rsidR="00834957" w:rsidRPr="00C5016E">
        <w:rPr>
          <w:rFonts w:ascii="Arial" w:hAnsi="Arial" w:cs="Arial"/>
          <w:szCs w:val="24"/>
          <w:lang w:val="hr-HR"/>
        </w:rPr>
        <w:t xml:space="preserve">na temelju </w:t>
      </w:r>
      <w:r w:rsidRPr="00C5016E">
        <w:rPr>
          <w:rFonts w:ascii="Arial" w:hAnsi="Arial" w:cs="Arial"/>
          <w:szCs w:val="24"/>
          <w:lang w:val="hr-HR"/>
        </w:rPr>
        <w:t>Ugovora</w:t>
      </w:r>
      <w:r w:rsidR="00834957" w:rsidRPr="00C5016E">
        <w:rPr>
          <w:rFonts w:ascii="Arial" w:hAnsi="Arial" w:cs="Arial"/>
          <w:szCs w:val="24"/>
          <w:lang w:val="hr-HR"/>
        </w:rPr>
        <w:t xml:space="preserve"> o</w:t>
      </w:r>
      <w:r w:rsidRPr="00C5016E">
        <w:rPr>
          <w:rFonts w:ascii="Arial" w:hAnsi="Arial" w:cs="Arial"/>
          <w:szCs w:val="24"/>
          <w:lang w:val="hr-HR"/>
        </w:rPr>
        <w:t xml:space="preserve"> depozitu broj: 1401015570166833</w:t>
      </w: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 xml:space="preserve">15.000.000,00 KM kod Sberbank BH d.d. Sarajevo </w:t>
      </w:r>
      <w:r w:rsidR="00834957" w:rsidRPr="00C5016E">
        <w:rPr>
          <w:rFonts w:ascii="Arial" w:hAnsi="Arial" w:cs="Arial"/>
          <w:szCs w:val="24"/>
          <w:lang w:val="hr-HR"/>
        </w:rPr>
        <w:t xml:space="preserve">na temelju </w:t>
      </w:r>
      <w:r w:rsidRPr="00C5016E">
        <w:rPr>
          <w:rFonts w:ascii="Arial" w:hAnsi="Arial" w:cs="Arial"/>
          <w:szCs w:val="24"/>
          <w:lang w:val="hr-HR"/>
        </w:rPr>
        <w:t xml:space="preserve">Ugovora i aneksa Ugovora broj: 1400925570151463 </w:t>
      </w: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 xml:space="preserve">15.000.000,00 KM kod Sberbank BH d.d. Sarajevo </w:t>
      </w:r>
      <w:r w:rsidR="00834957" w:rsidRPr="00C5016E">
        <w:rPr>
          <w:rFonts w:ascii="Arial" w:hAnsi="Arial" w:cs="Arial"/>
          <w:szCs w:val="24"/>
          <w:lang w:val="hr-HR"/>
        </w:rPr>
        <w:t xml:space="preserve">na temelju </w:t>
      </w:r>
      <w:r w:rsidRPr="00C5016E">
        <w:rPr>
          <w:rFonts w:ascii="Arial" w:hAnsi="Arial" w:cs="Arial"/>
          <w:szCs w:val="24"/>
          <w:lang w:val="hr-HR"/>
        </w:rPr>
        <w:t xml:space="preserve">Ugovora i aneksa Ugovora broj: 1400925570151851 </w:t>
      </w:r>
    </w:p>
    <w:p w:rsidR="00C025DC" w:rsidRPr="00C5016E" w:rsidRDefault="00C025DC" w:rsidP="00C025DC">
      <w:pPr>
        <w:pStyle w:val="ListParagraph"/>
        <w:numPr>
          <w:ilvl w:val="0"/>
          <w:numId w:val="44"/>
        </w:numPr>
        <w:spacing w:before="0" w:after="160" w:line="259" w:lineRule="auto"/>
        <w:ind w:left="567"/>
        <w:jc w:val="left"/>
        <w:rPr>
          <w:rFonts w:ascii="Arial" w:hAnsi="Arial" w:cs="Arial"/>
          <w:szCs w:val="24"/>
          <w:lang w:val="hr-HR"/>
        </w:rPr>
      </w:pPr>
      <w:r w:rsidRPr="00C5016E">
        <w:rPr>
          <w:rFonts w:ascii="Arial" w:hAnsi="Arial" w:cs="Arial"/>
          <w:szCs w:val="24"/>
          <w:lang w:val="hr-HR"/>
        </w:rPr>
        <w:lastRenderedPageBreak/>
        <w:t xml:space="preserve">20.000.000,00 KM kod ASA banke d.d. Sarajevo </w:t>
      </w:r>
      <w:r w:rsidR="00834957" w:rsidRPr="00C5016E">
        <w:rPr>
          <w:rFonts w:ascii="Arial" w:hAnsi="Arial" w:cs="Arial"/>
          <w:szCs w:val="24"/>
          <w:lang w:val="hr-HR"/>
        </w:rPr>
        <w:t>na temelju Ugovora</w:t>
      </w:r>
      <w:r w:rsidRPr="00C5016E">
        <w:rPr>
          <w:rFonts w:ascii="Arial" w:hAnsi="Arial" w:cs="Arial"/>
          <w:szCs w:val="24"/>
          <w:lang w:val="hr-HR"/>
        </w:rPr>
        <w:t xml:space="preserve"> broj: 1401025570195787</w:t>
      </w: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 xml:space="preserve">10.000.000,00 KM kod Privredne banke d.d. Sarajevo </w:t>
      </w:r>
      <w:r w:rsidR="00834957" w:rsidRPr="00C5016E">
        <w:rPr>
          <w:rFonts w:ascii="Arial" w:hAnsi="Arial" w:cs="Arial"/>
          <w:szCs w:val="24"/>
          <w:lang w:val="hr-HR"/>
        </w:rPr>
        <w:t xml:space="preserve">na temelju </w:t>
      </w:r>
      <w:r w:rsidRPr="00C5016E">
        <w:rPr>
          <w:rFonts w:ascii="Arial" w:hAnsi="Arial" w:cs="Arial"/>
          <w:szCs w:val="24"/>
          <w:lang w:val="hr-HR"/>
        </w:rPr>
        <w:t>Ugovora o depozitu broj: 28931.</w:t>
      </w: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 xml:space="preserve">15.000.000,00 KM kod Privredne banke d.d. Sarajevo </w:t>
      </w:r>
      <w:r w:rsidR="00834957" w:rsidRPr="00C5016E">
        <w:rPr>
          <w:rFonts w:ascii="Arial" w:hAnsi="Arial" w:cs="Arial"/>
          <w:szCs w:val="24"/>
          <w:lang w:val="hr-HR"/>
        </w:rPr>
        <w:t xml:space="preserve">na temelju </w:t>
      </w:r>
      <w:r w:rsidRPr="00C5016E">
        <w:rPr>
          <w:rFonts w:ascii="Arial" w:hAnsi="Arial" w:cs="Arial"/>
          <w:szCs w:val="24"/>
          <w:lang w:val="hr-HR"/>
        </w:rPr>
        <w:t>Ugovora i aneksa Ugovora broj: 28350</w:t>
      </w: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 xml:space="preserve">15.000.000,00 KM kod Privredne banke d.d. Sarajevo </w:t>
      </w:r>
      <w:r w:rsidR="00834957" w:rsidRPr="00C5016E">
        <w:rPr>
          <w:rFonts w:ascii="Arial" w:hAnsi="Arial" w:cs="Arial"/>
          <w:szCs w:val="24"/>
          <w:lang w:val="hr-HR"/>
        </w:rPr>
        <w:t xml:space="preserve">na temelju </w:t>
      </w:r>
      <w:r w:rsidRPr="00C5016E">
        <w:rPr>
          <w:rFonts w:ascii="Arial" w:hAnsi="Arial" w:cs="Arial"/>
          <w:szCs w:val="24"/>
          <w:lang w:val="hr-HR"/>
        </w:rPr>
        <w:t>Ugovora i aneksa Ugovora broj: 28351</w:t>
      </w:r>
    </w:p>
    <w:p w:rsidR="00C025DC" w:rsidRPr="00C5016E" w:rsidRDefault="00C025DC" w:rsidP="00C025DC">
      <w:pPr>
        <w:pStyle w:val="ListParagraph"/>
        <w:numPr>
          <w:ilvl w:val="0"/>
          <w:numId w:val="44"/>
        </w:numPr>
        <w:spacing w:before="0" w:after="160" w:line="259" w:lineRule="auto"/>
        <w:ind w:left="567"/>
        <w:jc w:val="left"/>
        <w:rPr>
          <w:rFonts w:ascii="Arial" w:hAnsi="Arial" w:cs="Arial"/>
          <w:szCs w:val="24"/>
          <w:lang w:val="hr-HR"/>
        </w:rPr>
      </w:pPr>
      <w:r w:rsidRPr="00C5016E">
        <w:rPr>
          <w:rFonts w:ascii="Arial" w:hAnsi="Arial" w:cs="Arial"/>
          <w:szCs w:val="24"/>
          <w:lang w:val="hr-HR"/>
        </w:rPr>
        <w:t xml:space="preserve">20.000.000,00 KM kod Privredne banke d.d. Sarajevo </w:t>
      </w:r>
      <w:r w:rsidR="00834957" w:rsidRPr="00C5016E">
        <w:rPr>
          <w:rFonts w:ascii="Arial" w:hAnsi="Arial" w:cs="Arial"/>
          <w:szCs w:val="24"/>
          <w:lang w:val="hr-HR"/>
        </w:rPr>
        <w:t xml:space="preserve">na temelju </w:t>
      </w:r>
      <w:r w:rsidRPr="00C5016E">
        <w:rPr>
          <w:rFonts w:ascii="Arial" w:hAnsi="Arial" w:cs="Arial"/>
          <w:szCs w:val="24"/>
          <w:lang w:val="hr-HR"/>
        </w:rPr>
        <w:t>Ugovora broj: 30541</w:t>
      </w: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 xml:space="preserve">10.000.000,00 KM kod Intesa Sanpaolo banke d.d. Bosna i Hercegovina </w:t>
      </w:r>
      <w:r w:rsidR="00834957" w:rsidRPr="00C5016E">
        <w:rPr>
          <w:rFonts w:ascii="Arial" w:hAnsi="Arial" w:cs="Arial"/>
          <w:szCs w:val="24"/>
          <w:lang w:val="hr-HR"/>
        </w:rPr>
        <w:t>na temelju</w:t>
      </w:r>
      <w:r w:rsidRPr="00C5016E">
        <w:rPr>
          <w:rFonts w:ascii="Arial" w:hAnsi="Arial" w:cs="Arial"/>
          <w:szCs w:val="24"/>
          <w:lang w:val="hr-HR"/>
        </w:rPr>
        <w:t xml:space="preserve"> Ugovora broj: 60556</w:t>
      </w:r>
    </w:p>
    <w:p w:rsidR="00C025DC" w:rsidRPr="00C5016E" w:rsidRDefault="00C025DC" w:rsidP="00C025DC">
      <w:pPr>
        <w:pStyle w:val="ListParagraph"/>
        <w:numPr>
          <w:ilvl w:val="0"/>
          <w:numId w:val="44"/>
        </w:numPr>
        <w:spacing w:before="0" w:after="160" w:line="259" w:lineRule="auto"/>
        <w:ind w:left="567"/>
        <w:rPr>
          <w:rFonts w:ascii="Arial" w:hAnsi="Arial" w:cs="Arial"/>
          <w:szCs w:val="24"/>
          <w:lang w:val="hr-HR"/>
        </w:rPr>
      </w:pPr>
      <w:r w:rsidRPr="00C5016E">
        <w:rPr>
          <w:rFonts w:ascii="Arial" w:hAnsi="Arial" w:cs="Arial"/>
          <w:szCs w:val="24"/>
          <w:lang w:val="hr-HR"/>
        </w:rPr>
        <w:t xml:space="preserve">20.000.000,00 KM kod Intesa Sanpaolo banke d.d. Bosna i Hercegovina </w:t>
      </w:r>
      <w:r w:rsidR="00834957" w:rsidRPr="00C5016E">
        <w:rPr>
          <w:rFonts w:ascii="Arial" w:hAnsi="Arial" w:cs="Arial"/>
          <w:szCs w:val="24"/>
          <w:lang w:val="hr-HR"/>
        </w:rPr>
        <w:t>na temelju</w:t>
      </w:r>
      <w:r w:rsidRPr="00C5016E">
        <w:rPr>
          <w:rFonts w:ascii="Arial" w:hAnsi="Arial" w:cs="Arial"/>
          <w:szCs w:val="24"/>
          <w:lang w:val="hr-HR"/>
        </w:rPr>
        <w:t xml:space="preserve"> Ugovora broj: 60634</w:t>
      </w:r>
    </w:p>
    <w:p w:rsidR="00C025DC" w:rsidRPr="00C5016E" w:rsidRDefault="00C025DC" w:rsidP="00C025DC">
      <w:pPr>
        <w:pStyle w:val="ListParagraph"/>
        <w:numPr>
          <w:ilvl w:val="0"/>
          <w:numId w:val="44"/>
        </w:numPr>
        <w:spacing w:before="0" w:after="160" w:line="259" w:lineRule="auto"/>
        <w:ind w:left="567"/>
        <w:jc w:val="left"/>
        <w:rPr>
          <w:rFonts w:ascii="Arial" w:hAnsi="Arial" w:cs="Arial"/>
          <w:szCs w:val="24"/>
          <w:lang w:val="hr-HR"/>
        </w:rPr>
      </w:pPr>
      <w:r w:rsidRPr="00C5016E">
        <w:rPr>
          <w:rFonts w:ascii="Arial" w:hAnsi="Arial" w:cs="Arial"/>
          <w:szCs w:val="24"/>
          <w:lang w:val="hr-HR"/>
        </w:rPr>
        <w:t xml:space="preserve">20.000.000,00 KM kod Intesa Sanpaolo banke d.d. Bosna i Hercegovina </w:t>
      </w:r>
      <w:r w:rsidR="00834957" w:rsidRPr="00C5016E">
        <w:rPr>
          <w:rFonts w:ascii="Arial" w:hAnsi="Arial" w:cs="Arial"/>
          <w:szCs w:val="24"/>
          <w:lang w:val="hr-HR"/>
        </w:rPr>
        <w:t xml:space="preserve">na temelju </w:t>
      </w:r>
      <w:r w:rsidRPr="00C5016E">
        <w:rPr>
          <w:rFonts w:ascii="Arial" w:hAnsi="Arial" w:cs="Arial"/>
          <w:szCs w:val="24"/>
          <w:lang w:val="hr-HR"/>
        </w:rPr>
        <w:t>Ugovora broj: 60676</w:t>
      </w:r>
    </w:p>
    <w:p w:rsidR="00C025DC" w:rsidRPr="00C5016E" w:rsidRDefault="00C025DC" w:rsidP="00C025DC">
      <w:pPr>
        <w:pStyle w:val="ListParagraph"/>
        <w:numPr>
          <w:ilvl w:val="0"/>
          <w:numId w:val="44"/>
        </w:numPr>
        <w:spacing w:before="0" w:after="160" w:line="259" w:lineRule="auto"/>
        <w:ind w:left="567"/>
        <w:jc w:val="left"/>
        <w:rPr>
          <w:rFonts w:ascii="Arial" w:hAnsi="Arial" w:cs="Arial"/>
          <w:szCs w:val="24"/>
          <w:lang w:val="hr-HR"/>
        </w:rPr>
      </w:pPr>
      <w:r w:rsidRPr="00C5016E">
        <w:rPr>
          <w:rFonts w:ascii="Arial" w:hAnsi="Arial" w:cs="Arial"/>
          <w:szCs w:val="24"/>
          <w:lang w:val="hr-HR"/>
        </w:rPr>
        <w:t xml:space="preserve">20.000.000,00 KM kod Intesa Sanpaolo banke d.d. Bosna i Hercegovina </w:t>
      </w:r>
      <w:r w:rsidR="00834957" w:rsidRPr="00C5016E">
        <w:rPr>
          <w:rFonts w:ascii="Arial" w:hAnsi="Arial" w:cs="Arial"/>
          <w:szCs w:val="24"/>
          <w:lang w:val="hr-HR"/>
        </w:rPr>
        <w:t xml:space="preserve">na temelju </w:t>
      </w:r>
      <w:r w:rsidRPr="00C5016E">
        <w:rPr>
          <w:rFonts w:ascii="Arial" w:hAnsi="Arial" w:cs="Arial"/>
          <w:szCs w:val="24"/>
          <w:lang w:val="hr-HR"/>
        </w:rPr>
        <w:t>Ugovora broj: 60681.</w:t>
      </w:r>
    </w:p>
    <w:p w:rsidR="00C025DC" w:rsidRPr="00C5016E" w:rsidRDefault="00C025DC" w:rsidP="00C025DC">
      <w:pPr>
        <w:spacing w:after="0"/>
        <w:rPr>
          <w:rFonts w:eastAsia="Calibri" w:cs="Arial"/>
          <w:szCs w:val="24"/>
        </w:rPr>
      </w:pPr>
      <w:r w:rsidRPr="00C5016E">
        <w:rPr>
          <w:rFonts w:eastAsia="Calibri" w:cs="Arial"/>
          <w:szCs w:val="24"/>
        </w:rPr>
        <w:t>Na analitičkom kontu 141211 – „Depoziti kod banaka”, iskazan je saldo u iznosu od 36.100.000,00 KM. Početno stanje iz prošle godine je bilo 36.100.000,00 KM. Iskazani saldo odnosi se na oročena sredstva Federacije BiH kod poslovnih banaka, kako slijedi:</w:t>
      </w:r>
    </w:p>
    <w:p w:rsidR="00C025DC" w:rsidRPr="00C5016E" w:rsidRDefault="00C025DC" w:rsidP="00C025DC">
      <w:pPr>
        <w:ind w:left="567"/>
        <w:rPr>
          <w:rFonts w:cs="Arial"/>
          <w:szCs w:val="24"/>
        </w:rPr>
      </w:pPr>
    </w:p>
    <w:p w:rsidR="00C025DC" w:rsidRPr="00C5016E" w:rsidRDefault="00C025DC" w:rsidP="00C025DC">
      <w:pPr>
        <w:pStyle w:val="ListParagraph"/>
        <w:numPr>
          <w:ilvl w:val="0"/>
          <w:numId w:val="45"/>
        </w:numPr>
        <w:spacing w:before="0" w:after="160" w:line="259" w:lineRule="auto"/>
        <w:ind w:left="567"/>
        <w:rPr>
          <w:rFonts w:ascii="Arial" w:hAnsi="Arial" w:cs="Arial"/>
          <w:szCs w:val="24"/>
          <w:lang w:val="hr-HR"/>
        </w:rPr>
      </w:pPr>
      <w:r w:rsidRPr="00C5016E">
        <w:rPr>
          <w:rFonts w:ascii="Arial" w:hAnsi="Arial" w:cs="Arial"/>
          <w:szCs w:val="24"/>
          <w:lang w:val="hr-HR"/>
        </w:rPr>
        <w:t>6.000.000,00 KM kod Union banke d.d</w:t>
      </w:r>
      <w:r w:rsidR="00834957" w:rsidRPr="00C5016E">
        <w:rPr>
          <w:rFonts w:ascii="Arial" w:hAnsi="Arial" w:cs="Arial"/>
          <w:szCs w:val="24"/>
          <w:lang w:val="hr-HR"/>
        </w:rPr>
        <w:t>.</w:t>
      </w:r>
      <w:r w:rsidRPr="00C5016E">
        <w:rPr>
          <w:rFonts w:ascii="Arial" w:hAnsi="Arial" w:cs="Arial"/>
          <w:szCs w:val="24"/>
          <w:lang w:val="hr-HR"/>
        </w:rPr>
        <w:t xml:space="preserve"> Sarajevo </w:t>
      </w:r>
      <w:r w:rsidR="00834957" w:rsidRPr="00C5016E">
        <w:rPr>
          <w:rFonts w:ascii="Arial" w:hAnsi="Arial" w:cs="Arial"/>
          <w:szCs w:val="24"/>
          <w:lang w:val="hr-HR"/>
        </w:rPr>
        <w:t xml:space="preserve">na temelju </w:t>
      </w:r>
      <w:r w:rsidRPr="00C5016E">
        <w:rPr>
          <w:rFonts w:ascii="Arial" w:hAnsi="Arial" w:cs="Arial"/>
          <w:szCs w:val="24"/>
          <w:lang w:val="hr-HR"/>
        </w:rPr>
        <w:t>Ugovora i aneksa Ugovora o depozitu broj: 10/19-KM-OD</w:t>
      </w:r>
    </w:p>
    <w:p w:rsidR="00C025DC" w:rsidRPr="00C5016E" w:rsidRDefault="00C025DC" w:rsidP="00C025DC">
      <w:pPr>
        <w:pStyle w:val="ListParagraph"/>
        <w:numPr>
          <w:ilvl w:val="0"/>
          <w:numId w:val="45"/>
        </w:numPr>
        <w:spacing w:before="0" w:after="160" w:line="259" w:lineRule="auto"/>
        <w:ind w:left="567"/>
        <w:rPr>
          <w:rFonts w:ascii="Arial" w:hAnsi="Arial" w:cs="Arial"/>
          <w:szCs w:val="24"/>
          <w:lang w:val="hr-HR"/>
        </w:rPr>
      </w:pPr>
      <w:r w:rsidRPr="00C5016E">
        <w:rPr>
          <w:rFonts w:ascii="Arial" w:hAnsi="Arial" w:cs="Arial"/>
          <w:szCs w:val="24"/>
          <w:lang w:val="hr-HR"/>
        </w:rPr>
        <w:t xml:space="preserve">7.000.000,00 KM kod Sberbank BH d.d. Sarajevo  </w:t>
      </w:r>
      <w:r w:rsidR="00834957" w:rsidRPr="00C5016E">
        <w:rPr>
          <w:rFonts w:ascii="Arial" w:hAnsi="Arial" w:cs="Arial"/>
          <w:szCs w:val="24"/>
          <w:lang w:val="hr-HR"/>
        </w:rPr>
        <w:t xml:space="preserve">na temelju </w:t>
      </w:r>
      <w:r w:rsidRPr="00C5016E">
        <w:rPr>
          <w:rFonts w:ascii="Arial" w:hAnsi="Arial" w:cs="Arial"/>
          <w:szCs w:val="24"/>
          <w:lang w:val="hr-HR"/>
        </w:rPr>
        <w:t>Ugovora i aneksa Ugovora broj: 1401015570134532</w:t>
      </w:r>
    </w:p>
    <w:p w:rsidR="00C025DC" w:rsidRPr="00C5016E" w:rsidRDefault="00C025DC" w:rsidP="00C025DC">
      <w:pPr>
        <w:pStyle w:val="ListParagraph"/>
        <w:numPr>
          <w:ilvl w:val="0"/>
          <w:numId w:val="45"/>
        </w:numPr>
        <w:spacing w:before="0" w:after="160" w:line="259" w:lineRule="auto"/>
        <w:ind w:left="567"/>
        <w:rPr>
          <w:rFonts w:ascii="Arial" w:hAnsi="Arial" w:cs="Arial"/>
          <w:szCs w:val="24"/>
          <w:lang w:val="hr-HR"/>
        </w:rPr>
      </w:pPr>
      <w:r w:rsidRPr="00C5016E">
        <w:rPr>
          <w:rFonts w:ascii="Arial" w:hAnsi="Arial" w:cs="Arial"/>
          <w:szCs w:val="24"/>
          <w:lang w:val="hr-HR"/>
        </w:rPr>
        <w:t xml:space="preserve">10.000.000,00 KM kod Sberbank BH d.d. Sarajevo </w:t>
      </w:r>
      <w:r w:rsidR="00834957" w:rsidRPr="00C5016E">
        <w:rPr>
          <w:rFonts w:ascii="Arial" w:hAnsi="Arial" w:cs="Arial"/>
          <w:szCs w:val="24"/>
          <w:lang w:val="hr-HR"/>
        </w:rPr>
        <w:t xml:space="preserve">na temelju </w:t>
      </w:r>
      <w:r w:rsidRPr="00C5016E">
        <w:rPr>
          <w:rFonts w:ascii="Arial" w:hAnsi="Arial" w:cs="Arial"/>
          <w:szCs w:val="24"/>
          <w:lang w:val="hr-HR"/>
        </w:rPr>
        <w:t xml:space="preserve">Ugovora i aneksa Ugovora broj: 1400925570152045 </w:t>
      </w:r>
    </w:p>
    <w:p w:rsidR="00C025DC" w:rsidRPr="00C5016E" w:rsidRDefault="00C025DC" w:rsidP="00C025DC">
      <w:pPr>
        <w:pStyle w:val="ListParagraph"/>
        <w:numPr>
          <w:ilvl w:val="0"/>
          <w:numId w:val="45"/>
        </w:numPr>
        <w:spacing w:before="0" w:after="160" w:line="259" w:lineRule="auto"/>
        <w:ind w:left="567"/>
        <w:rPr>
          <w:rFonts w:ascii="Arial" w:hAnsi="Arial" w:cs="Arial"/>
          <w:szCs w:val="24"/>
          <w:lang w:val="hr-HR"/>
        </w:rPr>
      </w:pPr>
      <w:r w:rsidRPr="00C5016E">
        <w:rPr>
          <w:rFonts w:ascii="Arial" w:hAnsi="Arial" w:cs="Arial"/>
          <w:szCs w:val="24"/>
          <w:lang w:val="hr-HR"/>
        </w:rPr>
        <w:t xml:space="preserve">6.000.000,00 KM kod Privredne banke d.d. Sarajevo </w:t>
      </w:r>
      <w:r w:rsidR="00834957" w:rsidRPr="00C5016E">
        <w:rPr>
          <w:rFonts w:ascii="Arial" w:hAnsi="Arial" w:cs="Arial"/>
          <w:szCs w:val="24"/>
          <w:lang w:val="hr-HR"/>
        </w:rPr>
        <w:t xml:space="preserve">na temelju </w:t>
      </w:r>
      <w:r w:rsidRPr="00C5016E">
        <w:rPr>
          <w:rFonts w:ascii="Arial" w:hAnsi="Arial" w:cs="Arial"/>
          <w:szCs w:val="24"/>
          <w:lang w:val="hr-HR"/>
        </w:rPr>
        <w:t>Ugovora i aneksa Ugovora broj: 27877</w:t>
      </w:r>
    </w:p>
    <w:p w:rsidR="00C025DC" w:rsidRPr="00C5016E" w:rsidRDefault="00C025DC" w:rsidP="00C025DC">
      <w:pPr>
        <w:pStyle w:val="ListParagraph"/>
        <w:numPr>
          <w:ilvl w:val="0"/>
          <w:numId w:val="45"/>
        </w:numPr>
        <w:spacing w:before="0" w:after="160" w:line="259" w:lineRule="auto"/>
        <w:ind w:left="567"/>
        <w:rPr>
          <w:rFonts w:ascii="Arial" w:hAnsi="Arial" w:cs="Arial"/>
          <w:szCs w:val="24"/>
          <w:lang w:val="hr-HR"/>
        </w:rPr>
      </w:pPr>
      <w:r w:rsidRPr="00C5016E">
        <w:rPr>
          <w:rFonts w:ascii="Arial" w:hAnsi="Arial" w:cs="Arial"/>
          <w:szCs w:val="24"/>
          <w:lang w:val="hr-HR"/>
        </w:rPr>
        <w:t xml:space="preserve">1.100.000,00 KM kod Intesa Sanpaolo banke d.d. Bosna i Hercegovina </w:t>
      </w:r>
      <w:r w:rsidR="00834957" w:rsidRPr="00C5016E">
        <w:rPr>
          <w:rFonts w:ascii="Arial" w:hAnsi="Arial" w:cs="Arial"/>
          <w:szCs w:val="24"/>
          <w:lang w:val="hr-HR"/>
        </w:rPr>
        <w:t>na temelju</w:t>
      </w:r>
      <w:r w:rsidRPr="00C5016E">
        <w:rPr>
          <w:rFonts w:ascii="Arial" w:hAnsi="Arial" w:cs="Arial"/>
          <w:szCs w:val="24"/>
          <w:lang w:val="hr-HR"/>
        </w:rPr>
        <w:t xml:space="preserve"> Ugovora broj: 60561.</w:t>
      </w:r>
    </w:p>
    <w:p w:rsidR="00C025DC" w:rsidRPr="00C5016E" w:rsidRDefault="00C025DC" w:rsidP="00C025DC">
      <w:pPr>
        <w:pStyle w:val="ListParagraph"/>
        <w:numPr>
          <w:ilvl w:val="0"/>
          <w:numId w:val="45"/>
        </w:numPr>
        <w:spacing w:before="0" w:after="160" w:line="259" w:lineRule="auto"/>
        <w:ind w:left="567"/>
        <w:jc w:val="left"/>
        <w:rPr>
          <w:rFonts w:ascii="Arial" w:hAnsi="Arial" w:cs="Arial"/>
          <w:szCs w:val="24"/>
          <w:lang w:val="hr-HR"/>
        </w:rPr>
      </w:pPr>
      <w:r w:rsidRPr="00C5016E">
        <w:rPr>
          <w:rFonts w:ascii="Arial" w:hAnsi="Arial" w:cs="Arial"/>
          <w:szCs w:val="24"/>
          <w:lang w:val="hr-HR"/>
        </w:rPr>
        <w:t xml:space="preserve">2.000.000,00 KM kod Intesa Sanpaolo banke d.d. Bosna i Hercegovina </w:t>
      </w:r>
      <w:r w:rsidR="00834957" w:rsidRPr="00C5016E">
        <w:rPr>
          <w:rFonts w:ascii="Arial" w:hAnsi="Arial" w:cs="Arial"/>
          <w:szCs w:val="24"/>
          <w:lang w:val="hr-HR"/>
        </w:rPr>
        <w:t>na temelju</w:t>
      </w:r>
      <w:r w:rsidRPr="00C5016E">
        <w:rPr>
          <w:rFonts w:ascii="Arial" w:hAnsi="Arial" w:cs="Arial"/>
          <w:szCs w:val="24"/>
          <w:lang w:val="hr-HR"/>
        </w:rPr>
        <w:t xml:space="preserve"> Ugovora broj: 60635.</w:t>
      </w:r>
    </w:p>
    <w:p w:rsidR="00C025DC" w:rsidRPr="00C5016E" w:rsidRDefault="00C025DC" w:rsidP="00C025DC">
      <w:pPr>
        <w:pStyle w:val="ListParagraph"/>
        <w:numPr>
          <w:ilvl w:val="0"/>
          <w:numId w:val="45"/>
        </w:numPr>
        <w:spacing w:before="0" w:after="160" w:line="259" w:lineRule="auto"/>
        <w:ind w:left="567"/>
        <w:jc w:val="left"/>
        <w:rPr>
          <w:rFonts w:ascii="Arial" w:hAnsi="Arial" w:cs="Arial"/>
          <w:szCs w:val="24"/>
          <w:lang w:val="hr-HR"/>
        </w:rPr>
      </w:pPr>
      <w:r w:rsidRPr="00C5016E">
        <w:rPr>
          <w:rFonts w:ascii="Arial" w:hAnsi="Arial" w:cs="Arial"/>
          <w:szCs w:val="24"/>
          <w:lang w:val="hr-HR"/>
        </w:rPr>
        <w:t xml:space="preserve">2.000.000,00 KM kod Intesa Sanpaolo banke d.d. Bosna i Hercegovina </w:t>
      </w:r>
      <w:r w:rsidR="00834957" w:rsidRPr="00C5016E">
        <w:rPr>
          <w:rFonts w:ascii="Arial" w:hAnsi="Arial" w:cs="Arial"/>
          <w:szCs w:val="24"/>
          <w:lang w:val="hr-HR"/>
        </w:rPr>
        <w:t>na temelju</w:t>
      </w:r>
      <w:r w:rsidRPr="00C5016E">
        <w:rPr>
          <w:rFonts w:ascii="Arial" w:hAnsi="Arial" w:cs="Arial"/>
          <w:szCs w:val="24"/>
          <w:lang w:val="hr-HR"/>
        </w:rPr>
        <w:t xml:space="preserve"> Ugovora broj: 60677.</w:t>
      </w:r>
    </w:p>
    <w:p w:rsidR="00C025DC" w:rsidRPr="00C5016E" w:rsidRDefault="00C025DC" w:rsidP="00C025DC">
      <w:pPr>
        <w:pStyle w:val="ListParagraph"/>
        <w:numPr>
          <w:ilvl w:val="0"/>
          <w:numId w:val="45"/>
        </w:numPr>
        <w:spacing w:before="0" w:after="160" w:line="259" w:lineRule="auto"/>
        <w:ind w:left="567"/>
        <w:jc w:val="left"/>
        <w:rPr>
          <w:rFonts w:ascii="Arial" w:hAnsi="Arial" w:cs="Arial"/>
          <w:szCs w:val="24"/>
          <w:lang w:val="hr-HR"/>
        </w:rPr>
      </w:pPr>
      <w:r w:rsidRPr="00C5016E">
        <w:rPr>
          <w:rFonts w:ascii="Arial" w:hAnsi="Arial" w:cs="Arial"/>
          <w:szCs w:val="24"/>
          <w:lang w:val="hr-HR"/>
        </w:rPr>
        <w:t xml:space="preserve">2.000.000,00 KM kod Intesa Sanpaolo banke d.d. Bosna i Hercegovina </w:t>
      </w:r>
      <w:r w:rsidR="00834957" w:rsidRPr="00C5016E">
        <w:rPr>
          <w:rFonts w:ascii="Arial" w:hAnsi="Arial" w:cs="Arial"/>
          <w:szCs w:val="24"/>
          <w:lang w:val="hr-HR"/>
        </w:rPr>
        <w:t>na temelju</w:t>
      </w:r>
      <w:r w:rsidRPr="00C5016E">
        <w:rPr>
          <w:rFonts w:ascii="Arial" w:hAnsi="Arial" w:cs="Arial"/>
          <w:szCs w:val="24"/>
          <w:lang w:val="hr-HR"/>
        </w:rPr>
        <w:t xml:space="preserve"> Ugovora broj: 60682.</w:t>
      </w:r>
    </w:p>
    <w:p w:rsidR="00C025DC" w:rsidRPr="00C5016E" w:rsidRDefault="00C025DC" w:rsidP="00C025DC">
      <w:r w:rsidRPr="00C5016E">
        <w:lastRenderedPageBreak/>
        <w:t>Pored navedenog, stanje podračuna za servisiranje vanjskog duga otvorenih kod Centralne banke BiH, na dan 31.</w:t>
      </w:r>
      <w:r w:rsidR="00CE44FC" w:rsidRPr="00C5016E">
        <w:t xml:space="preserve"> </w:t>
      </w:r>
      <w:r w:rsidRPr="00C5016E">
        <w:t>12.</w:t>
      </w:r>
      <w:r w:rsidR="00CE44FC" w:rsidRPr="00C5016E">
        <w:t xml:space="preserve"> </w:t>
      </w:r>
      <w:r w:rsidRPr="00C5016E">
        <w:t>2022. iznosi</w:t>
      </w:r>
      <w:r w:rsidR="00CE44FC" w:rsidRPr="00C5016E">
        <w:t>l</w:t>
      </w:r>
      <w:r w:rsidRPr="00C5016E">
        <w:t>o je 6.878.255,20 KM, dok je stanje istog na dan 31.</w:t>
      </w:r>
      <w:r w:rsidR="00CE44FC" w:rsidRPr="00C5016E">
        <w:t xml:space="preserve"> </w:t>
      </w:r>
      <w:r w:rsidRPr="00C5016E">
        <w:t>12.</w:t>
      </w:r>
      <w:r w:rsidR="00CE44FC" w:rsidRPr="00C5016E">
        <w:t xml:space="preserve"> </w:t>
      </w:r>
      <w:r w:rsidRPr="00C5016E">
        <w:t>2021. iznosilo 157.924.760,49 KM.</w:t>
      </w:r>
    </w:p>
    <w:p w:rsidR="00C025DC" w:rsidRPr="00C5016E" w:rsidRDefault="00C025DC" w:rsidP="00C025DC">
      <w:pPr>
        <w:spacing w:before="0" w:after="160" w:line="259" w:lineRule="auto"/>
        <w:jc w:val="left"/>
        <w:rPr>
          <w:rFonts w:cs="Arial"/>
          <w:szCs w:val="24"/>
        </w:rPr>
      </w:pPr>
      <w:r w:rsidRPr="00C5016E">
        <w:rPr>
          <w:rFonts w:cs="Arial"/>
          <w:szCs w:val="24"/>
        </w:rPr>
        <w:br w:type="page"/>
      </w:r>
    </w:p>
    <w:p w:rsidR="00C025DC" w:rsidRPr="00C5016E" w:rsidRDefault="00C025DC" w:rsidP="00C025DC">
      <w:pPr>
        <w:pStyle w:val="Heading1"/>
        <w:rPr>
          <w:rFonts w:ascii="Arial" w:hAnsi="Arial" w:cs="Arial"/>
          <w:lang w:val="hr-HR" w:eastAsia="hr-HR"/>
        </w:rPr>
      </w:pPr>
      <w:bookmarkStart w:id="94" w:name="_Toc131505229"/>
      <w:r w:rsidRPr="00C5016E">
        <w:rPr>
          <w:rFonts w:ascii="Arial" w:hAnsi="Arial" w:cs="Arial"/>
          <w:lang w:val="hr-HR" w:eastAsia="hr-HR"/>
        </w:rPr>
        <w:lastRenderedPageBreak/>
        <w:t>STALNA SREDSTVA</w:t>
      </w:r>
      <w:bookmarkEnd w:id="94"/>
    </w:p>
    <w:p w:rsidR="00C025DC" w:rsidRPr="00C5016E" w:rsidRDefault="00C025DC" w:rsidP="00C025DC">
      <w:r w:rsidRPr="00C5016E">
        <w:t xml:space="preserve">Prema </w:t>
      </w:r>
      <w:r w:rsidR="00E55252" w:rsidRPr="00C5016E">
        <w:t>konsolidiranoj</w:t>
      </w:r>
      <w:r w:rsidRPr="00C5016E">
        <w:t xml:space="preserve"> bruto bilan</w:t>
      </w:r>
      <w:r w:rsidR="00E55252" w:rsidRPr="00C5016E">
        <w:t>ci</w:t>
      </w:r>
      <w:r w:rsidRPr="00C5016E">
        <w:t>, stanje stalnih sredstava na dan 31.</w:t>
      </w:r>
      <w:r w:rsidR="00E55252" w:rsidRPr="00C5016E">
        <w:t xml:space="preserve"> </w:t>
      </w:r>
      <w:r w:rsidRPr="00C5016E">
        <w:t>12.</w:t>
      </w:r>
      <w:r w:rsidR="00E55252" w:rsidRPr="00C5016E">
        <w:t xml:space="preserve"> </w:t>
      </w:r>
      <w:r w:rsidRPr="00C5016E">
        <w:t>2022. iznosilo je 420.688.710,61 KM, od čega je:</w:t>
      </w:r>
    </w:p>
    <w:p w:rsidR="00C025DC" w:rsidRPr="00C5016E" w:rsidRDefault="00C025DC" w:rsidP="00C025DC">
      <w:pPr>
        <w:pStyle w:val="ListParagraph"/>
        <w:numPr>
          <w:ilvl w:val="0"/>
          <w:numId w:val="18"/>
        </w:numPr>
        <w:rPr>
          <w:rFonts w:ascii="Arial" w:hAnsi="Arial" w:cs="Arial"/>
          <w:lang w:val="hr-HR"/>
        </w:rPr>
      </w:pPr>
      <w:r w:rsidRPr="00C5016E">
        <w:rPr>
          <w:rFonts w:ascii="Arial" w:hAnsi="Arial" w:cs="Arial"/>
          <w:lang w:val="hr-HR"/>
        </w:rPr>
        <w:t xml:space="preserve">na sintetičkom kontu 0111 - Zemljište, šume i višegodišnji zasadi 18.872.259,50 KM. </w:t>
      </w:r>
      <w:r w:rsidR="00E55252" w:rsidRPr="00C5016E">
        <w:rPr>
          <w:rFonts w:ascii="Arial" w:hAnsi="Arial" w:cs="Arial"/>
          <w:lang w:val="hr-HR"/>
        </w:rPr>
        <w:t>Promatrano</w:t>
      </w:r>
      <w:r w:rsidRPr="00C5016E">
        <w:rPr>
          <w:rFonts w:ascii="Arial" w:hAnsi="Arial" w:cs="Arial"/>
          <w:lang w:val="hr-HR"/>
        </w:rPr>
        <w:t xml:space="preserve"> po proračunskim organizacijama najveć</w:t>
      </w:r>
      <w:r w:rsidR="00E55252" w:rsidRPr="00C5016E">
        <w:rPr>
          <w:rFonts w:ascii="Arial" w:hAnsi="Arial" w:cs="Arial"/>
          <w:lang w:val="hr-HR"/>
        </w:rPr>
        <w:t>i</w:t>
      </w:r>
      <w:r w:rsidRPr="00C5016E">
        <w:rPr>
          <w:rFonts w:ascii="Arial" w:hAnsi="Arial" w:cs="Arial"/>
          <w:lang w:val="hr-HR"/>
        </w:rPr>
        <w:t xml:space="preserve"> u</w:t>
      </w:r>
      <w:r w:rsidR="00E55252" w:rsidRPr="00C5016E">
        <w:rPr>
          <w:rFonts w:ascii="Arial" w:hAnsi="Arial" w:cs="Arial"/>
          <w:lang w:val="hr-HR"/>
        </w:rPr>
        <w:t>djel</w:t>
      </w:r>
      <w:r w:rsidRPr="00C5016E">
        <w:rPr>
          <w:rFonts w:ascii="Arial" w:hAnsi="Arial" w:cs="Arial"/>
          <w:lang w:val="hr-HR"/>
        </w:rPr>
        <w:t xml:space="preserve"> odnosi se na: Federalni zavod za poljoprivredu Sarajevo 6,2 </w:t>
      </w:r>
      <w:r w:rsidR="004611A5" w:rsidRPr="00C5016E">
        <w:rPr>
          <w:rFonts w:ascii="Arial" w:hAnsi="Arial" w:cs="Arial"/>
          <w:lang w:val="hr-HR"/>
        </w:rPr>
        <w:t>milijun</w:t>
      </w:r>
      <w:r w:rsidRPr="00C5016E">
        <w:rPr>
          <w:rFonts w:ascii="Arial" w:hAnsi="Arial" w:cs="Arial"/>
          <w:lang w:val="hr-HR"/>
        </w:rPr>
        <w:t xml:space="preserve">a KM, Vladu Federacije BiH 4,7 </w:t>
      </w:r>
      <w:r w:rsidR="004611A5" w:rsidRPr="00C5016E">
        <w:rPr>
          <w:rFonts w:ascii="Arial" w:hAnsi="Arial" w:cs="Arial"/>
          <w:lang w:val="hr-HR"/>
        </w:rPr>
        <w:t>milijun</w:t>
      </w:r>
      <w:r w:rsidRPr="00C5016E">
        <w:rPr>
          <w:rFonts w:ascii="Arial" w:hAnsi="Arial" w:cs="Arial"/>
          <w:lang w:val="hr-HR"/>
        </w:rPr>
        <w:t xml:space="preserve">a KM, Službu za zajedničke poslove organa i tijela Federacije BiH 2,7 </w:t>
      </w:r>
      <w:r w:rsidR="004611A5" w:rsidRPr="00C5016E">
        <w:rPr>
          <w:rFonts w:ascii="Arial" w:hAnsi="Arial" w:cs="Arial"/>
          <w:lang w:val="hr-HR"/>
        </w:rPr>
        <w:t>milijun</w:t>
      </w:r>
      <w:r w:rsidRPr="00C5016E">
        <w:rPr>
          <w:rFonts w:ascii="Arial" w:hAnsi="Arial" w:cs="Arial"/>
          <w:lang w:val="hr-HR"/>
        </w:rPr>
        <w:t xml:space="preserve">a KM i Federalni agromediteranski zavod Mostar u iznosu od 2,0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ListParagraph"/>
        <w:numPr>
          <w:ilvl w:val="0"/>
          <w:numId w:val="18"/>
        </w:numPr>
        <w:rPr>
          <w:rFonts w:ascii="Arial" w:hAnsi="Arial" w:cs="Arial"/>
          <w:lang w:val="hr-HR"/>
        </w:rPr>
      </w:pPr>
      <w:r w:rsidRPr="00C5016E">
        <w:rPr>
          <w:rFonts w:ascii="Arial" w:hAnsi="Arial" w:cs="Arial"/>
          <w:lang w:val="hr-HR"/>
        </w:rPr>
        <w:t xml:space="preserve">na sintetičkom kontu 0112 - Građevine 294.018.401,84 KM. </w:t>
      </w:r>
      <w:r w:rsidR="00E55252" w:rsidRPr="00C5016E">
        <w:rPr>
          <w:rFonts w:ascii="Arial" w:hAnsi="Arial" w:cs="Arial"/>
          <w:lang w:val="hr-HR"/>
        </w:rPr>
        <w:t>Promatrano</w:t>
      </w:r>
      <w:r w:rsidRPr="00C5016E">
        <w:rPr>
          <w:rFonts w:ascii="Arial" w:hAnsi="Arial" w:cs="Arial"/>
          <w:lang w:val="hr-HR"/>
        </w:rPr>
        <w:t xml:space="preserve"> po proračunskim organizacijama </w:t>
      </w:r>
      <w:r w:rsidR="00E55252" w:rsidRPr="00C5016E">
        <w:rPr>
          <w:rFonts w:ascii="Arial" w:hAnsi="Arial" w:cs="Arial"/>
          <w:lang w:val="hr-HR"/>
        </w:rPr>
        <w:t>najveći udjel</w:t>
      </w:r>
      <w:r w:rsidRPr="00C5016E">
        <w:rPr>
          <w:rFonts w:ascii="Arial" w:hAnsi="Arial" w:cs="Arial"/>
          <w:lang w:val="hr-HR"/>
        </w:rPr>
        <w:t xml:space="preserve"> odnosi se na: Federalni zavod za mirovinsko i invalidsko osiguranje 75,8 </w:t>
      </w:r>
      <w:r w:rsidR="004611A5" w:rsidRPr="00C5016E">
        <w:rPr>
          <w:rFonts w:ascii="Arial" w:hAnsi="Arial" w:cs="Arial"/>
          <w:lang w:val="hr-HR"/>
        </w:rPr>
        <w:t>milijun</w:t>
      </w:r>
      <w:r w:rsidRPr="00C5016E">
        <w:rPr>
          <w:rFonts w:ascii="Arial" w:hAnsi="Arial" w:cs="Arial"/>
          <w:lang w:val="hr-HR"/>
        </w:rPr>
        <w:t xml:space="preserve">a KM, Vladu Federacije BiH 66,8 </w:t>
      </w:r>
      <w:r w:rsidR="004611A5" w:rsidRPr="00C5016E">
        <w:rPr>
          <w:rFonts w:ascii="Arial" w:hAnsi="Arial" w:cs="Arial"/>
          <w:lang w:val="hr-HR"/>
        </w:rPr>
        <w:t>milijun</w:t>
      </w:r>
      <w:r w:rsidRPr="00C5016E">
        <w:rPr>
          <w:rFonts w:ascii="Arial" w:hAnsi="Arial" w:cs="Arial"/>
          <w:lang w:val="hr-HR"/>
        </w:rPr>
        <w:t xml:space="preserve">a KM, Službu za zajedničke poslove organa i tijela Federacije BiH 34,9 </w:t>
      </w:r>
      <w:r w:rsidR="004611A5" w:rsidRPr="00C5016E">
        <w:rPr>
          <w:rFonts w:ascii="Arial" w:hAnsi="Arial" w:cs="Arial"/>
          <w:lang w:val="hr-HR"/>
        </w:rPr>
        <w:t>milijun</w:t>
      </w:r>
      <w:r w:rsidRPr="00C5016E">
        <w:rPr>
          <w:rFonts w:ascii="Arial" w:hAnsi="Arial" w:cs="Arial"/>
          <w:lang w:val="hr-HR"/>
        </w:rPr>
        <w:t xml:space="preserve">a KM, Kazneno - popravni zavod zatvorenog tipa Zenica 15,6 </w:t>
      </w:r>
      <w:r w:rsidR="004611A5" w:rsidRPr="00C5016E">
        <w:rPr>
          <w:rFonts w:ascii="Arial" w:hAnsi="Arial" w:cs="Arial"/>
          <w:lang w:val="hr-HR"/>
        </w:rPr>
        <w:t>milijun</w:t>
      </w:r>
      <w:r w:rsidRPr="00C5016E">
        <w:rPr>
          <w:rFonts w:ascii="Arial" w:hAnsi="Arial" w:cs="Arial"/>
          <w:lang w:val="hr-HR"/>
        </w:rPr>
        <w:t xml:space="preserve">a KM, Kazneno - popravni zavod Orašje 8,7 </w:t>
      </w:r>
      <w:r w:rsidR="004611A5" w:rsidRPr="00C5016E">
        <w:rPr>
          <w:rFonts w:ascii="Arial" w:hAnsi="Arial" w:cs="Arial"/>
          <w:lang w:val="hr-HR"/>
        </w:rPr>
        <w:t>milijun</w:t>
      </w:r>
      <w:r w:rsidRPr="00C5016E">
        <w:rPr>
          <w:rFonts w:ascii="Arial" w:hAnsi="Arial" w:cs="Arial"/>
          <w:lang w:val="hr-HR"/>
        </w:rPr>
        <w:t xml:space="preserve">a KM, Federalno ministarstvo financija 8,4 </w:t>
      </w:r>
      <w:r w:rsidR="004611A5" w:rsidRPr="00C5016E">
        <w:rPr>
          <w:rFonts w:ascii="Arial" w:hAnsi="Arial" w:cs="Arial"/>
          <w:lang w:val="hr-HR"/>
        </w:rPr>
        <w:t>milijun</w:t>
      </w:r>
      <w:r w:rsidRPr="00C5016E">
        <w:rPr>
          <w:rFonts w:ascii="Arial" w:hAnsi="Arial" w:cs="Arial"/>
          <w:lang w:val="hr-HR"/>
        </w:rPr>
        <w:t xml:space="preserve">a KM, Kazneno - popravni zavod poluotvorenog tipa Tuzla 8,1 </w:t>
      </w:r>
      <w:r w:rsidR="004611A5" w:rsidRPr="00C5016E">
        <w:rPr>
          <w:rFonts w:ascii="Arial" w:hAnsi="Arial" w:cs="Arial"/>
          <w:lang w:val="hr-HR"/>
        </w:rPr>
        <w:t>milijun</w:t>
      </w:r>
      <w:r w:rsidRPr="00C5016E">
        <w:rPr>
          <w:rFonts w:ascii="Arial" w:hAnsi="Arial" w:cs="Arial"/>
          <w:lang w:val="hr-HR"/>
        </w:rPr>
        <w:t xml:space="preserve"> KM, Poreznu upravu 6,9 </w:t>
      </w:r>
      <w:r w:rsidR="004611A5" w:rsidRPr="00C5016E">
        <w:rPr>
          <w:rFonts w:ascii="Arial" w:hAnsi="Arial" w:cs="Arial"/>
          <w:lang w:val="hr-HR"/>
        </w:rPr>
        <w:t>milijun</w:t>
      </w:r>
      <w:r w:rsidRPr="00C5016E">
        <w:rPr>
          <w:rFonts w:ascii="Arial" w:hAnsi="Arial" w:cs="Arial"/>
          <w:lang w:val="hr-HR"/>
        </w:rPr>
        <w:t xml:space="preserve">a KM, Federalno ministarstvo prometa i komunikacija 6,7 </w:t>
      </w:r>
      <w:r w:rsidR="004611A5" w:rsidRPr="00C5016E">
        <w:rPr>
          <w:rFonts w:ascii="Arial" w:hAnsi="Arial" w:cs="Arial"/>
          <w:lang w:val="hr-HR"/>
        </w:rPr>
        <w:t>milijun</w:t>
      </w:r>
      <w:r w:rsidRPr="00C5016E">
        <w:rPr>
          <w:rFonts w:ascii="Arial" w:hAnsi="Arial" w:cs="Arial"/>
          <w:lang w:val="hr-HR"/>
        </w:rPr>
        <w:t>a KM, Federalno ministarstvo unut</w:t>
      </w:r>
      <w:r w:rsidR="00E55252" w:rsidRPr="00C5016E">
        <w:rPr>
          <w:rFonts w:ascii="Arial" w:hAnsi="Arial" w:cs="Arial"/>
          <w:lang w:val="hr-HR"/>
        </w:rPr>
        <w:t>ar</w:t>
      </w:r>
      <w:r w:rsidRPr="00C5016E">
        <w:rPr>
          <w:rFonts w:ascii="Arial" w:hAnsi="Arial" w:cs="Arial"/>
          <w:lang w:val="hr-HR"/>
        </w:rPr>
        <w:t xml:space="preserve">njih poslova 6,7 </w:t>
      </w:r>
      <w:r w:rsidR="004611A5" w:rsidRPr="00C5016E">
        <w:rPr>
          <w:rFonts w:ascii="Arial" w:hAnsi="Arial" w:cs="Arial"/>
          <w:lang w:val="hr-HR"/>
        </w:rPr>
        <w:t>milijun</w:t>
      </w:r>
      <w:r w:rsidRPr="00C5016E">
        <w:rPr>
          <w:rFonts w:ascii="Arial" w:hAnsi="Arial" w:cs="Arial"/>
          <w:lang w:val="hr-HR"/>
        </w:rPr>
        <w:t xml:space="preserve">a KM i Federalni agromediteranski zavod Mostar u iznosu od 5,7 </w:t>
      </w:r>
      <w:r w:rsidR="004611A5" w:rsidRPr="00C5016E">
        <w:rPr>
          <w:rFonts w:ascii="Arial" w:hAnsi="Arial" w:cs="Arial"/>
          <w:lang w:val="hr-HR"/>
        </w:rPr>
        <w:t>milijun</w:t>
      </w:r>
      <w:r w:rsidRPr="00C5016E">
        <w:rPr>
          <w:rFonts w:ascii="Arial" w:hAnsi="Arial" w:cs="Arial"/>
          <w:lang w:val="hr-HR"/>
        </w:rPr>
        <w:t>a KM.</w:t>
      </w:r>
      <w:r w:rsidR="00E55252" w:rsidRPr="00C5016E">
        <w:rPr>
          <w:rFonts w:ascii="Arial" w:hAnsi="Arial" w:cs="Arial"/>
          <w:lang w:val="hr-HR"/>
        </w:rPr>
        <w:t xml:space="preserve"> </w:t>
      </w:r>
    </w:p>
    <w:p w:rsidR="00C025DC" w:rsidRPr="00C5016E" w:rsidRDefault="00C025DC" w:rsidP="00C025DC">
      <w:pPr>
        <w:pStyle w:val="ListParagraph"/>
        <w:numPr>
          <w:ilvl w:val="0"/>
          <w:numId w:val="18"/>
        </w:numPr>
        <w:rPr>
          <w:rFonts w:ascii="Arial" w:hAnsi="Arial" w:cs="Arial"/>
          <w:lang w:val="hr-HR"/>
        </w:rPr>
      </w:pPr>
      <w:r w:rsidRPr="00C5016E">
        <w:rPr>
          <w:rFonts w:ascii="Arial" w:hAnsi="Arial" w:cs="Arial"/>
          <w:lang w:val="hr-HR"/>
        </w:rPr>
        <w:t xml:space="preserve">na sintetičkom kontu 0113 - Oprema 264.797.800,20 KM. </w:t>
      </w:r>
      <w:r w:rsidR="00E55252" w:rsidRPr="00C5016E">
        <w:rPr>
          <w:rFonts w:ascii="Arial" w:hAnsi="Arial" w:cs="Arial"/>
          <w:lang w:val="hr-HR"/>
        </w:rPr>
        <w:t>Promatrano</w:t>
      </w:r>
      <w:r w:rsidRPr="00C5016E">
        <w:rPr>
          <w:rFonts w:ascii="Arial" w:hAnsi="Arial" w:cs="Arial"/>
          <w:lang w:val="hr-HR"/>
        </w:rPr>
        <w:t xml:space="preserve"> po proračunskim organizacijama </w:t>
      </w:r>
      <w:r w:rsidR="00E55252" w:rsidRPr="00C5016E">
        <w:rPr>
          <w:rFonts w:ascii="Arial" w:hAnsi="Arial" w:cs="Arial"/>
          <w:lang w:val="hr-HR"/>
        </w:rPr>
        <w:t xml:space="preserve">najveći udjel </w:t>
      </w:r>
      <w:r w:rsidRPr="00C5016E">
        <w:rPr>
          <w:rFonts w:ascii="Arial" w:hAnsi="Arial" w:cs="Arial"/>
          <w:lang w:val="hr-HR"/>
        </w:rPr>
        <w:t xml:space="preserve">odnosi se na: Federalno ministarstvo prometa i komunikacija 50,2 </w:t>
      </w:r>
      <w:r w:rsidR="004611A5" w:rsidRPr="00C5016E">
        <w:rPr>
          <w:rFonts w:ascii="Arial" w:hAnsi="Arial" w:cs="Arial"/>
          <w:lang w:val="hr-HR"/>
        </w:rPr>
        <w:t>milijun</w:t>
      </w:r>
      <w:r w:rsidRPr="00C5016E">
        <w:rPr>
          <w:rFonts w:ascii="Arial" w:hAnsi="Arial" w:cs="Arial"/>
          <w:lang w:val="hr-HR"/>
        </w:rPr>
        <w:t xml:space="preserve">a KM, Federalnu upravu policije 30 </w:t>
      </w:r>
      <w:r w:rsidR="004611A5" w:rsidRPr="00C5016E">
        <w:rPr>
          <w:rFonts w:ascii="Arial" w:hAnsi="Arial" w:cs="Arial"/>
          <w:lang w:val="hr-HR"/>
        </w:rPr>
        <w:t>milijun</w:t>
      </w:r>
      <w:r w:rsidR="00E55252" w:rsidRPr="00C5016E">
        <w:rPr>
          <w:rFonts w:ascii="Arial" w:hAnsi="Arial" w:cs="Arial"/>
          <w:lang w:val="hr-HR"/>
        </w:rPr>
        <w:t>a KM,</w:t>
      </w:r>
      <w:r w:rsidRPr="00C5016E">
        <w:rPr>
          <w:rFonts w:ascii="Arial" w:hAnsi="Arial" w:cs="Arial"/>
          <w:lang w:val="hr-HR"/>
        </w:rPr>
        <w:t xml:space="preserve"> Federalnu upravu za civilnu zaštitu 29,1 </w:t>
      </w:r>
      <w:r w:rsidR="004611A5" w:rsidRPr="00C5016E">
        <w:rPr>
          <w:rFonts w:ascii="Arial" w:hAnsi="Arial" w:cs="Arial"/>
          <w:lang w:val="hr-HR"/>
        </w:rPr>
        <w:t>milijun</w:t>
      </w:r>
      <w:r w:rsidRPr="00C5016E">
        <w:rPr>
          <w:rFonts w:ascii="Arial" w:hAnsi="Arial" w:cs="Arial"/>
          <w:lang w:val="hr-HR"/>
        </w:rPr>
        <w:t xml:space="preserve">a KM, Federalno ministarstvo financija 24,2 </w:t>
      </w:r>
      <w:r w:rsidR="004611A5" w:rsidRPr="00C5016E">
        <w:rPr>
          <w:rFonts w:ascii="Arial" w:hAnsi="Arial" w:cs="Arial"/>
          <w:lang w:val="hr-HR"/>
        </w:rPr>
        <w:t>milijun</w:t>
      </w:r>
      <w:r w:rsidRPr="00C5016E">
        <w:rPr>
          <w:rFonts w:ascii="Arial" w:hAnsi="Arial" w:cs="Arial"/>
          <w:lang w:val="hr-HR"/>
        </w:rPr>
        <w:t xml:space="preserve">a KM, Federalni zavod za mirovinsko i invalidsko osiguranje 22,7 </w:t>
      </w:r>
      <w:r w:rsidR="004611A5" w:rsidRPr="00C5016E">
        <w:rPr>
          <w:rFonts w:ascii="Arial" w:hAnsi="Arial" w:cs="Arial"/>
          <w:lang w:val="hr-HR"/>
        </w:rPr>
        <w:t>milijun</w:t>
      </w:r>
      <w:r w:rsidRPr="00C5016E">
        <w:rPr>
          <w:rFonts w:ascii="Arial" w:hAnsi="Arial" w:cs="Arial"/>
          <w:lang w:val="hr-HR"/>
        </w:rPr>
        <w:t xml:space="preserve">a KM, Poreznu upravu 14,0 </w:t>
      </w:r>
      <w:r w:rsidR="004611A5" w:rsidRPr="00C5016E">
        <w:rPr>
          <w:rFonts w:ascii="Arial" w:hAnsi="Arial" w:cs="Arial"/>
          <w:lang w:val="hr-HR"/>
        </w:rPr>
        <w:t>milijun</w:t>
      </w:r>
      <w:r w:rsidR="00E55252" w:rsidRPr="00C5016E">
        <w:rPr>
          <w:rFonts w:ascii="Arial" w:hAnsi="Arial" w:cs="Arial"/>
          <w:lang w:val="hr-HR"/>
        </w:rPr>
        <w:t>a KM.</w:t>
      </w:r>
      <w:r w:rsidRPr="00C5016E">
        <w:rPr>
          <w:rFonts w:ascii="Arial" w:hAnsi="Arial" w:cs="Arial"/>
          <w:lang w:val="hr-HR"/>
        </w:rPr>
        <w:t xml:space="preserve"> </w:t>
      </w:r>
      <w:r w:rsidR="00E55252" w:rsidRPr="00C5016E">
        <w:rPr>
          <w:rFonts w:ascii="Arial" w:hAnsi="Arial" w:cs="Arial"/>
          <w:lang w:val="hr-HR"/>
        </w:rPr>
        <w:t xml:space="preserve"> </w:t>
      </w:r>
    </w:p>
    <w:p w:rsidR="00C025DC" w:rsidRPr="00C5016E" w:rsidRDefault="00C025DC" w:rsidP="00C025DC">
      <w:pPr>
        <w:pStyle w:val="ListParagraph"/>
        <w:numPr>
          <w:ilvl w:val="0"/>
          <w:numId w:val="18"/>
        </w:numPr>
        <w:rPr>
          <w:rFonts w:ascii="Arial" w:hAnsi="Arial" w:cs="Arial"/>
          <w:lang w:val="hr-HR"/>
        </w:rPr>
      </w:pPr>
      <w:r w:rsidRPr="00C5016E">
        <w:rPr>
          <w:rFonts w:ascii="Arial" w:hAnsi="Arial" w:cs="Arial"/>
          <w:lang w:val="hr-HR"/>
        </w:rPr>
        <w:t xml:space="preserve">na sintetičkom kontu 0114 - Ostala stalna sredstva 45.282.171,27 KM. </w:t>
      </w:r>
      <w:r w:rsidR="00E55252" w:rsidRPr="00C5016E">
        <w:rPr>
          <w:rFonts w:ascii="Arial" w:hAnsi="Arial" w:cs="Arial"/>
          <w:lang w:val="hr-HR"/>
        </w:rPr>
        <w:t>Promatrano</w:t>
      </w:r>
      <w:r w:rsidRPr="00C5016E">
        <w:rPr>
          <w:rFonts w:ascii="Arial" w:hAnsi="Arial" w:cs="Arial"/>
          <w:lang w:val="hr-HR"/>
        </w:rPr>
        <w:t xml:space="preserve"> po proračunskim organizacijama </w:t>
      </w:r>
      <w:r w:rsidR="00E55252" w:rsidRPr="00C5016E">
        <w:rPr>
          <w:rFonts w:ascii="Arial" w:hAnsi="Arial" w:cs="Arial"/>
          <w:lang w:val="hr-HR"/>
        </w:rPr>
        <w:t xml:space="preserve">najveći udjel </w:t>
      </w:r>
      <w:r w:rsidRPr="00C5016E">
        <w:rPr>
          <w:rFonts w:ascii="Arial" w:hAnsi="Arial" w:cs="Arial"/>
          <w:lang w:val="hr-HR"/>
        </w:rPr>
        <w:t>odnosi se na:</w:t>
      </w:r>
      <w:r w:rsidRPr="00C5016E">
        <w:rPr>
          <w:lang w:val="hr-HR"/>
        </w:rPr>
        <w:t xml:space="preserve"> </w:t>
      </w:r>
      <w:r w:rsidRPr="00C5016E">
        <w:rPr>
          <w:rFonts w:ascii="Arial" w:hAnsi="Arial" w:cs="Arial"/>
          <w:lang w:val="hr-HR"/>
        </w:rPr>
        <w:t xml:space="preserve">Federalnu direkciju za robne rezerve 45,1 </w:t>
      </w:r>
      <w:r w:rsidR="004611A5" w:rsidRPr="00C5016E">
        <w:rPr>
          <w:rFonts w:ascii="Arial" w:hAnsi="Arial" w:cs="Arial"/>
          <w:lang w:val="hr-HR"/>
        </w:rPr>
        <w:t>milijun</w:t>
      </w:r>
      <w:r w:rsidRPr="00C5016E">
        <w:rPr>
          <w:rFonts w:ascii="Arial" w:hAnsi="Arial" w:cs="Arial"/>
          <w:lang w:val="hr-HR"/>
        </w:rPr>
        <w:t>a KM</w:t>
      </w:r>
      <w:r w:rsidR="00E55252" w:rsidRPr="00C5016E">
        <w:rPr>
          <w:rFonts w:ascii="Arial" w:hAnsi="Arial" w:cs="Arial"/>
          <w:lang w:val="hr-HR"/>
        </w:rPr>
        <w:t>.</w:t>
      </w:r>
      <w:r w:rsidRPr="00C5016E">
        <w:rPr>
          <w:rFonts w:ascii="Arial" w:hAnsi="Arial" w:cs="Arial"/>
          <w:lang w:val="hr-HR"/>
        </w:rPr>
        <w:t xml:space="preserve"> </w:t>
      </w:r>
    </w:p>
    <w:p w:rsidR="00C025DC" w:rsidRPr="00C5016E" w:rsidRDefault="00C025DC" w:rsidP="00C025DC">
      <w:pPr>
        <w:pStyle w:val="ListParagraph"/>
        <w:numPr>
          <w:ilvl w:val="0"/>
          <w:numId w:val="18"/>
        </w:numPr>
        <w:rPr>
          <w:rFonts w:ascii="Arial" w:hAnsi="Arial" w:cs="Arial"/>
          <w:lang w:val="hr-HR"/>
        </w:rPr>
      </w:pPr>
      <w:r w:rsidRPr="00C5016E">
        <w:rPr>
          <w:rFonts w:ascii="Arial" w:hAnsi="Arial" w:cs="Arial"/>
          <w:lang w:val="hr-HR"/>
        </w:rPr>
        <w:t xml:space="preserve">na sintetičkom kontu 0115 - Stalna sredstva u obliku prava 54.432.095,27 KM. </w:t>
      </w:r>
      <w:r w:rsidR="00E55252" w:rsidRPr="00C5016E">
        <w:rPr>
          <w:rFonts w:ascii="Arial" w:hAnsi="Arial" w:cs="Arial"/>
          <w:lang w:val="hr-HR"/>
        </w:rPr>
        <w:t>Promatrano</w:t>
      </w:r>
      <w:r w:rsidRPr="00C5016E">
        <w:rPr>
          <w:rFonts w:ascii="Arial" w:hAnsi="Arial" w:cs="Arial"/>
          <w:lang w:val="hr-HR"/>
        </w:rPr>
        <w:t xml:space="preserve"> po proračunskim organizacijama </w:t>
      </w:r>
      <w:r w:rsidR="00E55252" w:rsidRPr="00C5016E">
        <w:rPr>
          <w:rFonts w:ascii="Arial" w:hAnsi="Arial" w:cs="Arial"/>
          <w:lang w:val="hr-HR"/>
        </w:rPr>
        <w:t xml:space="preserve">najveći udjel </w:t>
      </w:r>
      <w:r w:rsidRPr="00C5016E">
        <w:rPr>
          <w:rFonts w:ascii="Arial" w:hAnsi="Arial" w:cs="Arial"/>
          <w:lang w:val="hr-HR"/>
        </w:rPr>
        <w:t xml:space="preserve">odnosi se na: Federalnu upravu za geodetske i imovinsko pravne poslove 13,1 </w:t>
      </w:r>
      <w:r w:rsidR="004611A5" w:rsidRPr="00C5016E">
        <w:rPr>
          <w:rFonts w:ascii="Arial" w:hAnsi="Arial" w:cs="Arial"/>
          <w:lang w:val="hr-HR"/>
        </w:rPr>
        <w:t>milijun</w:t>
      </w:r>
      <w:r w:rsidRPr="00C5016E">
        <w:rPr>
          <w:rFonts w:ascii="Arial" w:hAnsi="Arial" w:cs="Arial"/>
          <w:lang w:val="hr-HR"/>
        </w:rPr>
        <w:t xml:space="preserve"> KM, Poreznu upravu 8,3 </w:t>
      </w:r>
      <w:r w:rsidR="004611A5" w:rsidRPr="00C5016E">
        <w:rPr>
          <w:rFonts w:ascii="Arial" w:hAnsi="Arial" w:cs="Arial"/>
          <w:lang w:val="hr-HR"/>
        </w:rPr>
        <w:t>milijun</w:t>
      </w:r>
      <w:r w:rsidRPr="00C5016E">
        <w:rPr>
          <w:rFonts w:ascii="Arial" w:hAnsi="Arial" w:cs="Arial"/>
          <w:lang w:val="hr-HR"/>
        </w:rPr>
        <w:t xml:space="preserve">a KM, Federalno ministarstvo prostornog uređenja 5,3 </w:t>
      </w:r>
      <w:r w:rsidR="004611A5" w:rsidRPr="00C5016E">
        <w:rPr>
          <w:rFonts w:ascii="Arial" w:hAnsi="Arial" w:cs="Arial"/>
          <w:lang w:val="hr-HR"/>
        </w:rPr>
        <w:t>milijun</w:t>
      </w:r>
      <w:r w:rsidRPr="00C5016E">
        <w:rPr>
          <w:rFonts w:ascii="Arial" w:hAnsi="Arial" w:cs="Arial"/>
          <w:lang w:val="hr-HR"/>
        </w:rPr>
        <w:t xml:space="preserve">a KM, Federalno ministarstvo okoliša i turizma 3,5 </w:t>
      </w:r>
      <w:r w:rsidR="004611A5" w:rsidRPr="00C5016E">
        <w:rPr>
          <w:rFonts w:ascii="Arial" w:hAnsi="Arial" w:cs="Arial"/>
          <w:lang w:val="hr-HR"/>
        </w:rPr>
        <w:t>milijun</w:t>
      </w:r>
      <w:r w:rsidRPr="00C5016E">
        <w:rPr>
          <w:rFonts w:ascii="Arial" w:hAnsi="Arial" w:cs="Arial"/>
          <w:lang w:val="hr-HR"/>
        </w:rPr>
        <w:t xml:space="preserve">a KM, Federalno ministarstvo financija 3,1 </w:t>
      </w:r>
      <w:r w:rsidR="004611A5" w:rsidRPr="00C5016E">
        <w:rPr>
          <w:rFonts w:ascii="Arial" w:hAnsi="Arial" w:cs="Arial"/>
          <w:lang w:val="hr-HR"/>
        </w:rPr>
        <w:t>milijun</w:t>
      </w:r>
      <w:r w:rsidRPr="00C5016E">
        <w:rPr>
          <w:rFonts w:ascii="Arial" w:hAnsi="Arial" w:cs="Arial"/>
          <w:lang w:val="hr-HR"/>
        </w:rPr>
        <w:t xml:space="preserve"> KM i Službu za zajedničke poslove organa i tijela Federacije BiH u iznosu od 3 </w:t>
      </w:r>
      <w:r w:rsidR="004611A5" w:rsidRPr="00C5016E">
        <w:rPr>
          <w:rFonts w:ascii="Arial" w:hAnsi="Arial" w:cs="Arial"/>
          <w:lang w:val="hr-HR"/>
        </w:rPr>
        <w:t>milijun</w:t>
      </w:r>
      <w:r w:rsidRPr="00C5016E">
        <w:rPr>
          <w:rFonts w:ascii="Arial" w:hAnsi="Arial" w:cs="Arial"/>
          <w:lang w:val="hr-HR"/>
        </w:rPr>
        <w:t xml:space="preserve">a KM. </w:t>
      </w:r>
      <w:r w:rsidR="00E55252" w:rsidRPr="00C5016E">
        <w:rPr>
          <w:rFonts w:ascii="Arial" w:hAnsi="Arial" w:cs="Arial"/>
          <w:lang w:val="hr-HR"/>
        </w:rPr>
        <w:t xml:space="preserve"> </w:t>
      </w:r>
    </w:p>
    <w:p w:rsidR="00C025DC" w:rsidRPr="00C5016E" w:rsidRDefault="00C025DC" w:rsidP="00C025DC">
      <w:pPr>
        <w:pStyle w:val="ListParagraph"/>
        <w:numPr>
          <w:ilvl w:val="0"/>
          <w:numId w:val="18"/>
        </w:numPr>
        <w:rPr>
          <w:rFonts w:ascii="Arial" w:hAnsi="Arial" w:cs="Arial"/>
          <w:lang w:val="hr-HR"/>
        </w:rPr>
      </w:pPr>
      <w:r w:rsidRPr="00C5016E">
        <w:rPr>
          <w:rFonts w:ascii="Arial" w:hAnsi="Arial" w:cs="Arial"/>
          <w:lang w:val="hr-HR"/>
        </w:rPr>
        <w:t xml:space="preserve">na sintetičkom kontu 0116 - Sredstva u pripremi 35.238.217,44 KM. Ako </w:t>
      </w:r>
      <w:r w:rsidR="00E55252" w:rsidRPr="00C5016E">
        <w:rPr>
          <w:rFonts w:ascii="Arial" w:hAnsi="Arial" w:cs="Arial"/>
          <w:lang w:val="hr-HR"/>
        </w:rPr>
        <w:t>promatramo</w:t>
      </w:r>
      <w:r w:rsidRPr="00C5016E">
        <w:rPr>
          <w:rFonts w:ascii="Arial" w:hAnsi="Arial" w:cs="Arial"/>
          <w:lang w:val="hr-HR"/>
        </w:rPr>
        <w:t xml:space="preserve"> pojedinačno po proračunskim organizacijama važno je napomenuti da se na Kazneno - popravni zavod poluotvorenog tipa Mostar odnosi 8,9 </w:t>
      </w:r>
      <w:r w:rsidR="004611A5" w:rsidRPr="00C5016E">
        <w:rPr>
          <w:rFonts w:ascii="Arial" w:hAnsi="Arial" w:cs="Arial"/>
          <w:lang w:val="hr-HR"/>
        </w:rPr>
        <w:t>milijun</w:t>
      </w:r>
      <w:r w:rsidRPr="00C5016E">
        <w:rPr>
          <w:rFonts w:ascii="Arial" w:hAnsi="Arial" w:cs="Arial"/>
          <w:lang w:val="hr-HR"/>
        </w:rPr>
        <w:t xml:space="preserve">a KM, Službu za zajedničke poslove organa i tijela Federacije BiH 6,7 </w:t>
      </w:r>
      <w:r w:rsidR="004611A5" w:rsidRPr="00C5016E">
        <w:rPr>
          <w:rFonts w:ascii="Arial" w:hAnsi="Arial" w:cs="Arial"/>
          <w:lang w:val="hr-HR"/>
        </w:rPr>
        <w:t>milijun</w:t>
      </w:r>
      <w:r w:rsidRPr="00C5016E">
        <w:rPr>
          <w:rFonts w:ascii="Arial" w:hAnsi="Arial" w:cs="Arial"/>
          <w:lang w:val="hr-HR"/>
        </w:rPr>
        <w:t xml:space="preserve">a KM, </w:t>
      </w:r>
      <w:r w:rsidRPr="00C5016E">
        <w:rPr>
          <w:rFonts w:ascii="Arial" w:eastAsiaTheme="minorHAnsi" w:hAnsi="Arial" w:cs="Arial"/>
          <w:szCs w:val="24"/>
          <w:lang w:val="hr-HR"/>
        </w:rPr>
        <w:t xml:space="preserve">Kazneno - popravni zavod poluotvorenog tipa </w:t>
      </w:r>
      <w:r w:rsidRPr="00C5016E">
        <w:rPr>
          <w:rFonts w:ascii="Arial" w:eastAsiaTheme="minorHAnsi" w:hAnsi="Arial" w:cs="Arial"/>
          <w:szCs w:val="24"/>
          <w:lang w:val="hr-HR"/>
        </w:rPr>
        <w:lastRenderedPageBreak/>
        <w:t xml:space="preserve">Sarajevo 3,1 </w:t>
      </w:r>
      <w:r w:rsidR="004611A5" w:rsidRPr="00C5016E">
        <w:rPr>
          <w:rFonts w:ascii="Arial" w:eastAsiaTheme="minorHAnsi" w:hAnsi="Arial" w:cs="Arial"/>
          <w:szCs w:val="24"/>
          <w:lang w:val="hr-HR"/>
        </w:rPr>
        <w:t>milijun</w:t>
      </w:r>
      <w:r w:rsidRPr="00C5016E">
        <w:rPr>
          <w:rFonts w:ascii="Arial" w:eastAsiaTheme="minorHAnsi" w:hAnsi="Arial" w:cs="Arial"/>
          <w:szCs w:val="24"/>
          <w:lang w:val="hr-HR"/>
        </w:rPr>
        <w:t xml:space="preserve"> KM,</w:t>
      </w:r>
      <w:r w:rsidRPr="00C5016E">
        <w:rPr>
          <w:rFonts w:ascii="Arial" w:hAnsi="Arial" w:cs="Arial"/>
          <w:lang w:val="hr-HR"/>
        </w:rPr>
        <w:t xml:space="preserve"> Federalno ministarstvo prostornog uređenja 2,5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ListParagraph"/>
        <w:numPr>
          <w:ilvl w:val="0"/>
          <w:numId w:val="18"/>
        </w:numPr>
        <w:rPr>
          <w:rFonts w:ascii="Arial" w:hAnsi="Arial" w:cs="Arial"/>
          <w:lang w:val="hr-HR"/>
        </w:rPr>
      </w:pPr>
      <w:r w:rsidRPr="00C5016E">
        <w:rPr>
          <w:rFonts w:ascii="Arial" w:hAnsi="Arial" w:cs="Arial"/>
          <w:lang w:val="hr-HR"/>
        </w:rPr>
        <w:t xml:space="preserve">na sintetičkom kontu 0117 - Sredstva </w:t>
      </w:r>
      <w:r w:rsidR="00E55252" w:rsidRPr="00C5016E">
        <w:rPr>
          <w:rFonts w:ascii="Arial" w:hAnsi="Arial" w:cs="Arial"/>
          <w:lang w:val="hr-HR"/>
        </w:rPr>
        <w:t>iz</w:t>
      </w:r>
      <w:r w:rsidRPr="00C5016E">
        <w:rPr>
          <w:rFonts w:ascii="Arial" w:hAnsi="Arial" w:cs="Arial"/>
          <w:lang w:val="hr-HR"/>
        </w:rPr>
        <w:t xml:space="preserve">van upotrebe 7.438.748,95 KM. </w:t>
      </w:r>
      <w:r w:rsidR="00E55252" w:rsidRPr="00C5016E">
        <w:rPr>
          <w:rFonts w:ascii="Arial" w:hAnsi="Arial" w:cs="Arial"/>
          <w:lang w:val="hr-HR"/>
        </w:rPr>
        <w:t>Promatrano</w:t>
      </w:r>
      <w:r w:rsidRPr="00C5016E">
        <w:rPr>
          <w:rFonts w:ascii="Arial" w:hAnsi="Arial" w:cs="Arial"/>
          <w:lang w:val="hr-HR"/>
        </w:rPr>
        <w:t xml:space="preserve"> po proračunskim organizacijama </w:t>
      </w:r>
      <w:r w:rsidR="00E55252" w:rsidRPr="00C5016E">
        <w:rPr>
          <w:rFonts w:ascii="Arial" w:hAnsi="Arial" w:cs="Arial"/>
          <w:lang w:val="hr-HR"/>
        </w:rPr>
        <w:t xml:space="preserve">najveći udjel </w:t>
      </w:r>
      <w:r w:rsidRPr="00C5016E">
        <w:rPr>
          <w:rFonts w:ascii="Arial" w:hAnsi="Arial" w:cs="Arial"/>
          <w:lang w:val="hr-HR"/>
        </w:rPr>
        <w:t xml:space="preserve">odnosi se na: Federalno ministarstvo prometa i komunikacija 4,4 </w:t>
      </w:r>
      <w:r w:rsidR="004611A5" w:rsidRPr="00C5016E">
        <w:rPr>
          <w:rFonts w:ascii="Arial" w:hAnsi="Arial" w:cs="Arial"/>
          <w:lang w:val="hr-HR"/>
        </w:rPr>
        <w:t>milijun</w:t>
      </w:r>
      <w:r w:rsidRPr="00C5016E">
        <w:rPr>
          <w:rFonts w:ascii="Arial" w:hAnsi="Arial" w:cs="Arial"/>
          <w:lang w:val="hr-HR"/>
        </w:rPr>
        <w:t xml:space="preserve">a KM, Poreznu upravu 1 </w:t>
      </w:r>
      <w:r w:rsidR="004611A5" w:rsidRPr="00C5016E">
        <w:rPr>
          <w:rFonts w:ascii="Arial" w:hAnsi="Arial" w:cs="Arial"/>
          <w:lang w:val="hr-HR"/>
        </w:rPr>
        <w:t>milijun</w:t>
      </w:r>
      <w:r w:rsidRPr="00C5016E">
        <w:rPr>
          <w:rFonts w:ascii="Arial" w:hAnsi="Arial" w:cs="Arial"/>
          <w:lang w:val="hr-HR"/>
        </w:rPr>
        <w:t xml:space="preserve"> KM, </w:t>
      </w:r>
      <w:r w:rsidRPr="00C5016E">
        <w:rPr>
          <w:rFonts w:ascii="Arial" w:eastAsiaTheme="minorHAnsi" w:hAnsi="Arial" w:cs="Arial"/>
          <w:szCs w:val="24"/>
          <w:lang w:val="hr-HR"/>
        </w:rPr>
        <w:t>Federalno ministarstvo razvoja, poduzetništva i obrta</w:t>
      </w:r>
      <w:r w:rsidRPr="00C5016E">
        <w:rPr>
          <w:rFonts w:ascii="Arial" w:hAnsi="Arial" w:cs="Arial"/>
          <w:lang w:val="hr-HR"/>
        </w:rPr>
        <w:t xml:space="preserve"> 0,4 </w:t>
      </w:r>
      <w:r w:rsidR="004611A5" w:rsidRPr="00C5016E">
        <w:rPr>
          <w:rFonts w:ascii="Arial" w:hAnsi="Arial" w:cs="Arial"/>
          <w:lang w:val="hr-HR"/>
        </w:rPr>
        <w:t>milijun</w:t>
      </w:r>
      <w:r w:rsidRPr="00C5016E">
        <w:rPr>
          <w:rFonts w:ascii="Arial" w:hAnsi="Arial" w:cs="Arial"/>
          <w:lang w:val="hr-HR"/>
        </w:rPr>
        <w:t>a KM</w:t>
      </w:r>
      <w:r w:rsidR="00E55252" w:rsidRPr="00C5016E">
        <w:rPr>
          <w:rFonts w:ascii="Arial" w:hAnsi="Arial" w:cs="Arial"/>
          <w:lang w:val="hr-HR"/>
        </w:rPr>
        <w:t>.</w:t>
      </w:r>
      <w:r w:rsidRPr="00C5016E">
        <w:rPr>
          <w:rFonts w:ascii="Arial" w:hAnsi="Arial" w:cs="Arial"/>
          <w:lang w:val="hr-HR"/>
        </w:rPr>
        <w:t xml:space="preserve">  </w:t>
      </w:r>
    </w:p>
    <w:p w:rsidR="00C025DC" w:rsidRPr="00C5016E" w:rsidRDefault="00C025DC" w:rsidP="00C025DC">
      <w:pPr>
        <w:pStyle w:val="ListParagraph"/>
        <w:numPr>
          <w:ilvl w:val="0"/>
          <w:numId w:val="18"/>
        </w:numPr>
        <w:rPr>
          <w:rFonts w:ascii="Arial" w:hAnsi="Arial" w:cs="Arial"/>
          <w:lang w:val="hr-HR"/>
        </w:rPr>
      </w:pPr>
      <w:r w:rsidRPr="00C5016E">
        <w:rPr>
          <w:rFonts w:ascii="Arial" w:hAnsi="Arial" w:cs="Arial"/>
          <w:lang w:val="hr-HR"/>
        </w:rPr>
        <w:t>na sintetičkom kontu 0119 - Isprav</w:t>
      </w:r>
      <w:r w:rsidR="00E55252" w:rsidRPr="00C5016E">
        <w:rPr>
          <w:rFonts w:ascii="Arial" w:hAnsi="Arial" w:cs="Arial"/>
          <w:lang w:val="hr-HR"/>
        </w:rPr>
        <w:t>ak</w:t>
      </w:r>
      <w:r w:rsidRPr="00C5016E">
        <w:rPr>
          <w:rFonts w:ascii="Arial" w:hAnsi="Arial" w:cs="Arial"/>
          <w:lang w:val="hr-HR"/>
        </w:rPr>
        <w:t xml:space="preserve"> vrijednosti stalnih sredstava 299.390.983,86 KM.</w:t>
      </w:r>
    </w:p>
    <w:p w:rsidR="00C025DC" w:rsidRPr="00C5016E" w:rsidRDefault="00C025DC" w:rsidP="00C025DC">
      <w:r w:rsidRPr="00C5016E">
        <w:t xml:space="preserve">Početno stanje stalnih sredstava iskazano u </w:t>
      </w:r>
      <w:r w:rsidR="00E55252" w:rsidRPr="00C5016E">
        <w:t>konsolidiranoj</w:t>
      </w:r>
      <w:r w:rsidRPr="00C5016E">
        <w:t xml:space="preserve"> bruto bilan</w:t>
      </w:r>
      <w:r w:rsidR="00E55252" w:rsidRPr="00C5016E">
        <w:t>ci</w:t>
      </w:r>
      <w:r w:rsidRPr="00C5016E">
        <w:t xml:space="preserve"> za sve proračunske korisnike iznosilo je 422.146.438,40 KM. </w:t>
      </w:r>
    </w:p>
    <w:p w:rsidR="00C025DC" w:rsidRPr="00C5016E" w:rsidRDefault="00C025DC" w:rsidP="00C025DC">
      <w:pPr>
        <w:spacing w:before="0" w:after="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ind w:firstLine="720"/>
        <w:rPr>
          <w:rFonts w:cs="Arial"/>
          <w:szCs w:val="24"/>
        </w:rPr>
      </w:pPr>
    </w:p>
    <w:p w:rsidR="00C025DC" w:rsidRPr="00C5016E" w:rsidRDefault="00C025DC" w:rsidP="00C025DC">
      <w:pPr>
        <w:spacing w:before="0" w:after="0"/>
        <w:jc w:val="left"/>
        <w:rPr>
          <w:rFonts w:eastAsia="Calibri" w:cs="Arial"/>
          <w:b/>
          <w:sz w:val="28"/>
          <w:szCs w:val="24"/>
          <w:lang w:eastAsia="hr-HR"/>
        </w:rPr>
      </w:pPr>
      <w:r w:rsidRPr="00C5016E">
        <w:rPr>
          <w:rFonts w:cs="Arial"/>
          <w:lang w:eastAsia="hr-HR"/>
        </w:rPr>
        <w:br w:type="page"/>
      </w:r>
    </w:p>
    <w:p w:rsidR="00C025DC" w:rsidRPr="00C5016E" w:rsidRDefault="00C025DC" w:rsidP="00C025DC">
      <w:pPr>
        <w:pStyle w:val="Heading1"/>
        <w:rPr>
          <w:rFonts w:ascii="Arial" w:hAnsi="Arial" w:cs="Arial"/>
          <w:lang w:val="hr-HR" w:eastAsia="hr-HR"/>
        </w:rPr>
      </w:pPr>
      <w:bookmarkStart w:id="95" w:name="_Toc131505230"/>
      <w:r w:rsidRPr="00C5016E">
        <w:rPr>
          <w:rFonts w:ascii="Arial" w:hAnsi="Arial" w:cs="Arial"/>
          <w:lang w:val="hr-HR" w:eastAsia="hr-HR"/>
        </w:rPr>
        <w:lastRenderedPageBreak/>
        <w:t>FINANCIJSKI REZULTAT</w:t>
      </w:r>
      <w:bookmarkEnd w:id="95"/>
    </w:p>
    <w:p w:rsidR="00C025DC" w:rsidRPr="00C5016E" w:rsidRDefault="00C025DC" w:rsidP="00C025DC">
      <w:pPr>
        <w:spacing w:before="0" w:after="0"/>
        <w:jc w:val="left"/>
        <w:rPr>
          <w:rFonts w:cs="Arial"/>
          <w:szCs w:val="24"/>
        </w:rPr>
      </w:pPr>
      <w:r w:rsidRPr="00C5016E">
        <w:rPr>
          <w:rFonts w:cs="Arial"/>
          <w:szCs w:val="24"/>
        </w:rPr>
        <w:t>Detaljnije pozicije financijskog rezultata prikazane su u narednoj tab</w:t>
      </w:r>
      <w:r w:rsidR="00E55252" w:rsidRPr="00C5016E">
        <w:rPr>
          <w:rFonts w:cs="Arial"/>
          <w:szCs w:val="24"/>
        </w:rPr>
        <w:t>lici</w:t>
      </w:r>
      <w:r w:rsidRPr="00C5016E">
        <w:rPr>
          <w:rFonts w:cs="Arial"/>
          <w:szCs w:val="24"/>
        </w:rPr>
        <w:t>:</w:t>
      </w:r>
    </w:p>
    <w:p w:rsidR="00C025DC" w:rsidRPr="00C5016E" w:rsidRDefault="00C025DC" w:rsidP="00C025DC">
      <w:pPr>
        <w:spacing w:before="0" w:after="0"/>
        <w:jc w:val="right"/>
        <w:rPr>
          <w:rFonts w:cs="Arial"/>
          <w:szCs w:val="24"/>
        </w:rPr>
      </w:pPr>
      <w:r w:rsidRPr="00C5016E">
        <w:rPr>
          <w:rFonts w:cs="Arial"/>
          <w:szCs w:val="24"/>
        </w:rPr>
        <w:t xml:space="preserve">(u </w:t>
      </w:r>
      <w:smartTag w:uri="urn:schemas-microsoft-com:office:smarttags" w:element="metricconverter">
        <w:smartTagPr>
          <w:attr w:name="ProductID" w:val="000 KM"/>
        </w:smartTagPr>
        <w:r w:rsidRPr="00C5016E">
          <w:rPr>
            <w:rFonts w:cs="Arial"/>
            <w:szCs w:val="24"/>
          </w:rPr>
          <w:t>000 KM</w:t>
        </w:r>
      </w:smartTag>
      <w:r w:rsidRPr="00C5016E">
        <w:rPr>
          <w:rFonts w:cs="Arial"/>
          <w:szCs w:val="24"/>
        </w:rPr>
        <w:t xml:space="preserve">)                                                                                                                                                                      </w:t>
      </w:r>
    </w:p>
    <w:tbl>
      <w:tblPr>
        <w:tblW w:w="871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88"/>
        <w:gridCol w:w="1559"/>
        <w:gridCol w:w="1418"/>
        <w:gridCol w:w="1447"/>
      </w:tblGrid>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5DC" w:rsidRPr="00C5016E" w:rsidRDefault="00C025DC" w:rsidP="00C025DC">
            <w:pPr>
              <w:spacing w:before="0" w:after="0"/>
              <w:jc w:val="center"/>
              <w:rPr>
                <w:rFonts w:cs="Arial"/>
                <w:b/>
                <w:sz w:val="22"/>
              </w:rPr>
            </w:pPr>
            <w:r w:rsidRPr="00C5016E">
              <w:rPr>
                <w:rFonts w:cs="Arial"/>
                <w:b/>
                <w:sz w:val="22"/>
              </w:rPr>
              <w:t>Opis</w:t>
            </w:r>
          </w:p>
          <w:p w:rsidR="00C025DC" w:rsidRPr="00C5016E" w:rsidRDefault="00C025DC" w:rsidP="00C025DC">
            <w:pPr>
              <w:spacing w:before="0" w:after="0"/>
              <w:jc w:val="center"/>
              <w:rPr>
                <w:rFonts w:cs="Arial"/>
                <w:b/>
                <w:sz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5DC" w:rsidRPr="00C5016E" w:rsidRDefault="00C025DC" w:rsidP="00C025DC">
            <w:pPr>
              <w:spacing w:before="0" w:after="0"/>
              <w:jc w:val="center"/>
              <w:rPr>
                <w:rFonts w:cs="Arial"/>
                <w:b/>
                <w:sz w:val="22"/>
              </w:rPr>
            </w:pPr>
            <w:r w:rsidRPr="00C5016E">
              <w:rPr>
                <w:rFonts w:cs="Arial"/>
                <w:b/>
                <w:sz w:val="22"/>
              </w:rPr>
              <w:t>Proračun Federacije BiH za 2022.</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5DC" w:rsidRPr="00C5016E" w:rsidRDefault="00C025DC" w:rsidP="00C025DC">
            <w:pPr>
              <w:spacing w:before="0" w:after="0"/>
              <w:jc w:val="center"/>
              <w:rPr>
                <w:rFonts w:cs="Arial"/>
                <w:b/>
                <w:sz w:val="22"/>
              </w:rPr>
            </w:pPr>
            <w:r w:rsidRPr="00C5016E">
              <w:rPr>
                <w:rFonts w:cs="Arial"/>
                <w:b/>
                <w:sz w:val="22"/>
              </w:rPr>
              <w:t>Ostvareno</w:t>
            </w:r>
          </w:p>
          <w:p w:rsidR="00C025DC" w:rsidRPr="00C5016E" w:rsidRDefault="00C025DC" w:rsidP="00C025DC">
            <w:pPr>
              <w:spacing w:before="0" w:after="0"/>
              <w:jc w:val="center"/>
              <w:rPr>
                <w:rFonts w:cs="Arial"/>
                <w:b/>
                <w:sz w:val="22"/>
              </w:rPr>
            </w:pPr>
            <w:r w:rsidRPr="00C5016E">
              <w:rPr>
                <w:rFonts w:cs="Arial"/>
                <w:b/>
                <w:sz w:val="22"/>
              </w:rPr>
              <w:t>2022.</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5DC" w:rsidRPr="00C5016E" w:rsidRDefault="00C025DC" w:rsidP="00C025DC">
            <w:pPr>
              <w:spacing w:before="0" w:after="0"/>
              <w:jc w:val="center"/>
              <w:rPr>
                <w:rFonts w:cs="Arial"/>
                <w:b/>
                <w:sz w:val="22"/>
              </w:rPr>
            </w:pPr>
            <w:r w:rsidRPr="00C5016E">
              <w:rPr>
                <w:rFonts w:cs="Arial"/>
                <w:b/>
                <w:sz w:val="22"/>
              </w:rPr>
              <w:t>Ostvareno</w:t>
            </w:r>
          </w:p>
          <w:p w:rsidR="00C025DC" w:rsidRPr="00C5016E" w:rsidRDefault="00C025DC" w:rsidP="00C025DC">
            <w:pPr>
              <w:spacing w:before="0" w:after="0"/>
              <w:jc w:val="center"/>
              <w:rPr>
                <w:rFonts w:cs="Arial"/>
                <w:b/>
                <w:sz w:val="22"/>
              </w:rPr>
            </w:pPr>
            <w:r w:rsidRPr="00C5016E">
              <w:rPr>
                <w:rFonts w:cs="Arial"/>
                <w:b/>
                <w:sz w:val="22"/>
              </w:rPr>
              <w:t>2021.</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5DC" w:rsidRPr="00C5016E" w:rsidRDefault="00C025DC" w:rsidP="00C025DC">
            <w:pPr>
              <w:spacing w:before="0" w:after="0"/>
              <w:jc w:val="center"/>
              <w:rPr>
                <w:rFonts w:cs="Arial"/>
                <w:b/>
                <w:sz w:val="22"/>
              </w:rPr>
            </w:pPr>
            <w:r w:rsidRPr="00C5016E">
              <w:rPr>
                <w:rFonts w:cs="Arial"/>
                <w:b/>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5DC" w:rsidRPr="00C5016E" w:rsidRDefault="00C025DC" w:rsidP="00C025DC">
            <w:pPr>
              <w:spacing w:before="0" w:after="0"/>
              <w:jc w:val="center"/>
              <w:rPr>
                <w:rFonts w:cs="Arial"/>
                <w:b/>
                <w:sz w:val="22"/>
              </w:rPr>
            </w:pPr>
            <w:r w:rsidRPr="00C5016E">
              <w:rPr>
                <w:rFonts w:cs="Arial"/>
                <w:b/>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5DC" w:rsidRPr="00C5016E" w:rsidRDefault="00C025DC" w:rsidP="00C025DC">
            <w:pPr>
              <w:spacing w:before="0" w:after="0"/>
              <w:jc w:val="center"/>
              <w:rPr>
                <w:rFonts w:cs="Arial"/>
                <w:b/>
                <w:sz w:val="22"/>
              </w:rPr>
            </w:pPr>
            <w:r w:rsidRPr="00C5016E">
              <w:rPr>
                <w:rFonts w:cs="Arial"/>
                <w:b/>
                <w:sz w:val="22"/>
              </w:rPr>
              <w:t>3</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5DC" w:rsidRPr="00C5016E" w:rsidRDefault="00C025DC" w:rsidP="00C025DC">
            <w:pPr>
              <w:spacing w:before="0" w:after="0"/>
              <w:jc w:val="center"/>
              <w:rPr>
                <w:rFonts w:cs="Arial"/>
                <w:b/>
                <w:sz w:val="22"/>
              </w:rPr>
            </w:pPr>
            <w:r w:rsidRPr="00C5016E">
              <w:rPr>
                <w:rFonts w:cs="Arial"/>
                <w:b/>
                <w:sz w:val="22"/>
              </w:rPr>
              <w:t>4</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A Ukupni prihodi, primici i financiranja (1+2+3+4+5+6)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5.597.619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5.304.270</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4.798.914</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 xml:space="preserve">1. Prihodi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4.471.499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bCs/>
                <w:sz w:val="22"/>
              </w:rPr>
            </w:pPr>
            <w:r w:rsidRPr="00C5016E">
              <w:rPr>
                <w:rFonts w:cs="Arial"/>
                <w:bCs/>
                <w:sz w:val="22"/>
              </w:rPr>
              <w:t>4.796.264</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bCs/>
                <w:sz w:val="22"/>
              </w:rPr>
            </w:pPr>
            <w:r w:rsidRPr="00C5016E">
              <w:rPr>
                <w:rFonts w:cs="Arial"/>
                <w:bCs/>
                <w:sz w:val="22"/>
              </w:rPr>
              <w:t>4.332.611</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2. Primici od nefinancijske imovine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171.001</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250.935</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 xml:space="preserve">3. Primici od financijske imovine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100.000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4. Primici od dugoročnog zaduživanja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570.000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287.005</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115.371</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5. Primici od kratkoročnog zaduživanja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250.000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50.000</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99.997</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6. Razgraničeni prihodi za namjenska sredstva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120.000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7. Neraspoređeni višak prihoda i rashoda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86.110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B Ukupno rashodi i izdaci (1+2+3+4+5)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5.597.619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5.100.515</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4.765.581</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1. Tekući rashodi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4.287.135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4.200.153</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3.903.403</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2. Kapitalni izdaci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437.694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151.345</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86.345</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3. Izdaci za financijsku imovinu</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18.500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18.500</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17.964</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4. Izdaci za otplate dugova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849.135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730.517</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757.869</w:t>
            </w:r>
          </w:p>
        </w:tc>
      </w:tr>
      <w:tr w:rsidR="00C5016E" w:rsidRPr="00C5016E" w:rsidTr="00C025DC">
        <w:trPr>
          <w:jc w:val="center"/>
        </w:trPr>
        <w:tc>
          <w:tcPr>
            <w:tcW w:w="428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left"/>
              <w:rPr>
                <w:rFonts w:cs="Arial"/>
                <w:sz w:val="22"/>
              </w:rPr>
            </w:pPr>
            <w:r w:rsidRPr="00C5016E">
              <w:rPr>
                <w:rFonts w:cs="Arial"/>
                <w:sz w:val="22"/>
              </w:rPr>
              <w:t>5. Tekuća rezerva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r w:rsidRPr="00C5016E">
              <w:rPr>
                <w:rFonts w:cs="Arial"/>
                <w:sz w:val="22"/>
              </w:rPr>
              <w:t>5.155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025DC" w:rsidRPr="00C5016E" w:rsidRDefault="00C025DC" w:rsidP="00C025DC">
            <w:pPr>
              <w:spacing w:before="0" w:after="0"/>
              <w:jc w:val="right"/>
              <w:rPr>
                <w:rFonts w:cs="Arial"/>
                <w:sz w:val="22"/>
              </w:rPr>
            </w:pPr>
          </w:p>
        </w:tc>
      </w:tr>
      <w:tr w:rsidR="00C5016E" w:rsidRPr="00C5016E" w:rsidTr="00C025DC">
        <w:trPr>
          <w:trHeight w:val="138"/>
          <w:jc w:val="center"/>
        </w:trPr>
        <w:tc>
          <w:tcPr>
            <w:tcW w:w="4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5DC" w:rsidRPr="00C5016E" w:rsidRDefault="00C025DC" w:rsidP="00C025DC">
            <w:pPr>
              <w:spacing w:before="0" w:after="0"/>
              <w:jc w:val="left"/>
              <w:rPr>
                <w:rFonts w:cs="Arial"/>
                <w:sz w:val="22"/>
              </w:rPr>
            </w:pPr>
            <w:r w:rsidRPr="00C5016E">
              <w:rPr>
                <w:rFonts w:cs="Arial"/>
                <w:sz w:val="22"/>
              </w:rPr>
              <w:t>Suficit  (A - 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5DC" w:rsidRPr="00C5016E" w:rsidRDefault="00C025DC" w:rsidP="00C025DC">
            <w:pPr>
              <w:spacing w:before="0" w:after="0"/>
              <w:jc w:val="right"/>
              <w:rPr>
                <w:rFonts w:cs="Arial"/>
                <w:sz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5DC" w:rsidRPr="00C5016E" w:rsidRDefault="00C025DC" w:rsidP="00C025DC">
            <w:pPr>
              <w:spacing w:before="0" w:after="0"/>
              <w:jc w:val="right"/>
              <w:rPr>
                <w:rFonts w:cs="Arial"/>
                <w:b/>
                <w:bCs/>
                <w:sz w:val="22"/>
              </w:rPr>
            </w:pPr>
            <w:r w:rsidRPr="00C5016E">
              <w:rPr>
                <w:rFonts w:cs="Arial"/>
                <w:b/>
                <w:bCs/>
                <w:sz w:val="22"/>
              </w:rPr>
              <w:t>203.755</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5DC" w:rsidRPr="00C5016E" w:rsidRDefault="00C025DC" w:rsidP="00C025DC">
            <w:pPr>
              <w:spacing w:before="0" w:after="0"/>
              <w:jc w:val="right"/>
              <w:rPr>
                <w:rFonts w:cs="Arial"/>
                <w:b/>
                <w:bCs/>
                <w:sz w:val="22"/>
              </w:rPr>
            </w:pPr>
            <w:r w:rsidRPr="00C5016E">
              <w:rPr>
                <w:rFonts w:cs="Arial"/>
                <w:b/>
                <w:bCs/>
                <w:sz w:val="22"/>
              </w:rPr>
              <w:t>33.333</w:t>
            </w:r>
          </w:p>
        </w:tc>
      </w:tr>
      <w:tr w:rsidR="00C5016E" w:rsidRPr="00C5016E" w:rsidTr="00C025DC">
        <w:trPr>
          <w:trHeight w:val="138"/>
          <w:jc w:val="center"/>
        </w:trPr>
        <w:tc>
          <w:tcPr>
            <w:tcW w:w="4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5DC" w:rsidRPr="00C5016E" w:rsidRDefault="00C025DC" w:rsidP="00C025DC">
            <w:pPr>
              <w:spacing w:before="0" w:after="0"/>
              <w:jc w:val="left"/>
              <w:rPr>
                <w:rFonts w:cs="Arial"/>
                <w:sz w:val="22"/>
              </w:rPr>
            </w:pPr>
            <w:r w:rsidRPr="00C5016E">
              <w:rPr>
                <w:rFonts w:cs="Arial"/>
                <w:sz w:val="22"/>
              </w:rPr>
              <w:t>Deficit  (A - 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5DC" w:rsidRPr="00C5016E" w:rsidRDefault="00C025DC" w:rsidP="00C025DC">
            <w:pPr>
              <w:spacing w:before="0" w:after="0"/>
              <w:jc w:val="center"/>
              <w:rPr>
                <w:rFonts w:cs="Arial"/>
                <w:sz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5DC" w:rsidRPr="00C5016E" w:rsidRDefault="00C025DC" w:rsidP="00C025DC">
            <w:pPr>
              <w:spacing w:before="0" w:after="0"/>
              <w:jc w:val="right"/>
              <w:rPr>
                <w:rFonts w:cs="Arial"/>
                <w:b/>
                <w:bCs/>
                <w:sz w:val="22"/>
              </w:rPr>
            </w:pP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5DC" w:rsidRPr="00C5016E" w:rsidRDefault="00C025DC" w:rsidP="00C025DC">
            <w:pPr>
              <w:spacing w:before="0" w:after="0"/>
              <w:jc w:val="right"/>
              <w:rPr>
                <w:rFonts w:cs="Arial"/>
                <w:b/>
                <w:bCs/>
                <w:sz w:val="22"/>
              </w:rPr>
            </w:pPr>
          </w:p>
        </w:tc>
      </w:tr>
    </w:tbl>
    <w:p w:rsidR="00C025DC" w:rsidRPr="00C5016E" w:rsidRDefault="00EF4C3C" w:rsidP="00C025DC">
      <w:pPr>
        <w:pStyle w:val="Caption"/>
        <w:spacing w:before="0"/>
        <w:jc w:val="left"/>
        <w:rPr>
          <w:rFonts w:ascii="Arial" w:hAnsi="Arial" w:cs="Arial"/>
          <w:b w:val="0"/>
          <w:color w:val="auto"/>
          <w:sz w:val="22"/>
          <w:szCs w:val="24"/>
          <w:lang w:val="hr-HR"/>
        </w:rPr>
      </w:pPr>
      <w:bookmarkStart w:id="96" w:name="_Toc99939237"/>
      <w:r w:rsidRPr="00C5016E">
        <w:rPr>
          <w:rFonts w:ascii="Arial" w:hAnsi="Arial" w:cs="Arial"/>
          <w:color w:val="auto"/>
          <w:sz w:val="22"/>
          <w:szCs w:val="24"/>
          <w:lang w:val="hr-HR"/>
        </w:rPr>
        <w:t>Tablica</w:t>
      </w:r>
      <w:r w:rsidR="00C025DC" w:rsidRPr="00C5016E">
        <w:rPr>
          <w:rFonts w:ascii="Arial" w:hAnsi="Arial" w:cs="Arial"/>
          <w:color w:val="auto"/>
          <w:sz w:val="22"/>
          <w:szCs w:val="24"/>
          <w:lang w:val="hr-HR"/>
        </w:rPr>
        <w:t xml:space="preserve"> 13: </w:t>
      </w:r>
      <w:r w:rsidR="00C025DC" w:rsidRPr="00C5016E">
        <w:rPr>
          <w:rFonts w:ascii="Arial" w:hAnsi="Arial" w:cs="Arial"/>
          <w:b w:val="0"/>
          <w:color w:val="auto"/>
          <w:sz w:val="22"/>
          <w:szCs w:val="24"/>
          <w:lang w:val="hr-HR"/>
        </w:rPr>
        <w:t>Izračun financijskog rezultata</w:t>
      </w:r>
      <w:bookmarkEnd w:id="96"/>
    </w:p>
    <w:p w:rsidR="00C025DC" w:rsidRPr="00C5016E" w:rsidRDefault="00C025DC" w:rsidP="00C025DC">
      <w:r w:rsidRPr="00C5016E">
        <w:t>Strukturu financijskog rezultata čini:</w:t>
      </w:r>
    </w:p>
    <w:p w:rsidR="00C025DC" w:rsidRPr="00C5016E" w:rsidRDefault="00C025DC" w:rsidP="00C025DC">
      <w:pPr>
        <w:pStyle w:val="ListParagraph"/>
        <w:numPr>
          <w:ilvl w:val="0"/>
          <w:numId w:val="29"/>
        </w:numPr>
        <w:rPr>
          <w:rFonts w:ascii="Arial" w:hAnsi="Arial" w:cs="Arial"/>
          <w:lang w:val="hr-HR"/>
        </w:rPr>
      </w:pPr>
      <w:r w:rsidRPr="00C5016E">
        <w:rPr>
          <w:rFonts w:ascii="Arial" w:hAnsi="Arial" w:cs="Arial"/>
          <w:lang w:val="hr-HR"/>
        </w:rPr>
        <w:t>ukupan suficit, koji predstavlja tekući suficit (razlika između prihoda i tekućih</w:t>
      </w:r>
      <w:r w:rsidR="00E55252" w:rsidRPr="00C5016E">
        <w:rPr>
          <w:rFonts w:ascii="Arial" w:hAnsi="Arial" w:cs="Arial"/>
          <w:lang w:val="hr-HR"/>
        </w:rPr>
        <w:t xml:space="preserve"> rashoda) umanjen za neto nabav</w:t>
      </w:r>
      <w:r w:rsidRPr="00C5016E">
        <w:rPr>
          <w:rFonts w:ascii="Arial" w:hAnsi="Arial" w:cs="Arial"/>
          <w:lang w:val="hr-HR"/>
        </w:rPr>
        <w:t xml:space="preserve">u stalnih sredstava iznosi 615,8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pStyle w:val="ListParagraph"/>
        <w:numPr>
          <w:ilvl w:val="0"/>
          <w:numId w:val="29"/>
        </w:numPr>
        <w:rPr>
          <w:rFonts w:ascii="Arial" w:hAnsi="Arial" w:cs="Arial"/>
          <w:lang w:val="hr-HR"/>
        </w:rPr>
      </w:pPr>
      <w:r w:rsidRPr="00C5016E">
        <w:rPr>
          <w:rFonts w:ascii="Arial" w:hAnsi="Arial" w:cs="Arial"/>
          <w:lang w:val="hr-HR"/>
        </w:rPr>
        <w:t xml:space="preserve">neto smanjenje financijske imovine iznosi minus (-) 18,5 </w:t>
      </w:r>
      <w:r w:rsidR="004611A5" w:rsidRPr="00C5016E">
        <w:rPr>
          <w:rFonts w:ascii="Arial" w:hAnsi="Arial" w:cs="Arial"/>
          <w:lang w:val="hr-HR"/>
        </w:rPr>
        <w:t>milijun</w:t>
      </w:r>
      <w:r w:rsidR="00E55252" w:rsidRPr="00C5016E">
        <w:rPr>
          <w:rFonts w:ascii="Arial" w:hAnsi="Arial" w:cs="Arial"/>
          <w:lang w:val="hr-HR"/>
        </w:rPr>
        <w:t>a KM;</w:t>
      </w:r>
    </w:p>
    <w:p w:rsidR="00C025DC" w:rsidRPr="00C5016E" w:rsidRDefault="00C025DC" w:rsidP="00C025DC">
      <w:pPr>
        <w:pStyle w:val="ListParagraph"/>
        <w:numPr>
          <w:ilvl w:val="0"/>
          <w:numId w:val="29"/>
        </w:numPr>
        <w:rPr>
          <w:rFonts w:ascii="Arial" w:hAnsi="Arial" w:cs="Arial"/>
          <w:lang w:val="hr-HR"/>
        </w:rPr>
      </w:pPr>
      <w:r w:rsidRPr="00C5016E">
        <w:rPr>
          <w:rFonts w:ascii="Arial" w:hAnsi="Arial" w:cs="Arial"/>
          <w:lang w:val="hr-HR"/>
        </w:rPr>
        <w:t>neto zaduživanje, odnosno razlika između zaduživanja i otplaćenog duga iznosi –</w:t>
      </w:r>
      <w:r w:rsidR="00E55252" w:rsidRPr="00C5016E">
        <w:rPr>
          <w:rFonts w:ascii="Arial" w:hAnsi="Arial" w:cs="Arial"/>
          <w:lang w:val="hr-HR"/>
        </w:rPr>
        <w:t xml:space="preserve"> </w:t>
      </w:r>
      <w:r w:rsidRPr="00C5016E">
        <w:rPr>
          <w:rFonts w:ascii="Arial" w:hAnsi="Arial" w:cs="Arial"/>
          <w:lang w:val="hr-HR"/>
        </w:rPr>
        <w:t xml:space="preserve">minus (-) 393,5 </w:t>
      </w:r>
      <w:r w:rsidR="004611A5" w:rsidRPr="00C5016E">
        <w:rPr>
          <w:rFonts w:ascii="Arial" w:hAnsi="Arial" w:cs="Arial"/>
          <w:lang w:val="hr-HR"/>
        </w:rPr>
        <w:t>milijun</w:t>
      </w:r>
      <w:r w:rsidRPr="00C5016E">
        <w:rPr>
          <w:rFonts w:ascii="Arial" w:hAnsi="Arial" w:cs="Arial"/>
          <w:lang w:val="hr-HR"/>
        </w:rPr>
        <w:t>a KM.</w:t>
      </w:r>
    </w:p>
    <w:p w:rsidR="00C025DC" w:rsidRPr="00C5016E" w:rsidRDefault="00C025DC" w:rsidP="00C025DC">
      <w:pPr>
        <w:rPr>
          <w:rFonts w:cs="Arial"/>
          <w:szCs w:val="24"/>
          <w:lang w:eastAsia="bs-Latn-BA"/>
        </w:rPr>
      </w:pPr>
      <w:r w:rsidRPr="00C5016E">
        <w:rPr>
          <w:rFonts w:cs="Arial"/>
          <w:szCs w:val="24"/>
          <w:lang w:eastAsia="bs-Latn-BA"/>
        </w:rPr>
        <w:t>Na dan 31.</w:t>
      </w:r>
      <w:r w:rsidR="00E55252" w:rsidRPr="00C5016E">
        <w:rPr>
          <w:rFonts w:cs="Arial"/>
          <w:szCs w:val="24"/>
          <w:lang w:eastAsia="bs-Latn-BA"/>
        </w:rPr>
        <w:t xml:space="preserve"> </w:t>
      </w:r>
      <w:r w:rsidRPr="00C5016E">
        <w:rPr>
          <w:rFonts w:cs="Arial"/>
          <w:szCs w:val="24"/>
          <w:lang w:eastAsia="bs-Latn-BA"/>
        </w:rPr>
        <w:t>12.</w:t>
      </w:r>
      <w:r w:rsidR="00E55252" w:rsidRPr="00C5016E">
        <w:rPr>
          <w:rFonts w:cs="Arial"/>
          <w:szCs w:val="24"/>
          <w:lang w:eastAsia="bs-Latn-BA"/>
        </w:rPr>
        <w:t xml:space="preserve"> </w:t>
      </w:r>
      <w:r w:rsidRPr="00C5016E">
        <w:rPr>
          <w:rFonts w:cs="Arial"/>
          <w:szCs w:val="24"/>
          <w:lang w:eastAsia="bs-Latn-BA"/>
        </w:rPr>
        <w:t>2022., nakon zatvaranja poslovnih knjiga svih proračunskih korisnika i provođenja poslovnih procedura za zatvaranje fiskalne godine, iskazan</w:t>
      </w:r>
      <w:r w:rsidR="00E55252" w:rsidRPr="00C5016E">
        <w:rPr>
          <w:rFonts w:cs="Arial"/>
          <w:szCs w:val="24"/>
          <w:lang w:eastAsia="bs-Latn-BA"/>
        </w:rPr>
        <w:t>i</w:t>
      </w:r>
      <w:r w:rsidRPr="00C5016E">
        <w:rPr>
          <w:rFonts w:cs="Arial"/>
          <w:szCs w:val="24"/>
          <w:lang w:eastAsia="bs-Latn-BA"/>
        </w:rPr>
        <w:t xml:space="preserve"> akumulirani suficit iznosi 487,6 </w:t>
      </w:r>
      <w:r w:rsidR="004611A5" w:rsidRPr="00C5016E">
        <w:rPr>
          <w:rFonts w:cs="Arial"/>
          <w:szCs w:val="24"/>
          <w:lang w:eastAsia="bs-Latn-BA"/>
        </w:rPr>
        <w:t>milijun</w:t>
      </w:r>
      <w:r w:rsidRPr="00C5016E">
        <w:rPr>
          <w:rFonts w:cs="Arial"/>
          <w:szCs w:val="24"/>
          <w:lang w:eastAsia="bs-Latn-BA"/>
        </w:rPr>
        <w:t>a KM.</w:t>
      </w:r>
    </w:p>
    <w:p w:rsidR="00C025DC" w:rsidRPr="00C5016E" w:rsidRDefault="00C025DC" w:rsidP="00C025DC">
      <w:pPr>
        <w:rPr>
          <w:rFonts w:cs="Arial"/>
          <w:szCs w:val="24"/>
        </w:rPr>
      </w:pPr>
      <w:r w:rsidRPr="00C5016E">
        <w:rPr>
          <w:rFonts w:cs="Arial"/>
          <w:szCs w:val="24"/>
        </w:rPr>
        <w:t>Odnos ostvarenih prihoda i rashoda u 2022. godin</w:t>
      </w:r>
      <w:r w:rsidR="00E55252" w:rsidRPr="00C5016E">
        <w:rPr>
          <w:rFonts w:cs="Arial"/>
          <w:szCs w:val="24"/>
        </w:rPr>
        <w:t>i</w:t>
      </w:r>
      <w:r w:rsidRPr="00C5016E">
        <w:rPr>
          <w:rFonts w:cs="Arial"/>
          <w:szCs w:val="24"/>
        </w:rPr>
        <w:t xml:space="preserve"> po mjesecima da</w:t>
      </w:r>
      <w:r w:rsidR="00E55252" w:rsidRPr="00C5016E">
        <w:rPr>
          <w:rFonts w:cs="Arial"/>
          <w:szCs w:val="24"/>
        </w:rPr>
        <w:t>n</w:t>
      </w:r>
      <w:r w:rsidRPr="00C5016E">
        <w:rPr>
          <w:rFonts w:cs="Arial"/>
          <w:szCs w:val="24"/>
        </w:rPr>
        <w:t xml:space="preserve"> je u narednom </w:t>
      </w:r>
      <w:r w:rsidR="00EF4C3C" w:rsidRPr="00C5016E">
        <w:rPr>
          <w:rFonts w:cs="Arial"/>
          <w:szCs w:val="24"/>
        </w:rPr>
        <w:t>tab</w:t>
      </w:r>
      <w:r w:rsidR="00E55252" w:rsidRPr="00C5016E">
        <w:rPr>
          <w:rFonts w:cs="Arial"/>
          <w:szCs w:val="24"/>
        </w:rPr>
        <w:t xml:space="preserve">elarnom </w:t>
      </w:r>
      <w:r w:rsidRPr="00C5016E">
        <w:rPr>
          <w:rFonts w:cs="Arial"/>
          <w:szCs w:val="24"/>
        </w:rPr>
        <w:t>i grafičkom prikazu:</w:t>
      </w: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spacing w:before="0" w:after="0"/>
        <w:ind w:firstLine="720"/>
        <w:jc w:val="right"/>
        <w:rPr>
          <w:rFonts w:cs="Arial"/>
          <w:sz w:val="20"/>
          <w:szCs w:val="20"/>
        </w:rPr>
      </w:pPr>
      <w:r w:rsidRPr="00C5016E">
        <w:rPr>
          <w:rFonts w:cs="Arial"/>
          <w:szCs w:val="24"/>
        </w:rPr>
        <w:lastRenderedPageBreak/>
        <w:tab/>
      </w:r>
      <w:r w:rsidRPr="00C5016E">
        <w:rPr>
          <w:rFonts w:cs="Arial"/>
          <w:szCs w:val="24"/>
        </w:rPr>
        <w:tab/>
      </w:r>
      <w:r w:rsidRPr="00C5016E">
        <w:rPr>
          <w:rFonts w:cs="Arial"/>
          <w:szCs w:val="24"/>
        </w:rPr>
        <w:tab/>
      </w:r>
      <w:r w:rsidRPr="00C5016E">
        <w:rPr>
          <w:rFonts w:cs="Arial"/>
          <w:szCs w:val="24"/>
        </w:rPr>
        <w:tab/>
      </w:r>
      <w:r w:rsidRPr="00C5016E">
        <w:rPr>
          <w:rFonts w:cs="Arial"/>
          <w:szCs w:val="24"/>
        </w:rPr>
        <w:tab/>
      </w:r>
      <w:r w:rsidRPr="00C5016E">
        <w:rPr>
          <w:rFonts w:cs="Arial"/>
          <w:szCs w:val="24"/>
        </w:rPr>
        <w:tab/>
      </w:r>
      <w:r w:rsidRPr="00C5016E">
        <w:rPr>
          <w:rFonts w:cs="Arial"/>
          <w:szCs w:val="24"/>
        </w:rPr>
        <w:tab/>
      </w:r>
      <w:r w:rsidRPr="00C5016E">
        <w:rPr>
          <w:rFonts w:cs="Arial"/>
          <w:szCs w:val="24"/>
        </w:rPr>
        <w:tab/>
      </w:r>
      <w:r w:rsidRPr="00C5016E">
        <w:rPr>
          <w:rFonts w:cs="Arial"/>
          <w:sz w:val="20"/>
          <w:szCs w:val="20"/>
        </w:rPr>
        <w:t>(u mil. KM)</w:t>
      </w: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750"/>
        <w:gridCol w:w="719"/>
        <w:gridCol w:w="679"/>
        <w:gridCol w:w="617"/>
        <w:gridCol w:w="697"/>
        <w:gridCol w:w="617"/>
        <w:gridCol w:w="652"/>
        <w:gridCol w:w="759"/>
        <w:gridCol w:w="792"/>
        <w:gridCol w:w="768"/>
        <w:gridCol w:w="829"/>
        <w:gridCol w:w="874"/>
      </w:tblGrid>
      <w:tr w:rsidR="00C5016E" w:rsidRPr="00C5016E" w:rsidTr="00C025DC">
        <w:trPr>
          <w:trHeight w:val="340"/>
          <w:jc w:val="center"/>
        </w:trPr>
        <w:tc>
          <w:tcPr>
            <w:tcW w:w="804" w:type="dxa"/>
            <w:shd w:val="clear" w:color="auto" w:fill="D9D9D9"/>
          </w:tcPr>
          <w:p w:rsidR="00C025DC" w:rsidRPr="00C5016E" w:rsidRDefault="00C025DC" w:rsidP="00C025DC">
            <w:pPr>
              <w:spacing w:before="0" w:after="0"/>
              <w:jc w:val="center"/>
              <w:rPr>
                <w:rFonts w:cs="Arial"/>
                <w:sz w:val="16"/>
                <w:szCs w:val="16"/>
              </w:rPr>
            </w:pPr>
            <w:r w:rsidRPr="00C5016E">
              <w:rPr>
                <w:rFonts w:cs="Arial"/>
                <w:sz w:val="16"/>
                <w:szCs w:val="16"/>
              </w:rPr>
              <w:t>Mjesec</w:t>
            </w:r>
          </w:p>
        </w:tc>
        <w:tc>
          <w:tcPr>
            <w:tcW w:w="661" w:type="dxa"/>
            <w:shd w:val="clear" w:color="auto" w:fill="D9D9D9"/>
          </w:tcPr>
          <w:p w:rsidR="00C025DC" w:rsidRPr="00C5016E" w:rsidRDefault="00135659" w:rsidP="00C025DC">
            <w:pPr>
              <w:tabs>
                <w:tab w:val="left" w:pos="445"/>
              </w:tabs>
              <w:spacing w:before="0" w:after="0"/>
              <w:jc w:val="center"/>
              <w:rPr>
                <w:rFonts w:cs="Arial"/>
                <w:sz w:val="16"/>
                <w:szCs w:val="16"/>
              </w:rPr>
            </w:pPr>
            <w:r w:rsidRPr="00C5016E">
              <w:rPr>
                <w:rFonts w:cs="Arial"/>
                <w:sz w:val="16"/>
                <w:szCs w:val="16"/>
              </w:rPr>
              <w:t>siječanj</w:t>
            </w:r>
          </w:p>
        </w:tc>
        <w:tc>
          <w:tcPr>
            <w:tcW w:w="723" w:type="dxa"/>
            <w:shd w:val="clear" w:color="auto" w:fill="D9D9D9"/>
          </w:tcPr>
          <w:p w:rsidR="00C025DC" w:rsidRPr="00C5016E" w:rsidRDefault="00135659" w:rsidP="00C025DC">
            <w:pPr>
              <w:spacing w:before="0" w:after="0"/>
              <w:jc w:val="center"/>
              <w:rPr>
                <w:rFonts w:cs="Arial"/>
                <w:sz w:val="16"/>
                <w:szCs w:val="16"/>
              </w:rPr>
            </w:pPr>
            <w:r w:rsidRPr="00C5016E">
              <w:rPr>
                <w:rFonts w:cs="Arial"/>
                <w:sz w:val="16"/>
                <w:szCs w:val="16"/>
              </w:rPr>
              <w:t>veljača</w:t>
            </w:r>
          </w:p>
        </w:tc>
        <w:tc>
          <w:tcPr>
            <w:tcW w:w="617" w:type="dxa"/>
            <w:shd w:val="clear" w:color="auto" w:fill="D9D9D9"/>
          </w:tcPr>
          <w:p w:rsidR="00C025DC" w:rsidRPr="00C5016E" w:rsidRDefault="00135659" w:rsidP="00C025DC">
            <w:pPr>
              <w:spacing w:before="0" w:after="0"/>
              <w:jc w:val="center"/>
              <w:rPr>
                <w:rFonts w:cs="Arial"/>
                <w:sz w:val="16"/>
                <w:szCs w:val="16"/>
              </w:rPr>
            </w:pPr>
            <w:r w:rsidRPr="00C5016E">
              <w:rPr>
                <w:rFonts w:cs="Arial"/>
                <w:sz w:val="16"/>
                <w:szCs w:val="16"/>
              </w:rPr>
              <w:t>ožujak</w:t>
            </w:r>
          </w:p>
        </w:tc>
        <w:tc>
          <w:tcPr>
            <w:tcW w:w="617" w:type="dxa"/>
            <w:shd w:val="clear" w:color="auto" w:fill="D9D9D9"/>
          </w:tcPr>
          <w:p w:rsidR="00C025DC" w:rsidRPr="00C5016E" w:rsidRDefault="00C025DC" w:rsidP="00C025DC">
            <w:pPr>
              <w:spacing w:before="0" w:after="0"/>
              <w:jc w:val="center"/>
              <w:rPr>
                <w:rFonts w:cs="Arial"/>
                <w:sz w:val="16"/>
                <w:szCs w:val="16"/>
              </w:rPr>
            </w:pPr>
            <w:r w:rsidRPr="00C5016E">
              <w:rPr>
                <w:rFonts w:cs="Arial"/>
                <w:sz w:val="16"/>
                <w:szCs w:val="16"/>
              </w:rPr>
              <w:t>april</w:t>
            </w:r>
          </w:p>
        </w:tc>
        <w:tc>
          <w:tcPr>
            <w:tcW w:w="617" w:type="dxa"/>
            <w:shd w:val="clear" w:color="auto" w:fill="D9D9D9"/>
          </w:tcPr>
          <w:p w:rsidR="00C025DC" w:rsidRPr="00C5016E" w:rsidRDefault="00135659" w:rsidP="00C025DC">
            <w:pPr>
              <w:spacing w:before="0" w:after="0"/>
              <w:jc w:val="center"/>
              <w:rPr>
                <w:rFonts w:cs="Arial"/>
                <w:sz w:val="16"/>
                <w:szCs w:val="16"/>
              </w:rPr>
            </w:pPr>
            <w:r w:rsidRPr="00C5016E">
              <w:rPr>
                <w:rFonts w:cs="Arial"/>
                <w:sz w:val="16"/>
                <w:szCs w:val="16"/>
              </w:rPr>
              <w:t>travanj</w:t>
            </w:r>
          </w:p>
        </w:tc>
        <w:tc>
          <w:tcPr>
            <w:tcW w:w="617" w:type="dxa"/>
            <w:shd w:val="clear" w:color="auto" w:fill="D9D9D9"/>
          </w:tcPr>
          <w:p w:rsidR="00C025DC" w:rsidRPr="00C5016E" w:rsidRDefault="00135659" w:rsidP="00C025DC">
            <w:pPr>
              <w:spacing w:before="0" w:after="0"/>
              <w:jc w:val="center"/>
              <w:rPr>
                <w:rFonts w:cs="Arial"/>
                <w:sz w:val="16"/>
                <w:szCs w:val="16"/>
              </w:rPr>
            </w:pPr>
            <w:r w:rsidRPr="00C5016E">
              <w:rPr>
                <w:rFonts w:cs="Arial"/>
                <w:sz w:val="16"/>
                <w:szCs w:val="16"/>
              </w:rPr>
              <w:t>lipanj</w:t>
            </w:r>
          </w:p>
        </w:tc>
        <w:tc>
          <w:tcPr>
            <w:tcW w:w="617" w:type="dxa"/>
            <w:shd w:val="clear" w:color="auto" w:fill="D9D9D9"/>
          </w:tcPr>
          <w:p w:rsidR="00C025DC" w:rsidRPr="00C5016E" w:rsidRDefault="00135659" w:rsidP="00C025DC">
            <w:pPr>
              <w:spacing w:before="0" w:after="0"/>
              <w:jc w:val="center"/>
              <w:rPr>
                <w:rFonts w:cs="Arial"/>
                <w:sz w:val="16"/>
                <w:szCs w:val="16"/>
              </w:rPr>
            </w:pPr>
            <w:r w:rsidRPr="00C5016E">
              <w:rPr>
                <w:rFonts w:cs="Arial"/>
                <w:sz w:val="16"/>
                <w:szCs w:val="16"/>
              </w:rPr>
              <w:t>srpanj</w:t>
            </w:r>
          </w:p>
        </w:tc>
        <w:tc>
          <w:tcPr>
            <w:tcW w:w="706" w:type="dxa"/>
            <w:shd w:val="clear" w:color="auto" w:fill="D9D9D9"/>
          </w:tcPr>
          <w:p w:rsidR="00C025DC" w:rsidRPr="00C5016E" w:rsidRDefault="00135659" w:rsidP="00C025DC">
            <w:pPr>
              <w:spacing w:before="0" w:after="0"/>
              <w:jc w:val="center"/>
              <w:rPr>
                <w:rFonts w:cs="Arial"/>
                <w:sz w:val="16"/>
                <w:szCs w:val="16"/>
              </w:rPr>
            </w:pPr>
            <w:r w:rsidRPr="00C5016E">
              <w:rPr>
                <w:rFonts w:cs="Arial"/>
                <w:sz w:val="16"/>
                <w:szCs w:val="16"/>
              </w:rPr>
              <w:t>kolovoz</w:t>
            </w:r>
          </w:p>
        </w:tc>
        <w:tc>
          <w:tcPr>
            <w:tcW w:w="972" w:type="dxa"/>
            <w:shd w:val="clear" w:color="auto" w:fill="D9D9D9"/>
          </w:tcPr>
          <w:p w:rsidR="00C025DC" w:rsidRPr="00C5016E" w:rsidRDefault="00135659" w:rsidP="00C025DC">
            <w:pPr>
              <w:spacing w:before="0" w:after="0"/>
              <w:jc w:val="center"/>
              <w:rPr>
                <w:rFonts w:cs="Arial"/>
                <w:sz w:val="16"/>
                <w:szCs w:val="16"/>
              </w:rPr>
            </w:pPr>
            <w:r w:rsidRPr="00C5016E">
              <w:rPr>
                <w:rFonts w:cs="Arial"/>
                <w:sz w:val="16"/>
                <w:szCs w:val="16"/>
              </w:rPr>
              <w:t>rujan</w:t>
            </w:r>
          </w:p>
        </w:tc>
        <w:tc>
          <w:tcPr>
            <w:tcW w:w="750" w:type="dxa"/>
            <w:shd w:val="clear" w:color="auto" w:fill="D9D9D9"/>
          </w:tcPr>
          <w:p w:rsidR="00C025DC" w:rsidRPr="00C5016E" w:rsidRDefault="00135659" w:rsidP="00C025DC">
            <w:pPr>
              <w:spacing w:before="0" w:after="0"/>
              <w:jc w:val="center"/>
              <w:rPr>
                <w:rFonts w:cs="Arial"/>
                <w:sz w:val="16"/>
                <w:szCs w:val="16"/>
              </w:rPr>
            </w:pPr>
            <w:r w:rsidRPr="00C5016E">
              <w:rPr>
                <w:rFonts w:cs="Arial"/>
                <w:sz w:val="16"/>
                <w:szCs w:val="16"/>
              </w:rPr>
              <w:t>listopad</w:t>
            </w:r>
          </w:p>
        </w:tc>
        <w:tc>
          <w:tcPr>
            <w:tcW w:w="928" w:type="dxa"/>
            <w:shd w:val="clear" w:color="auto" w:fill="D9D9D9"/>
          </w:tcPr>
          <w:p w:rsidR="00C025DC" w:rsidRPr="00C5016E" w:rsidRDefault="00135659" w:rsidP="00C025DC">
            <w:pPr>
              <w:spacing w:before="0" w:after="0"/>
              <w:jc w:val="center"/>
              <w:rPr>
                <w:rFonts w:cs="Arial"/>
                <w:sz w:val="16"/>
                <w:szCs w:val="16"/>
              </w:rPr>
            </w:pPr>
            <w:r w:rsidRPr="00C5016E">
              <w:rPr>
                <w:rFonts w:cs="Arial"/>
                <w:sz w:val="16"/>
                <w:szCs w:val="16"/>
              </w:rPr>
              <w:t>studeni</w:t>
            </w:r>
          </w:p>
        </w:tc>
        <w:tc>
          <w:tcPr>
            <w:tcW w:w="928" w:type="dxa"/>
            <w:shd w:val="clear" w:color="auto" w:fill="D9D9D9"/>
          </w:tcPr>
          <w:p w:rsidR="00C025DC" w:rsidRPr="00C5016E" w:rsidRDefault="00135659" w:rsidP="00C025DC">
            <w:pPr>
              <w:spacing w:before="0" w:after="0"/>
              <w:jc w:val="center"/>
              <w:rPr>
                <w:rFonts w:cs="Arial"/>
                <w:sz w:val="16"/>
                <w:szCs w:val="16"/>
              </w:rPr>
            </w:pPr>
            <w:r w:rsidRPr="00C5016E">
              <w:rPr>
                <w:rFonts w:cs="Arial"/>
                <w:sz w:val="16"/>
                <w:szCs w:val="16"/>
              </w:rPr>
              <w:t>prosinac</w:t>
            </w:r>
          </w:p>
        </w:tc>
      </w:tr>
      <w:tr w:rsidR="00C5016E" w:rsidRPr="00C5016E" w:rsidTr="00C025DC">
        <w:trPr>
          <w:trHeight w:val="489"/>
          <w:jc w:val="center"/>
        </w:trPr>
        <w:tc>
          <w:tcPr>
            <w:tcW w:w="804" w:type="dxa"/>
            <w:shd w:val="clear" w:color="auto" w:fill="D9D9D9"/>
          </w:tcPr>
          <w:p w:rsidR="00C025DC" w:rsidRPr="00C5016E" w:rsidRDefault="00C025DC" w:rsidP="00C025DC">
            <w:pPr>
              <w:spacing w:before="0" w:after="0"/>
              <w:jc w:val="center"/>
              <w:rPr>
                <w:rFonts w:cs="Arial"/>
                <w:sz w:val="16"/>
                <w:szCs w:val="16"/>
              </w:rPr>
            </w:pPr>
            <w:r w:rsidRPr="00C5016E">
              <w:rPr>
                <w:rFonts w:cs="Arial"/>
                <w:sz w:val="16"/>
                <w:szCs w:val="16"/>
              </w:rPr>
              <w:t>Prihodi</w:t>
            </w:r>
          </w:p>
        </w:tc>
        <w:tc>
          <w:tcPr>
            <w:tcW w:w="661"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304,5</w:t>
            </w:r>
          </w:p>
        </w:tc>
        <w:tc>
          <w:tcPr>
            <w:tcW w:w="723"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374,7</w:t>
            </w:r>
          </w:p>
        </w:tc>
        <w:tc>
          <w:tcPr>
            <w:tcW w:w="617"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384,8</w:t>
            </w:r>
          </w:p>
        </w:tc>
        <w:tc>
          <w:tcPr>
            <w:tcW w:w="617"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390,1</w:t>
            </w:r>
          </w:p>
        </w:tc>
        <w:tc>
          <w:tcPr>
            <w:tcW w:w="617"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387,1</w:t>
            </w:r>
          </w:p>
        </w:tc>
        <w:tc>
          <w:tcPr>
            <w:tcW w:w="617"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429,9</w:t>
            </w:r>
          </w:p>
        </w:tc>
        <w:tc>
          <w:tcPr>
            <w:tcW w:w="617"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355,7</w:t>
            </w:r>
          </w:p>
        </w:tc>
        <w:tc>
          <w:tcPr>
            <w:tcW w:w="706"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423,4</w:t>
            </w:r>
          </w:p>
        </w:tc>
        <w:tc>
          <w:tcPr>
            <w:tcW w:w="972"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476,0</w:t>
            </w:r>
          </w:p>
        </w:tc>
        <w:tc>
          <w:tcPr>
            <w:tcW w:w="750"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394,9</w:t>
            </w:r>
          </w:p>
        </w:tc>
        <w:tc>
          <w:tcPr>
            <w:tcW w:w="928"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404,0</w:t>
            </w:r>
          </w:p>
        </w:tc>
        <w:tc>
          <w:tcPr>
            <w:tcW w:w="928"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470,4</w:t>
            </w:r>
          </w:p>
        </w:tc>
      </w:tr>
      <w:tr w:rsidR="00C5016E" w:rsidRPr="00C5016E" w:rsidTr="00C025DC">
        <w:trPr>
          <w:trHeight w:val="423"/>
          <w:jc w:val="center"/>
        </w:trPr>
        <w:tc>
          <w:tcPr>
            <w:tcW w:w="804" w:type="dxa"/>
            <w:shd w:val="clear" w:color="auto" w:fill="D9D9D9"/>
          </w:tcPr>
          <w:p w:rsidR="00C025DC" w:rsidRPr="00C5016E" w:rsidRDefault="00C025DC" w:rsidP="00C025DC">
            <w:pPr>
              <w:spacing w:before="0" w:after="0"/>
              <w:jc w:val="center"/>
              <w:rPr>
                <w:rFonts w:cs="Arial"/>
                <w:sz w:val="16"/>
                <w:szCs w:val="16"/>
              </w:rPr>
            </w:pPr>
            <w:r w:rsidRPr="00C5016E">
              <w:rPr>
                <w:rFonts w:cs="Arial"/>
                <w:sz w:val="16"/>
                <w:szCs w:val="16"/>
              </w:rPr>
              <w:t>Rashodi</w:t>
            </w:r>
          </w:p>
        </w:tc>
        <w:tc>
          <w:tcPr>
            <w:tcW w:w="661"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252,5</w:t>
            </w:r>
          </w:p>
        </w:tc>
        <w:tc>
          <w:tcPr>
            <w:tcW w:w="723"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316,1</w:t>
            </w:r>
          </w:p>
        </w:tc>
        <w:tc>
          <w:tcPr>
            <w:tcW w:w="617"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308,4</w:t>
            </w:r>
          </w:p>
        </w:tc>
        <w:tc>
          <w:tcPr>
            <w:tcW w:w="617"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397,0</w:t>
            </w:r>
          </w:p>
        </w:tc>
        <w:tc>
          <w:tcPr>
            <w:tcW w:w="617"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337,8</w:t>
            </w:r>
          </w:p>
        </w:tc>
        <w:tc>
          <w:tcPr>
            <w:tcW w:w="617"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672,9</w:t>
            </w:r>
          </w:p>
        </w:tc>
        <w:tc>
          <w:tcPr>
            <w:tcW w:w="617"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421,2</w:t>
            </w:r>
          </w:p>
        </w:tc>
        <w:tc>
          <w:tcPr>
            <w:tcW w:w="706"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441,4</w:t>
            </w:r>
          </w:p>
        </w:tc>
        <w:tc>
          <w:tcPr>
            <w:tcW w:w="972"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444,9</w:t>
            </w:r>
          </w:p>
        </w:tc>
        <w:tc>
          <w:tcPr>
            <w:tcW w:w="750"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403,0</w:t>
            </w:r>
          </w:p>
        </w:tc>
        <w:tc>
          <w:tcPr>
            <w:tcW w:w="928"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501,0</w:t>
            </w:r>
          </w:p>
        </w:tc>
        <w:tc>
          <w:tcPr>
            <w:tcW w:w="928" w:type="dxa"/>
            <w:shd w:val="clear" w:color="auto" w:fill="auto"/>
            <w:vAlign w:val="center"/>
          </w:tcPr>
          <w:p w:rsidR="00C025DC" w:rsidRPr="00C5016E" w:rsidRDefault="00C025DC" w:rsidP="00C025DC">
            <w:pPr>
              <w:spacing w:before="0" w:after="0"/>
              <w:jc w:val="center"/>
              <w:rPr>
                <w:rFonts w:cs="Arial"/>
                <w:sz w:val="16"/>
                <w:szCs w:val="16"/>
              </w:rPr>
            </w:pPr>
            <w:r w:rsidRPr="00C5016E">
              <w:rPr>
                <w:rFonts w:cs="Arial"/>
                <w:sz w:val="16"/>
                <w:szCs w:val="16"/>
              </w:rPr>
              <w:t>604,1</w:t>
            </w:r>
          </w:p>
        </w:tc>
      </w:tr>
    </w:tbl>
    <w:p w:rsidR="00C025DC" w:rsidRPr="00C5016E" w:rsidRDefault="00EF4C3C" w:rsidP="00C025DC">
      <w:pPr>
        <w:pStyle w:val="Caption"/>
        <w:spacing w:before="0"/>
        <w:rPr>
          <w:rFonts w:ascii="Arial" w:hAnsi="Arial" w:cs="Arial"/>
          <w:b w:val="0"/>
          <w:color w:val="auto"/>
          <w:sz w:val="22"/>
          <w:szCs w:val="24"/>
          <w:lang w:val="hr-HR" w:eastAsia="bs-Latn-BA"/>
        </w:rPr>
      </w:pPr>
      <w:bookmarkStart w:id="97" w:name="_Toc99939238"/>
      <w:r w:rsidRPr="00C5016E">
        <w:rPr>
          <w:rFonts w:ascii="Arial" w:hAnsi="Arial" w:cs="Arial"/>
          <w:color w:val="auto"/>
          <w:sz w:val="22"/>
          <w:szCs w:val="24"/>
          <w:lang w:val="hr-HR"/>
        </w:rPr>
        <w:t>Tablica</w:t>
      </w:r>
      <w:r w:rsidR="00C025DC" w:rsidRPr="00C5016E">
        <w:rPr>
          <w:rFonts w:ascii="Arial" w:hAnsi="Arial" w:cs="Arial"/>
          <w:color w:val="auto"/>
          <w:sz w:val="22"/>
          <w:szCs w:val="24"/>
          <w:lang w:val="hr-HR"/>
        </w:rPr>
        <w:t xml:space="preserve"> 14: </w:t>
      </w:r>
      <w:r w:rsidR="00C025DC" w:rsidRPr="00C5016E">
        <w:rPr>
          <w:rFonts w:ascii="Arial" w:hAnsi="Arial" w:cs="Arial"/>
          <w:b w:val="0"/>
          <w:color w:val="auto"/>
          <w:sz w:val="22"/>
          <w:szCs w:val="24"/>
          <w:lang w:val="hr-HR" w:eastAsia="bs-Latn-BA"/>
        </w:rPr>
        <w:t>Odnos ostvarenih prihoda i rashoda po mjesecima 2022. godine</w:t>
      </w:r>
      <w:bookmarkEnd w:id="97"/>
    </w:p>
    <w:p w:rsidR="00C025DC" w:rsidRPr="00C5016E" w:rsidRDefault="00C025DC" w:rsidP="00C025DC">
      <w:pPr>
        <w:spacing w:before="0" w:after="0"/>
        <w:jc w:val="right"/>
        <w:rPr>
          <w:rFonts w:cs="Arial"/>
          <w:szCs w:val="24"/>
        </w:rPr>
      </w:pPr>
      <w:r w:rsidRPr="00C5016E">
        <w:rPr>
          <w:rFonts w:cs="Arial"/>
          <w:szCs w:val="24"/>
        </w:rPr>
        <w:t xml:space="preserve">                                                                                                                (u mil. KM)</w:t>
      </w:r>
    </w:p>
    <w:p w:rsidR="00C025DC" w:rsidRPr="00C5016E" w:rsidRDefault="00380B5A" w:rsidP="00C025DC">
      <w:pPr>
        <w:spacing w:before="0" w:after="0"/>
        <w:jc w:val="left"/>
        <w:rPr>
          <w:rFonts w:cs="Arial"/>
          <w:szCs w:val="24"/>
        </w:rPr>
      </w:pPr>
      <w:r>
        <w:rPr>
          <w:noProof/>
          <w:lang w:val="bs-Latn-BA" w:eastAsia="bs-Latn-BA"/>
        </w:rPr>
        <w:drawing>
          <wp:inline distT="0" distB="0" distL="0" distR="0" wp14:anchorId="2CEC3C34" wp14:editId="7A454B58">
            <wp:extent cx="5836258" cy="2658110"/>
            <wp:effectExtent l="0" t="0" r="12700" b="889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025DC" w:rsidRPr="00C5016E" w:rsidRDefault="00C025DC" w:rsidP="00C025DC">
      <w:pPr>
        <w:pStyle w:val="Caption"/>
        <w:rPr>
          <w:rFonts w:ascii="Arial" w:hAnsi="Arial" w:cs="Arial"/>
          <w:b w:val="0"/>
          <w:color w:val="auto"/>
          <w:sz w:val="22"/>
          <w:szCs w:val="24"/>
          <w:lang w:val="hr-HR" w:eastAsia="bs-Latn-BA"/>
        </w:rPr>
      </w:pPr>
      <w:bookmarkStart w:id="98" w:name="_Toc99940826"/>
      <w:r w:rsidRPr="00C5016E">
        <w:rPr>
          <w:rFonts w:ascii="Arial" w:hAnsi="Arial" w:cs="Arial"/>
          <w:color w:val="auto"/>
          <w:sz w:val="22"/>
          <w:szCs w:val="24"/>
          <w:lang w:val="hr-HR"/>
        </w:rPr>
        <w:t xml:space="preserve">Grafikon </w:t>
      </w:r>
      <w:r w:rsidRPr="00C5016E">
        <w:rPr>
          <w:rFonts w:ascii="Arial" w:hAnsi="Arial" w:cs="Arial"/>
          <w:color w:val="auto"/>
          <w:sz w:val="22"/>
          <w:szCs w:val="24"/>
          <w:lang w:val="hr-HR"/>
        </w:rPr>
        <w:fldChar w:fldCharType="begin"/>
      </w:r>
      <w:r w:rsidRPr="00C5016E">
        <w:rPr>
          <w:rFonts w:ascii="Arial" w:hAnsi="Arial" w:cs="Arial"/>
          <w:color w:val="auto"/>
          <w:sz w:val="22"/>
          <w:szCs w:val="24"/>
          <w:lang w:val="hr-HR"/>
        </w:rPr>
        <w:instrText xml:space="preserve"> SEQ Grafikon \* ARABIC </w:instrText>
      </w:r>
      <w:r w:rsidRPr="00C5016E">
        <w:rPr>
          <w:rFonts w:ascii="Arial" w:hAnsi="Arial" w:cs="Arial"/>
          <w:color w:val="auto"/>
          <w:sz w:val="22"/>
          <w:szCs w:val="24"/>
          <w:lang w:val="hr-HR"/>
        </w:rPr>
        <w:fldChar w:fldCharType="separate"/>
      </w:r>
      <w:r w:rsidR="0070505C" w:rsidRPr="00C5016E">
        <w:rPr>
          <w:rFonts w:ascii="Arial" w:hAnsi="Arial" w:cs="Arial"/>
          <w:noProof/>
          <w:color w:val="auto"/>
          <w:sz w:val="22"/>
          <w:szCs w:val="24"/>
          <w:lang w:val="hr-HR"/>
        </w:rPr>
        <w:t>11</w:t>
      </w:r>
      <w:r w:rsidRPr="00C5016E">
        <w:rPr>
          <w:rFonts w:ascii="Arial" w:hAnsi="Arial" w:cs="Arial"/>
          <w:color w:val="auto"/>
          <w:sz w:val="22"/>
          <w:szCs w:val="24"/>
          <w:lang w:val="hr-HR"/>
        </w:rPr>
        <w:fldChar w:fldCharType="end"/>
      </w:r>
      <w:r w:rsidRPr="00C5016E">
        <w:rPr>
          <w:rFonts w:ascii="Arial" w:hAnsi="Arial" w:cs="Arial"/>
          <w:color w:val="auto"/>
          <w:sz w:val="22"/>
          <w:szCs w:val="24"/>
          <w:lang w:val="hr-HR"/>
        </w:rPr>
        <w:t xml:space="preserve">: </w:t>
      </w:r>
      <w:r w:rsidRPr="00C5016E">
        <w:rPr>
          <w:rFonts w:ascii="Arial" w:hAnsi="Arial" w:cs="Arial"/>
          <w:b w:val="0"/>
          <w:color w:val="auto"/>
          <w:sz w:val="22"/>
          <w:szCs w:val="24"/>
          <w:lang w:val="hr-HR"/>
        </w:rPr>
        <w:t xml:space="preserve">Grafički prikaz odnosa </w:t>
      </w:r>
      <w:r w:rsidRPr="00C5016E">
        <w:rPr>
          <w:rFonts w:ascii="Arial" w:hAnsi="Arial" w:cs="Arial"/>
          <w:b w:val="0"/>
          <w:color w:val="auto"/>
          <w:sz w:val="22"/>
          <w:szCs w:val="24"/>
          <w:lang w:val="hr-HR" w:eastAsia="bs-Latn-BA"/>
        </w:rPr>
        <w:t>ostvarenih</w:t>
      </w:r>
      <w:r w:rsidR="00135659" w:rsidRPr="00C5016E">
        <w:rPr>
          <w:rFonts w:ascii="Arial" w:hAnsi="Arial" w:cs="Arial"/>
          <w:b w:val="0"/>
          <w:color w:val="auto"/>
          <w:sz w:val="22"/>
          <w:szCs w:val="24"/>
          <w:lang w:val="hr-HR" w:eastAsia="bs-Latn-BA"/>
        </w:rPr>
        <w:t xml:space="preserve"> prihoda i rashoda po mjesecima</w:t>
      </w:r>
      <w:r w:rsidRPr="00C5016E">
        <w:rPr>
          <w:rFonts w:ascii="Arial" w:hAnsi="Arial" w:cs="Arial"/>
          <w:b w:val="0"/>
          <w:color w:val="auto"/>
          <w:sz w:val="22"/>
          <w:szCs w:val="24"/>
          <w:lang w:val="hr-HR" w:eastAsia="bs-Latn-BA"/>
        </w:rPr>
        <w:t xml:space="preserve"> 2022. godine</w:t>
      </w:r>
      <w:bookmarkEnd w:id="98"/>
    </w:p>
    <w:p w:rsidR="00C025DC" w:rsidRPr="00C5016E" w:rsidRDefault="00C025DC" w:rsidP="00C025DC">
      <w:pPr>
        <w:rPr>
          <w:lang w:eastAsia="bs-Latn-BA"/>
        </w:rPr>
      </w:pPr>
      <w:r w:rsidRPr="00C5016E">
        <w:rPr>
          <w:lang w:eastAsia="bs-Latn-BA"/>
        </w:rPr>
        <w:t xml:space="preserve">Na prethodnom grafikonu se može uočiti da su prihodi u 2022. godini bili najveći u </w:t>
      </w:r>
      <w:r w:rsidR="00135659" w:rsidRPr="00C5016E">
        <w:rPr>
          <w:lang w:eastAsia="bs-Latn-BA"/>
        </w:rPr>
        <w:t>rujnu</w:t>
      </w:r>
      <w:r w:rsidRPr="00C5016E">
        <w:rPr>
          <w:lang w:eastAsia="bs-Latn-BA"/>
        </w:rPr>
        <w:t xml:space="preserve"> kada su iznosili 476 </w:t>
      </w:r>
      <w:r w:rsidR="004611A5" w:rsidRPr="00C5016E">
        <w:rPr>
          <w:lang w:eastAsia="bs-Latn-BA"/>
        </w:rPr>
        <w:t>milijun</w:t>
      </w:r>
      <w:r w:rsidRPr="00C5016E">
        <w:rPr>
          <w:lang w:eastAsia="bs-Latn-BA"/>
        </w:rPr>
        <w:t xml:space="preserve">a KM, a najmanji u </w:t>
      </w:r>
      <w:r w:rsidR="00135659" w:rsidRPr="00C5016E">
        <w:rPr>
          <w:lang w:eastAsia="bs-Latn-BA"/>
        </w:rPr>
        <w:t>siječnju s</w:t>
      </w:r>
      <w:r w:rsidRPr="00C5016E">
        <w:rPr>
          <w:lang w:eastAsia="bs-Latn-BA"/>
        </w:rPr>
        <w:t xml:space="preserve"> ostvarenjem od 304,5 </w:t>
      </w:r>
      <w:r w:rsidR="004611A5" w:rsidRPr="00C5016E">
        <w:rPr>
          <w:lang w:eastAsia="bs-Latn-BA"/>
        </w:rPr>
        <w:t>milijun</w:t>
      </w:r>
      <w:r w:rsidRPr="00C5016E">
        <w:rPr>
          <w:lang w:eastAsia="bs-Latn-BA"/>
        </w:rPr>
        <w:t>a KM. Rashodi u 2022. godini</w:t>
      </w:r>
      <w:r w:rsidR="00135659" w:rsidRPr="00C5016E">
        <w:rPr>
          <w:lang w:eastAsia="bs-Latn-BA"/>
        </w:rPr>
        <w:t xml:space="preserve"> su bili najmanji</w:t>
      </w:r>
      <w:r w:rsidRPr="00C5016E">
        <w:rPr>
          <w:lang w:eastAsia="bs-Latn-BA"/>
        </w:rPr>
        <w:t xml:space="preserve"> u </w:t>
      </w:r>
      <w:r w:rsidR="00135659" w:rsidRPr="00C5016E">
        <w:rPr>
          <w:lang w:eastAsia="bs-Latn-BA"/>
        </w:rPr>
        <w:t>siječnju s</w:t>
      </w:r>
      <w:r w:rsidRPr="00C5016E">
        <w:rPr>
          <w:lang w:eastAsia="bs-Latn-BA"/>
        </w:rPr>
        <w:t xml:space="preserve"> ostvarenjem od 252,5 </w:t>
      </w:r>
      <w:r w:rsidR="004611A5" w:rsidRPr="00C5016E">
        <w:rPr>
          <w:lang w:eastAsia="bs-Latn-BA"/>
        </w:rPr>
        <w:t>milijun</w:t>
      </w:r>
      <w:r w:rsidRPr="00C5016E">
        <w:rPr>
          <w:lang w:eastAsia="bs-Latn-BA"/>
        </w:rPr>
        <w:t xml:space="preserve">a KM, a najveći u </w:t>
      </w:r>
      <w:r w:rsidR="00135659" w:rsidRPr="00C5016E">
        <w:rPr>
          <w:lang w:eastAsia="bs-Latn-BA"/>
        </w:rPr>
        <w:t>lipnju</w:t>
      </w:r>
      <w:r w:rsidRPr="00C5016E">
        <w:rPr>
          <w:lang w:eastAsia="bs-Latn-BA"/>
        </w:rPr>
        <w:t xml:space="preserve"> u iznosu od 672,9 </w:t>
      </w:r>
      <w:r w:rsidR="004611A5" w:rsidRPr="00C5016E">
        <w:rPr>
          <w:lang w:eastAsia="bs-Latn-BA"/>
        </w:rPr>
        <w:t>milijun</w:t>
      </w:r>
      <w:r w:rsidRPr="00C5016E">
        <w:rPr>
          <w:lang w:eastAsia="bs-Latn-BA"/>
        </w:rPr>
        <w:t>a KM.</w:t>
      </w:r>
    </w:p>
    <w:p w:rsidR="00C025DC" w:rsidRPr="00C5016E" w:rsidRDefault="00C025DC" w:rsidP="00C025DC">
      <w:pPr>
        <w:rPr>
          <w:lang w:eastAsia="hr-HR"/>
        </w:rPr>
      </w:pPr>
    </w:p>
    <w:p w:rsidR="00C025DC" w:rsidRPr="00C5016E" w:rsidRDefault="00C025DC" w:rsidP="00C025DC">
      <w:pPr>
        <w:rPr>
          <w:lang w:eastAsia="hr-HR"/>
        </w:rPr>
      </w:pPr>
    </w:p>
    <w:p w:rsidR="00C025DC" w:rsidRPr="00C5016E" w:rsidRDefault="00C025DC" w:rsidP="00C025DC">
      <w:pPr>
        <w:rPr>
          <w:lang w:eastAsia="hr-HR"/>
        </w:rPr>
      </w:pPr>
    </w:p>
    <w:p w:rsidR="00C025DC" w:rsidRPr="00C5016E" w:rsidRDefault="00C025DC" w:rsidP="00C025DC">
      <w:pPr>
        <w:rPr>
          <w:lang w:eastAsia="hr-HR"/>
        </w:rPr>
      </w:pPr>
    </w:p>
    <w:p w:rsidR="00C025DC" w:rsidRPr="00C5016E" w:rsidRDefault="00C025DC" w:rsidP="00C025DC">
      <w:pPr>
        <w:rPr>
          <w:lang w:eastAsia="hr-HR"/>
        </w:rPr>
      </w:pPr>
    </w:p>
    <w:p w:rsidR="00C025DC" w:rsidRPr="00C5016E" w:rsidRDefault="00C025DC" w:rsidP="00C025DC">
      <w:pPr>
        <w:spacing w:before="0" w:after="0"/>
        <w:jc w:val="left"/>
        <w:rPr>
          <w:rFonts w:eastAsia="Calibri" w:cs="Arial"/>
          <w:b/>
          <w:sz w:val="28"/>
          <w:szCs w:val="24"/>
        </w:rPr>
      </w:pPr>
      <w:r w:rsidRPr="00C5016E">
        <w:rPr>
          <w:rFonts w:cs="Arial"/>
        </w:rPr>
        <w:br w:type="page"/>
      </w:r>
    </w:p>
    <w:p w:rsidR="00C025DC" w:rsidRPr="00C5016E" w:rsidRDefault="00C025DC" w:rsidP="00C025DC">
      <w:pPr>
        <w:pStyle w:val="Heading1"/>
        <w:rPr>
          <w:rFonts w:ascii="Arial" w:hAnsi="Arial" w:cs="Arial"/>
          <w:lang w:val="hr-HR"/>
        </w:rPr>
      </w:pPr>
      <w:bookmarkStart w:id="99" w:name="_Toc131505231"/>
      <w:r w:rsidRPr="00C5016E">
        <w:rPr>
          <w:rFonts w:ascii="Arial" w:hAnsi="Arial" w:cs="Arial"/>
          <w:lang w:val="hr-HR"/>
        </w:rPr>
        <w:lastRenderedPageBreak/>
        <w:t>ZAKLJUČAK</w:t>
      </w:r>
      <w:bookmarkEnd w:id="99"/>
    </w:p>
    <w:p w:rsidR="00C025DC" w:rsidRPr="00C5016E" w:rsidRDefault="00C025DC" w:rsidP="00C025DC">
      <w:pPr>
        <w:rPr>
          <w:rFonts w:cs="Arial"/>
          <w:szCs w:val="24"/>
        </w:rPr>
      </w:pPr>
      <w:r w:rsidRPr="00C5016E">
        <w:rPr>
          <w:rFonts w:cs="Arial"/>
          <w:szCs w:val="24"/>
        </w:rPr>
        <w:t xml:space="preserve">Proračun Federacije Bosne i Hercegovine za 2022. godinu planiran je u rekordnom iznosu od 5.598 </w:t>
      </w:r>
      <w:r w:rsidR="004611A5" w:rsidRPr="00C5016E">
        <w:rPr>
          <w:rFonts w:cs="Arial"/>
          <w:szCs w:val="24"/>
        </w:rPr>
        <w:t>milijun</w:t>
      </w:r>
      <w:r w:rsidRPr="00C5016E">
        <w:rPr>
          <w:rFonts w:cs="Arial"/>
          <w:szCs w:val="24"/>
        </w:rPr>
        <w:t>a KM.</w:t>
      </w:r>
      <w:r w:rsidRPr="00C5016E">
        <w:rPr>
          <w:rFonts w:cs="Arial"/>
          <w:b/>
          <w:szCs w:val="24"/>
        </w:rPr>
        <w:t xml:space="preserve"> </w:t>
      </w:r>
      <w:r w:rsidRPr="00C5016E">
        <w:rPr>
          <w:rFonts w:cs="Arial"/>
          <w:szCs w:val="24"/>
        </w:rPr>
        <w:t xml:space="preserve">Ukupni prihodi, primici i financiranja ostvareni su u iznosu od 5.304 </w:t>
      </w:r>
      <w:r w:rsidR="004611A5" w:rsidRPr="00C5016E">
        <w:rPr>
          <w:rFonts w:cs="Arial"/>
          <w:szCs w:val="24"/>
        </w:rPr>
        <w:t>milijun</w:t>
      </w:r>
      <w:r w:rsidRPr="00C5016E">
        <w:rPr>
          <w:rFonts w:cs="Arial"/>
          <w:szCs w:val="24"/>
        </w:rPr>
        <w:t xml:space="preserve">a KM, dok su </w:t>
      </w:r>
      <w:r w:rsidR="00135659" w:rsidRPr="00C5016E">
        <w:rPr>
          <w:rFonts w:cs="Arial"/>
          <w:szCs w:val="24"/>
        </w:rPr>
        <w:t>rashodi</w:t>
      </w:r>
      <w:r w:rsidRPr="00C5016E">
        <w:rPr>
          <w:rFonts w:cs="Arial"/>
          <w:szCs w:val="24"/>
        </w:rPr>
        <w:t xml:space="preserve"> i izdaci </w:t>
      </w:r>
      <w:r w:rsidR="00135659" w:rsidRPr="00C5016E">
        <w:rPr>
          <w:rFonts w:cs="Arial"/>
          <w:szCs w:val="24"/>
        </w:rPr>
        <w:t>realizirani</w:t>
      </w:r>
      <w:r w:rsidRPr="00C5016E">
        <w:rPr>
          <w:rFonts w:cs="Arial"/>
          <w:szCs w:val="24"/>
        </w:rPr>
        <w:t xml:space="preserve"> u iznosu od 5.101 </w:t>
      </w:r>
      <w:r w:rsidR="004611A5" w:rsidRPr="00C5016E">
        <w:rPr>
          <w:rFonts w:cs="Arial"/>
          <w:szCs w:val="24"/>
        </w:rPr>
        <w:t>milijun</w:t>
      </w:r>
      <w:r w:rsidRPr="00C5016E">
        <w:rPr>
          <w:rFonts w:cs="Arial"/>
          <w:szCs w:val="24"/>
        </w:rPr>
        <w:t xml:space="preserve"> KM, tako da je ostvaren višak prihoda nad rashodima u iznosu od 203 </w:t>
      </w:r>
      <w:r w:rsidR="004611A5" w:rsidRPr="00C5016E">
        <w:rPr>
          <w:rFonts w:cs="Arial"/>
          <w:szCs w:val="24"/>
        </w:rPr>
        <w:t>milijun</w:t>
      </w:r>
      <w:r w:rsidRPr="00C5016E">
        <w:rPr>
          <w:rFonts w:cs="Arial"/>
          <w:szCs w:val="24"/>
        </w:rPr>
        <w:t>a KM.</w:t>
      </w:r>
    </w:p>
    <w:p w:rsidR="00C025DC" w:rsidRPr="00C5016E" w:rsidRDefault="00C025DC" w:rsidP="00C025DC">
      <w:pPr>
        <w:rPr>
          <w:rFonts w:cs="Arial"/>
          <w:szCs w:val="24"/>
        </w:rPr>
      </w:pPr>
      <w:r w:rsidRPr="00C5016E">
        <w:rPr>
          <w:rFonts w:cs="Arial"/>
          <w:szCs w:val="24"/>
        </w:rPr>
        <w:t>Najznačajnije stavke na prihodovnoj strani predstavljaju prihodi po osnov</w:t>
      </w:r>
      <w:r w:rsidR="00135659" w:rsidRPr="00C5016E">
        <w:rPr>
          <w:rFonts w:cs="Arial"/>
          <w:szCs w:val="24"/>
        </w:rPr>
        <w:t>i</w:t>
      </w:r>
      <w:r w:rsidRPr="00C5016E">
        <w:rPr>
          <w:rFonts w:cs="Arial"/>
          <w:szCs w:val="24"/>
        </w:rPr>
        <w:t xml:space="preserve"> doprinosa za mirovinsko-invalidsko osiguranje u iznosu od 2.459 </w:t>
      </w:r>
      <w:r w:rsidR="004611A5" w:rsidRPr="00C5016E">
        <w:rPr>
          <w:rFonts w:cs="Arial"/>
          <w:szCs w:val="24"/>
        </w:rPr>
        <w:t>milijun</w:t>
      </w:r>
      <w:r w:rsidRPr="00C5016E">
        <w:rPr>
          <w:rFonts w:cs="Arial"/>
          <w:szCs w:val="24"/>
        </w:rPr>
        <w:t xml:space="preserve">a KM i prihodi od neizravnih poreza u iznosu od 1.820 </w:t>
      </w:r>
      <w:r w:rsidR="004611A5" w:rsidRPr="00C5016E">
        <w:rPr>
          <w:rFonts w:cs="Arial"/>
          <w:szCs w:val="24"/>
        </w:rPr>
        <w:t>milijun</w:t>
      </w:r>
      <w:r w:rsidRPr="00C5016E">
        <w:rPr>
          <w:rFonts w:cs="Arial"/>
          <w:szCs w:val="24"/>
        </w:rPr>
        <w:t xml:space="preserve">a KM. Ono što je </w:t>
      </w:r>
      <w:r w:rsidR="00135659" w:rsidRPr="00C5016E">
        <w:rPr>
          <w:rFonts w:cs="Arial"/>
          <w:szCs w:val="24"/>
        </w:rPr>
        <w:t>obilježilo</w:t>
      </w:r>
      <w:r w:rsidRPr="00C5016E">
        <w:rPr>
          <w:rFonts w:cs="Arial"/>
          <w:szCs w:val="24"/>
        </w:rPr>
        <w:t xml:space="preserve"> 2022. godinu na globaln</w:t>
      </w:r>
      <w:r w:rsidR="00135659" w:rsidRPr="00C5016E">
        <w:rPr>
          <w:rFonts w:cs="Arial"/>
          <w:szCs w:val="24"/>
        </w:rPr>
        <w:t>oj</w:t>
      </w:r>
      <w:r w:rsidRPr="00C5016E">
        <w:rPr>
          <w:rFonts w:cs="Arial"/>
          <w:szCs w:val="24"/>
        </w:rPr>
        <w:t xml:space="preserve"> </w:t>
      </w:r>
      <w:r w:rsidR="00135659" w:rsidRPr="00C5016E">
        <w:rPr>
          <w:rFonts w:cs="Arial"/>
          <w:szCs w:val="24"/>
        </w:rPr>
        <w:t>razini</w:t>
      </w:r>
      <w:r w:rsidRPr="00C5016E">
        <w:rPr>
          <w:rFonts w:cs="Arial"/>
          <w:szCs w:val="24"/>
        </w:rPr>
        <w:t xml:space="preserve"> jeste rat u Ukrajini, što je imalo za posljedicu porast cijena </w:t>
      </w:r>
      <w:r w:rsidR="00135659" w:rsidRPr="00C5016E">
        <w:rPr>
          <w:rFonts w:cs="Arial"/>
          <w:szCs w:val="24"/>
        </w:rPr>
        <w:t>energenata</w:t>
      </w:r>
      <w:r w:rsidRPr="00C5016E">
        <w:rPr>
          <w:rFonts w:cs="Arial"/>
          <w:szCs w:val="24"/>
        </w:rPr>
        <w:t xml:space="preserve"> i hrane u svijetu, </w:t>
      </w:r>
      <w:r w:rsidR="00135659" w:rsidRPr="00C5016E">
        <w:rPr>
          <w:rFonts w:cs="Arial"/>
          <w:szCs w:val="24"/>
        </w:rPr>
        <w:t xml:space="preserve">što se </w:t>
      </w:r>
      <w:r w:rsidRPr="00C5016E">
        <w:rPr>
          <w:rFonts w:cs="Arial"/>
          <w:szCs w:val="24"/>
        </w:rPr>
        <w:t xml:space="preserve">prelilo </w:t>
      </w:r>
      <w:r w:rsidR="00135659" w:rsidRPr="00C5016E">
        <w:rPr>
          <w:rFonts w:cs="Arial"/>
          <w:szCs w:val="24"/>
        </w:rPr>
        <w:t>i</w:t>
      </w:r>
      <w:r w:rsidRPr="00C5016E">
        <w:rPr>
          <w:rFonts w:cs="Arial"/>
          <w:szCs w:val="24"/>
        </w:rPr>
        <w:t xml:space="preserve"> na Bosnu I Hercegovinu. Rast cijena ut</w:t>
      </w:r>
      <w:r w:rsidR="00135659" w:rsidRPr="00C5016E">
        <w:rPr>
          <w:rFonts w:cs="Arial"/>
          <w:szCs w:val="24"/>
        </w:rPr>
        <w:t>je</w:t>
      </w:r>
      <w:r w:rsidRPr="00C5016E">
        <w:rPr>
          <w:rFonts w:cs="Arial"/>
          <w:szCs w:val="24"/>
        </w:rPr>
        <w:t>cao je na povećanje prihoda od neizravnih poreza, koji su u 2022. godini prikupljeni u rekordnom iznosu.</w:t>
      </w:r>
    </w:p>
    <w:p w:rsidR="00C025DC" w:rsidRPr="00C5016E" w:rsidRDefault="00C025DC" w:rsidP="00C025DC">
      <w:pPr>
        <w:rPr>
          <w:rFonts w:cs="Arial"/>
          <w:szCs w:val="24"/>
        </w:rPr>
      </w:pPr>
      <w:r w:rsidRPr="00C5016E">
        <w:rPr>
          <w:rFonts w:cs="Arial"/>
          <w:szCs w:val="24"/>
        </w:rPr>
        <w:t xml:space="preserve">Na rashodovnoj strani proračuna najznačajniji su tekući transferi i drugi tekući rashodi u iznosu od 3.730 </w:t>
      </w:r>
      <w:r w:rsidR="004611A5" w:rsidRPr="00C5016E">
        <w:rPr>
          <w:rFonts w:cs="Arial"/>
          <w:szCs w:val="24"/>
        </w:rPr>
        <w:t>milijun</w:t>
      </w:r>
      <w:r w:rsidRPr="00C5016E">
        <w:rPr>
          <w:rFonts w:cs="Arial"/>
          <w:szCs w:val="24"/>
        </w:rPr>
        <w:t xml:space="preserve">a KM i izdaci za otplatu dugova u iznosu od 731 </w:t>
      </w:r>
      <w:r w:rsidR="004611A5" w:rsidRPr="00C5016E">
        <w:rPr>
          <w:rFonts w:cs="Arial"/>
          <w:szCs w:val="24"/>
        </w:rPr>
        <w:t>milijun</w:t>
      </w:r>
      <w:r w:rsidRPr="00C5016E">
        <w:rPr>
          <w:rFonts w:cs="Arial"/>
          <w:szCs w:val="24"/>
        </w:rPr>
        <w:t xml:space="preserve"> KM. U cilju ublažavanja negativnih posljedica izazvane pandemijom virusom COVID-19 Vlada Federacije BiH u 2022. godini nastav</w:t>
      </w:r>
      <w:r w:rsidR="00135659" w:rsidRPr="00C5016E">
        <w:rPr>
          <w:rFonts w:cs="Arial"/>
          <w:szCs w:val="24"/>
        </w:rPr>
        <w:t>ila je s</w:t>
      </w:r>
      <w:r w:rsidRPr="00C5016E">
        <w:rPr>
          <w:rFonts w:cs="Arial"/>
          <w:szCs w:val="24"/>
        </w:rPr>
        <w:t xml:space="preserve"> provođenjem niza mjera radi sanacije stanja i stabilizacije ekonomije, odnosno očuvanja radnih mjesta i osiguranja podrške likvidnosti. </w:t>
      </w:r>
    </w:p>
    <w:p w:rsidR="00C025DC" w:rsidRPr="00C5016E" w:rsidRDefault="00C025DC" w:rsidP="00C025DC">
      <w:pPr>
        <w:rPr>
          <w:rFonts w:cs="Arial"/>
          <w:szCs w:val="24"/>
        </w:rPr>
      </w:pPr>
      <w:r w:rsidRPr="00C5016E">
        <w:rPr>
          <w:rFonts w:cs="Arial"/>
          <w:szCs w:val="24"/>
        </w:rPr>
        <w:t xml:space="preserve">S tim u vezi, osigurana je financijska pomoć nižim </w:t>
      </w:r>
      <w:r w:rsidR="00135659" w:rsidRPr="00C5016E">
        <w:rPr>
          <w:rFonts w:cs="Arial"/>
          <w:szCs w:val="24"/>
        </w:rPr>
        <w:t>razinama</w:t>
      </w:r>
      <w:r w:rsidRPr="00C5016E">
        <w:rPr>
          <w:rFonts w:cs="Arial"/>
          <w:szCs w:val="24"/>
        </w:rPr>
        <w:t xml:space="preserve"> vlasti, kantonima i općinama, kao pomoć proračunima i </w:t>
      </w:r>
      <w:r w:rsidR="00135659" w:rsidRPr="00C5016E">
        <w:rPr>
          <w:rFonts w:cs="Arial"/>
          <w:szCs w:val="24"/>
        </w:rPr>
        <w:t>gospodarstvu</w:t>
      </w:r>
      <w:r w:rsidRPr="00C5016E">
        <w:rPr>
          <w:rFonts w:cs="Arial"/>
          <w:szCs w:val="24"/>
        </w:rPr>
        <w:t xml:space="preserve"> za provođenje strukturalnih reformi i prevladavanje socijalnih, ekonomskih i zdravstvenih posljedica pandemije COVID-19.</w:t>
      </w:r>
    </w:p>
    <w:p w:rsidR="00C025DC" w:rsidRPr="00C5016E" w:rsidRDefault="00C025DC" w:rsidP="00C025DC">
      <w:pPr>
        <w:rPr>
          <w:rFonts w:cs="Arial"/>
          <w:szCs w:val="24"/>
        </w:rPr>
      </w:pPr>
      <w:r w:rsidRPr="00C5016E">
        <w:rPr>
          <w:rFonts w:cs="Arial"/>
          <w:szCs w:val="24"/>
        </w:rPr>
        <w:t>Zbog rasta cijena na globalno</w:t>
      </w:r>
      <w:r w:rsidR="00135659" w:rsidRPr="00C5016E">
        <w:rPr>
          <w:rFonts w:cs="Arial"/>
          <w:szCs w:val="24"/>
        </w:rPr>
        <w:t>j</w:t>
      </w:r>
      <w:r w:rsidRPr="00C5016E">
        <w:rPr>
          <w:rFonts w:cs="Arial"/>
          <w:szCs w:val="24"/>
        </w:rPr>
        <w:t xml:space="preserve"> </w:t>
      </w:r>
      <w:r w:rsidR="00135659" w:rsidRPr="00C5016E">
        <w:rPr>
          <w:rFonts w:cs="Arial"/>
          <w:szCs w:val="24"/>
        </w:rPr>
        <w:t>razini</w:t>
      </w:r>
      <w:r w:rsidRPr="00C5016E">
        <w:rPr>
          <w:rFonts w:cs="Arial"/>
          <w:szCs w:val="24"/>
        </w:rPr>
        <w:t xml:space="preserve"> Vlada Federacije BiH je </w:t>
      </w:r>
      <w:r w:rsidR="00135659" w:rsidRPr="00C5016E">
        <w:rPr>
          <w:rFonts w:cs="Arial"/>
          <w:szCs w:val="24"/>
        </w:rPr>
        <w:t>realizirala</w:t>
      </w:r>
      <w:r w:rsidRPr="00C5016E">
        <w:rPr>
          <w:rFonts w:cs="Arial"/>
          <w:szCs w:val="24"/>
        </w:rPr>
        <w:t xml:space="preserve"> niz odluka kao direktnu pomoć stanovništvu kroz isplate jednokratne pomoći </w:t>
      </w:r>
      <w:r w:rsidR="00135659" w:rsidRPr="00C5016E">
        <w:rPr>
          <w:rFonts w:cs="Arial"/>
          <w:szCs w:val="24"/>
        </w:rPr>
        <w:t>umirovljenicima</w:t>
      </w:r>
      <w:r w:rsidRPr="00C5016E">
        <w:rPr>
          <w:rFonts w:cs="Arial"/>
          <w:szCs w:val="24"/>
        </w:rPr>
        <w:t xml:space="preserve">, nezaposlenim </w:t>
      </w:r>
      <w:r w:rsidR="00135659" w:rsidRPr="00C5016E">
        <w:rPr>
          <w:rFonts w:cs="Arial"/>
          <w:szCs w:val="24"/>
        </w:rPr>
        <w:t>osobama</w:t>
      </w:r>
      <w:r w:rsidRPr="00C5016E">
        <w:rPr>
          <w:rFonts w:cs="Arial"/>
          <w:szCs w:val="24"/>
        </w:rPr>
        <w:t>, kao i zaposlenima.</w:t>
      </w:r>
    </w:p>
    <w:p w:rsidR="00C025DC" w:rsidRPr="00C5016E" w:rsidRDefault="00C025DC" w:rsidP="00C025DC">
      <w:pPr>
        <w:rPr>
          <w:rFonts w:cs="Arial"/>
          <w:szCs w:val="24"/>
        </w:rPr>
      </w:pPr>
      <w:r w:rsidRPr="00C5016E">
        <w:rPr>
          <w:rFonts w:cs="Arial"/>
          <w:szCs w:val="24"/>
        </w:rPr>
        <w:t xml:space="preserve">Nastavljena je podrška zdravstvenom </w:t>
      </w:r>
      <w:r w:rsidR="00135659" w:rsidRPr="00C5016E">
        <w:rPr>
          <w:rFonts w:cs="Arial"/>
          <w:szCs w:val="24"/>
        </w:rPr>
        <w:t>sustavu</w:t>
      </w:r>
      <w:r w:rsidRPr="00C5016E">
        <w:rPr>
          <w:rFonts w:cs="Arial"/>
          <w:szCs w:val="24"/>
        </w:rPr>
        <w:t xml:space="preserve"> kroz financiranje sanacije zdravstvenih ustanova u Federaciji BiH (bolnica, domova zdravlja, kliničkih centara), te subvencije javnim i privatnim p</w:t>
      </w:r>
      <w:r w:rsidR="00135659" w:rsidRPr="00C5016E">
        <w:rPr>
          <w:rFonts w:cs="Arial"/>
          <w:szCs w:val="24"/>
        </w:rPr>
        <w:t>o</w:t>
      </w:r>
      <w:r w:rsidRPr="00C5016E">
        <w:rPr>
          <w:rFonts w:cs="Arial"/>
          <w:szCs w:val="24"/>
        </w:rPr>
        <w:t xml:space="preserve">duzećima, obrtima i drugim samostalnim djelatnostima, kao i podrška </w:t>
      </w:r>
      <w:r w:rsidR="00135659" w:rsidRPr="00C5016E">
        <w:rPr>
          <w:rFonts w:cs="Arial"/>
          <w:szCs w:val="24"/>
        </w:rPr>
        <w:t>gospodarstvu</w:t>
      </w:r>
      <w:r w:rsidRPr="00C5016E">
        <w:rPr>
          <w:rFonts w:cs="Arial"/>
          <w:szCs w:val="24"/>
        </w:rPr>
        <w:t xml:space="preserve"> u cilju rasta i razvoja postojećih aktivnosti, pokretanja novih poslovnih aktivnosti i zapošljavanja.</w:t>
      </w:r>
      <w:r w:rsidR="00135659" w:rsidRPr="00C5016E">
        <w:rPr>
          <w:rFonts w:cs="Arial"/>
          <w:szCs w:val="24"/>
        </w:rPr>
        <w:t xml:space="preserve"> </w:t>
      </w:r>
    </w:p>
    <w:p w:rsidR="00C025DC" w:rsidRPr="00C5016E" w:rsidRDefault="00C025DC" w:rsidP="00C025DC">
      <w:pPr>
        <w:rPr>
          <w:rFonts w:cs="Arial"/>
          <w:szCs w:val="24"/>
        </w:rPr>
      </w:pPr>
      <w:r w:rsidRPr="00C5016E">
        <w:rPr>
          <w:rFonts w:cs="Arial"/>
          <w:szCs w:val="24"/>
        </w:rPr>
        <w:t>Federalno ministarstvo financija je u okviru svoje nadležnosti uložilo napore na provođenju preporuka Ureda za reviziju institucija u Federaciji Bosne i Hercegovine predstavljenih u Izvješ</w:t>
      </w:r>
      <w:r w:rsidR="00135659" w:rsidRPr="00C5016E">
        <w:rPr>
          <w:rFonts w:cs="Arial"/>
          <w:szCs w:val="24"/>
        </w:rPr>
        <w:t>ć</w:t>
      </w:r>
      <w:r w:rsidRPr="00C5016E">
        <w:rPr>
          <w:rFonts w:cs="Arial"/>
          <w:szCs w:val="24"/>
        </w:rPr>
        <w:t>u o financijskoj reviziji Izvještaja o izvršenju Proračuna FBiH za 2021. godinu.</w:t>
      </w:r>
    </w:p>
    <w:p w:rsidR="00C025DC" w:rsidRPr="00C5016E" w:rsidRDefault="00C025DC" w:rsidP="00C025DC">
      <w:pPr>
        <w:rPr>
          <w:rFonts w:cs="Arial"/>
          <w:szCs w:val="24"/>
        </w:rPr>
      </w:pPr>
      <w:r w:rsidRPr="00C5016E">
        <w:rPr>
          <w:rFonts w:cs="Arial"/>
          <w:szCs w:val="24"/>
        </w:rPr>
        <w:t xml:space="preserve">U 2022. godini nastavljen je rad na nadogradnji trezorske ISFU aplikacije, počela je implementacija softverskog modula za upravljanje stalnim sredstvima (FA modul) s ciljem jedinstvene računovodstvene evidencije promjena/transakcija stalnih </w:t>
      </w:r>
      <w:r w:rsidRPr="00C5016E">
        <w:rPr>
          <w:rFonts w:cs="Arial"/>
          <w:szCs w:val="24"/>
        </w:rPr>
        <w:lastRenderedPageBreak/>
        <w:t xml:space="preserve">sredstava koja su u vlasništvu FBiH i transfer knjigovodstvenih informacija u Glavnu knjigu, kao i vođenje stalnih sredstava i sitnog inventara po fizičkim lokacijama na kojima se nalaze. </w:t>
      </w: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rPr>
          <w:rFonts w:cs="Arial"/>
          <w:szCs w:val="24"/>
        </w:rPr>
      </w:pPr>
    </w:p>
    <w:p w:rsidR="00C025DC" w:rsidRPr="00C5016E" w:rsidRDefault="00C025DC" w:rsidP="00C025DC">
      <w:pPr>
        <w:pStyle w:val="Heading1"/>
        <w:numPr>
          <w:ilvl w:val="0"/>
          <w:numId w:val="0"/>
        </w:numPr>
        <w:rPr>
          <w:rFonts w:ascii="Arial" w:hAnsi="Arial" w:cs="Arial"/>
          <w:lang w:val="hr-HR"/>
        </w:rPr>
      </w:pPr>
    </w:p>
    <w:p w:rsidR="00C025DC" w:rsidRPr="00C5016E" w:rsidRDefault="00C025DC" w:rsidP="00C025DC">
      <w:pPr>
        <w:pStyle w:val="Heading1"/>
        <w:numPr>
          <w:ilvl w:val="0"/>
          <w:numId w:val="0"/>
        </w:numPr>
        <w:rPr>
          <w:rFonts w:ascii="Arial" w:hAnsi="Arial" w:cs="Arial"/>
          <w:lang w:val="hr-HR"/>
        </w:rPr>
      </w:pPr>
    </w:p>
    <w:p w:rsidR="00C025DC" w:rsidRPr="00C5016E" w:rsidRDefault="00C025DC" w:rsidP="00C025DC">
      <w:pPr>
        <w:pStyle w:val="Heading1"/>
        <w:numPr>
          <w:ilvl w:val="0"/>
          <w:numId w:val="0"/>
        </w:numPr>
        <w:rPr>
          <w:rFonts w:ascii="Arial" w:hAnsi="Arial" w:cs="Arial"/>
          <w:lang w:val="hr-HR"/>
        </w:rPr>
      </w:pPr>
    </w:p>
    <w:p w:rsidR="00C025DC" w:rsidRPr="00C5016E" w:rsidRDefault="00C025DC" w:rsidP="00C025DC">
      <w:pPr>
        <w:pStyle w:val="Heading1"/>
        <w:numPr>
          <w:ilvl w:val="0"/>
          <w:numId w:val="0"/>
        </w:numPr>
        <w:rPr>
          <w:rFonts w:ascii="Arial" w:hAnsi="Arial" w:cs="Arial"/>
          <w:lang w:val="hr-HR"/>
        </w:rPr>
      </w:pPr>
    </w:p>
    <w:p w:rsidR="00C025DC" w:rsidRPr="00C5016E" w:rsidRDefault="00C025DC" w:rsidP="00C025DC">
      <w:pPr>
        <w:pStyle w:val="Heading1"/>
        <w:numPr>
          <w:ilvl w:val="0"/>
          <w:numId w:val="0"/>
        </w:numPr>
        <w:rPr>
          <w:rFonts w:ascii="Arial" w:hAnsi="Arial" w:cs="Arial"/>
          <w:lang w:val="hr-HR"/>
        </w:rPr>
      </w:pPr>
      <w:bookmarkStart w:id="100" w:name="_Toc131505232"/>
      <w:r w:rsidRPr="00C5016E">
        <w:rPr>
          <w:rFonts w:ascii="Arial" w:hAnsi="Arial" w:cs="Arial"/>
          <w:lang w:val="hr-HR"/>
        </w:rPr>
        <w:lastRenderedPageBreak/>
        <w:t xml:space="preserve">POPIS </w:t>
      </w:r>
      <w:r w:rsidR="00EF4C3C" w:rsidRPr="00C5016E">
        <w:rPr>
          <w:rFonts w:ascii="Arial" w:hAnsi="Arial" w:cs="Arial"/>
          <w:lang w:val="hr-HR"/>
        </w:rPr>
        <w:t>TABLICA</w:t>
      </w:r>
      <w:bookmarkEnd w:id="100"/>
    </w:p>
    <w:p w:rsidR="00C025DC" w:rsidRPr="00C5016E" w:rsidRDefault="00C025DC" w:rsidP="00C025DC">
      <w:pPr>
        <w:pStyle w:val="TableofFigures"/>
        <w:tabs>
          <w:tab w:val="right" w:leader="dot" w:pos="8827"/>
        </w:tabs>
        <w:rPr>
          <w:rFonts w:asciiTheme="minorHAnsi" w:eastAsiaTheme="minorEastAsia" w:hAnsiTheme="minorHAnsi" w:cstheme="minorBidi"/>
          <w:sz w:val="22"/>
          <w:lang w:val="hr-HR"/>
        </w:rPr>
      </w:pPr>
      <w:r w:rsidRPr="00C5016E">
        <w:rPr>
          <w:lang w:val="hr-HR"/>
        </w:rPr>
        <w:fldChar w:fldCharType="begin"/>
      </w:r>
      <w:r w:rsidRPr="00C5016E">
        <w:rPr>
          <w:lang w:val="hr-HR"/>
        </w:rPr>
        <w:instrText xml:space="preserve"> TOC \h \z \c "Tabela" </w:instrText>
      </w:r>
      <w:r w:rsidRPr="00C5016E">
        <w:rPr>
          <w:lang w:val="hr-HR"/>
        </w:rPr>
        <w:fldChar w:fldCharType="separate"/>
      </w:r>
      <w:hyperlink w:anchor="_Toc99939224" w:history="1">
        <w:r w:rsidR="00EF4C3C" w:rsidRPr="00C5016E">
          <w:rPr>
            <w:rStyle w:val="Hyperlink"/>
            <w:rFonts w:cs="Arial"/>
            <w:b/>
            <w:color w:val="auto"/>
            <w:lang w:val="hr-HR"/>
          </w:rPr>
          <w:t>Tablica</w:t>
        </w:r>
        <w:r w:rsidRPr="00C5016E">
          <w:rPr>
            <w:rStyle w:val="Hyperlink"/>
            <w:rFonts w:cs="Arial"/>
            <w:b/>
            <w:color w:val="auto"/>
            <w:lang w:val="hr-HR"/>
          </w:rPr>
          <w:t xml:space="preserve"> 1: </w:t>
        </w:r>
        <w:r w:rsidRPr="00C5016E">
          <w:rPr>
            <w:rStyle w:val="Hyperlink"/>
            <w:rFonts w:cs="Arial"/>
            <w:color w:val="auto"/>
            <w:lang w:val="hr-HR"/>
          </w:rPr>
          <w:t>Struktura ukupnih prihoda, primitaka i financiranja planiranih Proračunom FBiH za 2022. i ostvareni u 2021. i 2022.</w:t>
        </w:r>
        <w:r w:rsidRPr="00C5016E">
          <w:rPr>
            <w:webHidden/>
            <w:lang w:val="hr-HR"/>
          </w:rPr>
          <w:tab/>
        </w:r>
        <w:r w:rsidRPr="00C5016E">
          <w:rPr>
            <w:webHidden/>
            <w:lang w:val="hr-HR"/>
          </w:rPr>
          <w:fldChar w:fldCharType="begin"/>
        </w:r>
        <w:r w:rsidRPr="00C5016E">
          <w:rPr>
            <w:webHidden/>
            <w:lang w:val="hr-HR"/>
          </w:rPr>
          <w:instrText xml:space="preserve"> PAGEREF _Toc99939224 \h </w:instrText>
        </w:r>
        <w:r w:rsidRPr="00C5016E">
          <w:rPr>
            <w:webHidden/>
            <w:lang w:val="hr-HR"/>
          </w:rPr>
        </w:r>
        <w:r w:rsidRPr="00C5016E">
          <w:rPr>
            <w:webHidden/>
            <w:lang w:val="hr-HR"/>
          </w:rPr>
          <w:fldChar w:fldCharType="separate"/>
        </w:r>
        <w:r w:rsidR="0070505C" w:rsidRPr="00C5016E">
          <w:rPr>
            <w:noProof/>
            <w:webHidden/>
            <w:lang w:val="hr-HR"/>
          </w:rPr>
          <w:t>8</w:t>
        </w:r>
        <w:r w:rsidRPr="00C5016E">
          <w:rPr>
            <w:webHidden/>
            <w:lang w:val="hr-HR"/>
          </w:rPr>
          <w:fldChar w:fldCharType="end"/>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26" w:history="1">
        <w:r w:rsidR="00EF4C3C" w:rsidRPr="00C5016E">
          <w:rPr>
            <w:rStyle w:val="Hyperlink"/>
            <w:rFonts w:cs="Arial"/>
            <w:b/>
            <w:color w:val="auto"/>
            <w:lang w:val="hr-HR"/>
          </w:rPr>
          <w:t>Tablica</w:t>
        </w:r>
        <w:r w:rsidR="00C025DC" w:rsidRPr="00C5016E">
          <w:rPr>
            <w:rStyle w:val="Hyperlink"/>
            <w:rFonts w:cs="Arial"/>
            <w:b/>
            <w:color w:val="auto"/>
            <w:lang w:val="hr-HR"/>
          </w:rPr>
          <w:t xml:space="preserve"> 2:</w:t>
        </w:r>
        <w:r w:rsidR="00C025DC" w:rsidRPr="00C5016E">
          <w:rPr>
            <w:rStyle w:val="Hyperlink"/>
            <w:rFonts w:cs="Arial"/>
            <w:color w:val="auto"/>
            <w:lang w:val="hr-HR"/>
          </w:rPr>
          <w:t xml:space="preserve"> U</w:t>
        </w:r>
        <w:r w:rsidR="00135659" w:rsidRPr="00C5016E">
          <w:rPr>
            <w:rStyle w:val="Hyperlink"/>
            <w:rFonts w:cs="Arial"/>
            <w:color w:val="auto"/>
            <w:lang w:val="hr-HR"/>
          </w:rPr>
          <w:t>djel</w:t>
        </w:r>
        <w:r w:rsidR="00C025DC" w:rsidRPr="00C5016E">
          <w:rPr>
            <w:rStyle w:val="Hyperlink"/>
            <w:rFonts w:cs="Arial"/>
            <w:color w:val="auto"/>
            <w:lang w:val="hr-HR"/>
          </w:rPr>
          <w:t xml:space="preserve"> ostvarenih prihoda, primitaka i financiranja analitički po vrstama u ukupno ostvarenim prihodima 2022. godine</w:t>
        </w:r>
        <w:r w:rsidR="00C025DC" w:rsidRPr="00C5016E">
          <w:rPr>
            <w:webHidden/>
            <w:lang w:val="hr-HR"/>
          </w:rPr>
          <w:tab/>
        </w:r>
        <w:r w:rsidR="00C025DC" w:rsidRPr="00C5016E">
          <w:rPr>
            <w:webHidden/>
            <w:lang w:val="hr-HR"/>
          </w:rPr>
          <w:fldChar w:fldCharType="begin"/>
        </w:r>
        <w:r w:rsidR="00C025DC" w:rsidRPr="00C5016E">
          <w:rPr>
            <w:webHidden/>
            <w:lang w:val="hr-HR"/>
          </w:rPr>
          <w:instrText xml:space="preserve"> PAGEREF _Toc99939226 \h </w:instrText>
        </w:r>
        <w:r w:rsidR="00C025DC" w:rsidRPr="00C5016E">
          <w:rPr>
            <w:webHidden/>
            <w:lang w:val="hr-HR"/>
          </w:rPr>
        </w:r>
        <w:r w:rsidR="00C025DC" w:rsidRPr="00C5016E">
          <w:rPr>
            <w:webHidden/>
            <w:lang w:val="hr-HR"/>
          </w:rPr>
          <w:fldChar w:fldCharType="separate"/>
        </w:r>
        <w:r w:rsidR="0070505C" w:rsidRPr="00C5016E">
          <w:rPr>
            <w:noProof/>
            <w:webHidden/>
            <w:lang w:val="hr-HR"/>
          </w:rPr>
          <w:t>9</w:t>
        </w:r>
        <w:r w:rsidR="00C025DC" w:rsidRPr="00C5016E">
          <w:rPr>
            <w:webHidden/>
            <w:lang w:val="hr-HR"/>
          </w:rPr>
          <w:fldChar w:fldCharType="end"/>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27" w:history="1">
        <w:r w:rsidR="00EF4C3C" w:rsidRPr="00C5016E">
          <w:rPr>
            <w:rStyle w:val="Hyperlink"/>
            <w:rFonts w:cs="Arial"/>
            <w:b/>
            <w:color w:val="auto"/>
            <w:lang w:val="hr-HR"/>
          </w:rPr>
          <w:t>Tablica</w:t>
        </w:r>
        <w:r w:rsidR="00C025DC" w:rsidRPr="00C5016E">
          <w:rPr>
            <w:rStyle w:val="Hyperlink"/>
            <w:rFonts w:cs="Arial"/>
            <w:b/>
            <w:color w:val="auto"/>
            <w:lang w:val="hr-HR"/>
          </w:rPr>
          <w:t xml:space="preserve"> 3:</w:t>
        </w:r>
        <w:r w:rsidR="00C025DC" w:rsidRPr="00C5016E">
          <w:rPr>
            <w:rStyle w:val="Hyperlink"/>
            <w:rFonts w:cs="Arial"/>
            <w:color w:val="auto"/>
            <w:lang w:val="hr-HR"/>
          </w:rPr>
          <w:t xml:space="preserve"> Struktura ukupnih rashoda i izdataka planiranih Proračunom FBiH za 2022. i ostvarenih u 2021. i 2022.</w:t>
        </w:r>
        <w:r w:rsidR="00C025DC" w:rsidRPr="00C5016E">
          <w:rPr>
            <w:webHidden/>
            <w:lang w:val="hr-HR"/>
          </w:rPr>
          <w:tab/>
          <w:t>20</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28" w:history="1">
        <w:r w:rsidR="00EF4C3C" w:rsidRPr="00C5016E">
          <w:rPr>
            <w:rStyle w:val="Hyperlink"/>
            <w:rFonts w:cs="Arial"/>
            <w:b/>
            <w:color w:val="auto"/>
            <w:lang w:val="hr-HR"/>
          </w:rPr>
          <w:t>Tablica</w:t>
        </w:r>
        <w:r w:rsidR="00C025DC" w:rsidRPr="00C5016E">
          <w:rPr>
            <w:rStyle w:val="Hyperlink"/>
            <w:rFonts w:cs="Arial"/>
            <w:b/>
            <w:color w:val="auto"/>
            <w:lang w:val="hr-HR"/>
          </w:rPr>
          <w:t xml:space="preserve"> 4:</w:t>
        </w:r>
        <w:r w:rsidR="00C025DC" w:rsidRPr="00C5016E">
          <w:rPr>
            <w:rStyle w:val="Hyperlink"/>
            <w:rFonts w:cs="Arial"/>
            <w:color w:val="auto"/>
            <w:lang w:val="hr-HR"/>
          </w:rPr>
          <w:t xml:space="preserve"> Struktura u</w:t>
        </w:r>
        <w:r w:rsidR="00135659" w:rsidRPr="00C5016E">
          <w:rPr>
            <w:rStyle w:val="Hyperlink"/>
            <w:rFonts w:cs="Arial"/>
            <w:color w:val="auto"/>
            <w:lang w:val="hr-HR"/>
          </w:rPr>
          <w:t>djela</w:t>
        </w:r>
        <w:r w:rsidR="00C025DC" w:rsidRPr="00C5016E">
          <w:rPr>
            <w:rStyle w:val="Hyperlink"/>
            <w:rFonts w:cs="Arial"/>
            <w:color w:val="auto"/>
            <w:lang w:val="hr-HR"/>
          </w:rPr>
          <w:t xml:space="preserve"> pojedinačnih rashoda po funkcionalnoj klasifikaciji u odnosu na ukupne rashode Federacije BiH</w:t>
        </w:r>
        <w:r w:rsidR="00C025DC" w:rsidRPr="00C5016E">
          <w:rPr>
            <w:webHidden/>
            <w:lang w:val="hr-HR"/>
          </w:rPr>
          <w:tab/>
          <w:t>21</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29" w:history="1">
        <w:r w:rsidR="00EF4C3C" w:rsidRPr="00C5016E">
          <w:rPr>
            <w:rStyle w:val="Hyperlink"/>
            <w:rFonts w:cs="Arial"/>
            <w:b/>
            <w:color w:val="auto"/>
            <w:lang w:val="hr-HR"/>
          </w:rPr>
          <w:t>Tablica</w:t>
        </w:r>
        <w:r w:rsidR="00C025DC" w:rsidRPr="00C5016E">
          <w:rPr>
            <w:rStyle w:val="Hyperlink"/>
            <w:rFonts w:cs="Arial"/>
            <w:b/>
            <w:color w:val="auto"/>
            <w:lang w:val="hr-HR"/>
          </w:rPr>
          <w:t xml:space="preserve"> 5: </w:t>
        </w:r>
        <w:r w:rsidR="00C025DC" w:rsidRPr="00C5016E">
          <w:rPr>
            <w:rStyle w:val="Hyperlink"/>
            <w:rFonts w:cs="Arial"/>
            <w:color w:val="auto"/>
            <w:lang w:val="hr-HR"/>
          </w:rPr>
          <w:t>U</w:t>
        </w:r>
        <w:r w:rsidR="00135659" w:rsidRPr="00C5016E">
          <w:rPr>
            <w:rStyle w:val="Hyperlink"/>
            <w:rFonts w:cs="Arial"/>
            <w:color w:val="auto"/>
            <w:lang w:val="hr-HR"/>
          </w:rPr>
          <w:t>djel</w:t>
        </w:r>
        <w:r w:rsidR="00C025DC" w:rsidRPr="00C5016E">
          <w:rPr>
            <w:rStyle w:val="Hyperlink"/>
            <w:rFonts w:cs="Arial"/>
            <w:color w:val="auto"/>
            <w:lang w:val="hr-HR"/>
          </w:rPr>
          <w:t xml:space="preserve"> ostvarenih rashoda i izdataka analitički po vrstama u ukupno ostvarenim rashodima i izdacima 2022. godine</w:t>
        </w:r>
        <w:r w:rsidR="00C025DC" w:rsidRPr="00C5016E">
          <w:rPr>
            <w:webHidden/>
            <w:lang w:val="hr-HR"/>
          </w:rPr>
          <w:tab/>
          <w:t>21</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30" w:history="1">
        <w:r w:rsidR="00EF4C3C" w:rsidRPr="00C5016E">
          <w:rPr>
            <w:rStyle w:val="Hyperlink"/>
            <w:rFonts w:cs="Arial"/>
            <w:b/>
            <w:color w:val="auto"/>
            <w:lang w:val="hr-HR"/>
          </w:rPr>
          <w:t>Tablica</w:t>
        </w:r>
        <w:r w:rsidR="00C025DC" w:rsidRPr="00C5016E">
          <w:rPr>
            <w:rStyle w:val="Hyperlink"/>
            <w:rFonts w:cs="Arial"/>
            <w:b/>
            <w:color w:val="auto"/>
            <w:lang w:val="hr-HR"/>
          </w:rPr>
          <w:t xml:space="preserve"> 6:</w:t>
        </w:r>
        <w:r w:rsidR="00C025DC" w:rsidRPr="00C5016E">
          <w:rPr>
            <w:rStyle w:val="Hyperlink"/>
            <w:rFonts w:cs="Arial"/>
            <w:color w:val="auto"/>
            <w:lang w:val="hr-HR"/>
          </w:rPr>
          <w:t xml:space="preserve"> Struktura ukupnih tekućih rashoda</w:t>
        </w:r>
        <w:r w:rsidR="00C025DC" w:rsidRPr="00C5016E">
          <w:rPr>
            <w:webHidden/>
            <w:lang w:val="hr-HR"/>
          </w:rPr>
          <w:tab/>
          <w:t>22</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31" w:history="1">
        <w:r w:rsidR="00EF4C3C" w:rsidRPr="00C5016E">
          <w:rPr>
            <w:rStyle w:val="Hyperlink"/>
            <w:rFonts w:cs="Arial"/>
            <w:b/>
            <w:color w:val="auto"/>
            <w:lang w:val="hr-HR"/>
          </w:rPr>
          <w:t>Tablica</w:t>
        </w:r>
        <w:r w:rsidR="00C025DC" w:rsidRPr="00C5016E">
          <w:rPr>
            <w:rStyle w:val="Hyperlink"/>
            <w:rFonts w:cs="Arial"/>
            <w:b/>
            <w:color w:val="auto"/>
            <w:lang w:val="hr-HR"/>
          </w:rPr>
          <w:t xml:space="preserve"> 7:</w:t>
        </w:r>
        <w:r w:rsidR="00C025DC" w:rsidRPr="00C5016E">
          <w:rPr>
            <w:rStyle w:val="Hyperlink"/>
            <w:rFonts w:cs="Arial"/>
            <w:color w:val="auto"/>
            <w:lang w:val="hr-HR"/>
          </w:rPr>
          <w:t xml:space="preserve"> Stanje unut</w:t>
        </w:r>
        <w:r w:rsidR="00135659" w:rsidRPr="00C5016E">
          <w:rPr>
            <w:rStyle w:val="Hyperlink"/>
            <w:rFonts w:cs="Arial"/>
            <w:color w:val="auto"/>
            <w:lang w:val="hr-HR"/>
          </w:rPr>
          <w:t>ar</w:t>
        </w:r>
        <w:r w:rsidR="00C025DC" w:rsidRPr="00C5016E">
          <w:rPr>
            <w:rStyle w:val="Hyperlink"/>
            <w:rFonts w:cs="Arial"/>
            <w:color w:val="auto"/>
            <w:lang w:val="hr-HR"/>
          </w:rPr>
          <w:t>njeg duga Federacije BiH na dan 31.</w:t>
        </w:r>
        <w:r w:rsidR="00135659" w:rsidRPr="00C5016E">
          <w:rPr>
            <w:rStyle w:val="Hyperlink"/>
            <w:rFonts w:cs="Arial"/>
            <w:color w:val="auto"/>
            <w:lang w:val="hr-HR"/>
          </w:rPr>
          <w:t xml:space="preserve"> </w:t>
        </w:r>
        <w:r w:rsidR="00C025DC" w:rsidRPr="00C5016E">
          <w:rPr>
            <w:rStyle w:val="Hyperlink"/>
            <w:rFonts w:cs="Arial"/>
            <w:color w:val="auto"/>
            <w:lang w:val="hr-HR"/>
          </w:rPr>
          <w:t>12.</w:t>
        </w:r>
        <w:r w:rsidR="00135659" w:rsidRPr="00C5016E">
          <w:rPr>
            <w:rStyle w:val="Hyperlink"/>
            <w:rFonts w:cs="Arial"/>
            <w:color w:val="auto"/>
            <w:lang w:val="hr-HR"/>
          </w:rPr>
          <w:t xml:space="preserve"> </w:t>
        </w:r>
        <w:r w:rsidR="00C025DC" w:rsidRPr="00C5016E">
          <w:rPr>
            <w:rStyle w:val="Hyperlink"/>
            <w:rFonts w:cs="Arial"/>
            <w:color w:val="auto"/>
            <w:lang w:val="hr-HR"/>
          </w:rPr>
          <w:t>2022.</w:t>
        </w:r>
        <w:r w:rsidR="00C025DC" w:rsidRPr="00C5016E">
          <w:rPr>
            <w:webHidden/>
            <w:lang w:val="hr-HR"/>
          </w:rPr>
          <w:tab/>
          <w:t>31</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32" w:history="1">
        <w:r w:rsidR="00EF4C3C" w:rsidRPr="00C5016E">
          <w:rPr>
            <w:rStyle w:val="Hyperlink"/>
            <w:rFonts w:cs="Arial"/>
            <w:b/>
            <w:color w:val="auto"/>
            <w:lang w:val="hr-HR"/>
          </w:rPr>
          <w:t>Tablica</w:t>
        </w:r>
        <w:r w:rsidR="00C025DC" w:rsidRPr="00C5016E">
          <w:rPr>
            <w:rStyle w:val="Hyperlink"/>
            <w:rFonts w:cs="Arial"/>
            <w:b/>
            <w:color w:val="auto"/>
            <w:lang w:val="hr-HR"/>
          </w:rPr>
          <w:t xml:space="preserve"> 8:</w:t>
        </w:r>
        <w:r w:rsidR="00C025DC" w:rsidRPr="00C5016E">
          <w:rPr>
            <w:rStyle w:val="Hyperlink"/>
            <w:rFonts w:cs="Arial"/>
            <w:color w:val="auto"/>
            <w:lang w:val="hr-HR"/>
          </w:rPr>
          <w:t xml:space="preserve"> Emisije vrijednosnih papira u 2022. godini</w:t>
        </w:r>
        <w:r w:rsidR="00C025DC" w:rsidRPr="00C5016E">
          <w:rPr>
            <w:webHidden/>
            <w:lang w:val="hr-HR"/>
          </w:rPr>
          <w:tab/>
          <w:t>31</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33" w:history="1">
        <w:r w:rsidR="00EF4C3C" w:rsidRPr="00C5016E">
          <w:rPr>
            <w:rStyle w:val="Hyperlink"/>
            <w:rFonts w:cs="Arial"/>
            <w:b/>
            <w:color w:val="auto"/>
            <w:lang w:val="hr-HR"/>
          </w:rPr>
          <w:t>Tablica</w:t>
        </w:r>
        <w:r w:rsidR="00C025DC" w:rsidRPr="00C5016E">
          <w:rPr>
            <w:rStyle w:val="Hyperlink"/>
            <w:rFonts w:cs="Arial"/>
            <w:b/>
            <w:color w:val="auto"/>
            <w:lang w:val="hr-HR"/>
          </w:rPr>
          <w:t xml:space="preserve"> 9:</w:t>
        </w:r>
        <w:r w:rsidR="00C025DC" w:rsidRPr="00C5016E">
          <w:rPr>
            <w:rStyle w:val="Hyperlink"/>
            <w:rFonts w:cs="Arial"/>
            <w:color w:val="auto"/>
            <w:lang w:val="hr-HR"/>
          </w:rPr>
          <w:t xml:space="preserve"> Objašnjenja vezana za veća odstupanja između rashoda i izdataka odobrenih Proračunom FBiH za 2022. godinu i ostvarenih u 2022. godini</w:t>
        </w:r>
        <w:r w:rsidR="00C025DC" w:rsidRPr="00C5016E">
          <w:rPr>
            <w:webHidden/>
            <w:lang w:val="hr-HR"/>
          </w:rPr>
          <w:tab/>
          <w:t>40</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34" w:history="1">
        <w:r w:rsidR="00EF4C3C" w:rsidRPr="00C5016E">
          <w:rPr>
            <w:rStyle w:val="Hyperlink"/>
            <w:b/>
            <w:color w:val="auto"/>
            <w:lang w:val="hr-HR"/>
          </w:rPr>
          <w:t>Tablica</w:t>
        </w:r>
        <w:r w:rsidR="00C025DC" w:rsidRPr="00C5016E">
          <w:rPr>
            <w:rStyle w:val="Hyperlink"/>
            <w:b/>
            <w:color w:val="auto"/>
            <w:lang w:val="hr-HR"/>
          </w:rPr>
          <w:t xml:space="preserve"> 10: </w:t>
        </w:r>
        <w:r w:rsidR="00C025DC" w:rsidRPr="00C5016E">
          <w:rPr>
            <w:rStyle w:val="Hyperlink"/>
            <w:rFonts w:cs="Arial"/>
            <w:color w:val="auto"/>
            <w:lang w:val="hr-HR"/>
          </w:rPr>
          <w:t>Stanje novčanih sredstava na dan 31.</w:t>
        </w:r>
        <w:r w:rsidR="00135659" w:rsidRPr="00C5016E">
          <w:rPr>
            <w:rStyle w:val="Hyperlink"/>
            <w:rFonts w:cs="Arial"/>
            <w:color w:val="auto"/>
            <w:lang w:val="hr-HR"/>
          </w:rPr>
          <w:t xml:space="preserve"> </w:t>
        </w:r>
        <w:r w:rsidR="00C025DC" w:rsidRPr="00C5016E">
          <w:rPr>
            <w:rStyle w:val="Hyperlink"/>
            <w:rFonts w:cs="Arial"/>
            <w:color w:val="auto"/>
            <w:lang w:val="hr-HR"/>
          </w:rPr>
          <w:t>12.</w:t>
        </w:r>
        <w:r w:rsidR="00135659" w:rsidRPr="00C5016E">
          <w:rPr>
            <w:rStyle w:val="Hyperlink"/>
            <w:rFonts w:cs="Arial"/>
            <w:color w:val="auto"/>
            <w:lang w:val="hr-HR"/>
          </w:rPr>
          <w:t xml:space="preserve"> </w:t>
        </w:r>
        <w:r w:rsidR="00C025DC" w:rsidRPr="00C5016E">
          <w:rPr>
            <w:rStyle w:val="Hyperlink"/>
            <w:rFonts w:cs="Arial"/>
            <w:color w:val="auto"/>
            <w:lang w:val="hr-HR"/>
          </w:rPr>
          <w:t>2022. na transakcijskim računima</w:t>
        </w:r>
        <w:r w:rsidR="00C025DC" w:rsidRPr="00C5016E">
          <w:rPr>
            <w:webHidden/>
            <w:lang w:val="hr-HR"/>
          </w:rPr>
          <w:tab/>
          <w:t>42</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35" w:history="1">
        <w:r w:rsidR="00EF4C3C" w:rsidRPr="00C5016E">
          <w:rPr>
            <w:rStyle w:val="Hyperlink"/>
            <w:b/>
            <w:color w:val="auto"/>
            <w:lang w:val="hr-HR"/>
          </w:rPr>
          <w:t>Tablica</w:t>
        </w:r>
        <w:r w:rsidR="00C025DC" w:rsidRPr="00C5016E">
          <w:rPr>
            <w:rStyle w:val="Hyperlink"/>
            <w:b/>
            <w:color w:val="auto"/>
            <w:lang w:val="hr-HR"/>
          </w:rPr>
          <w:t xml:space="preserve"> 11: </w:t>
        </w:r>
        <w:r w:rsidR="00C025DC" w:rsidRPr="00C5016E">
          <w:rPr>
            <w:rStyle w:val="Hyperlink"/>
            <w:color w:val="auto"/>
            <w:lang w:val="hr-HR"/>
          </w:rPr>
          <w:t>Stanje novčanih sredstava na dan 31.</w:t>
        </w:r>
        <w:r w:rsidR="00135659" w:rsidRPr="00C5016E">
          <w:rPr>
            <w:rStyle w:val="Hyperlink"/>
            <w:color w:val="auto"/>
            <w:lang w:val="hr-HR"/>
          </w:rPr>
          <w:t xml:space="preserve"> </w:t>
        </w:r>
        <w:r w:rsidR="00C025DC" w:rsidRPr="00C5016E">
          <w:rPr>
            <w:rStyle w:val="Hyperlink"/>
            <w:color w:val="auto"/>
            <w:lang w:val="hr-HR"/>
          </w:rPr>
          <w:t>12.</w:t>
        </w:r>
        <w:r w:rsidR="00135659" w:rsidRPr="00C5016E">
          <w:rPr>
            <w:rStyle w:val="Hyperlink"/>
            <w:color w:val="auto"/>
            <w:lang w:val="hr-HR"/>
          </w:rPr>
          <w:t xml:space="preserve"> 2022.</w:t>
        </w:r>
        <w:r w:rsidR="00C025DC" w:rsidRPr="00C5016E">
          <w:rPr>
            <w:rStyle w:val="Hyperlink"/>
            <w:color w:val="auto"/>
            <w:lang w:val="hr-HR"/>
          </w:rPr>
          <w:t xml:space="preserve"> na posebnim namjenskim transakcijskim računima otvorenim u okviru JR</w:t>
        </w:r>
        <w:r w:rsidR="00135659" w:rsidRPr="00C5016E">
          <w:rPr>
            <w:rStyle w:val="Hyperlink"/>
            <w:color w:val="auto"/>
            <w:lang w:val="hr-HR"/>
          </w:rPr>
          <w:t>R</w:t>
        </w:r>
        <w:r w:rsidR="00C025DC" w:rsidRPr="00C5016E">
          <w:rPr>
            <w:rStyle w:val="Hyperlink"/>
            <w:color w:val="auto"/>
            <w:lang w:val="hr-HR"/>
          </w:rPr>
          <w:t>-a</w:t>
        </w:r>
        <w:r w:rsidR="00C025DC" w:rsidRPr="00C5016E">
          <w:rPr>
            <w:webHidden/>
            <w:lang w:val="hr-HR"/>
          </w:rPr>
          <w:tab/>
          <w:t>43</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36" w:history="1">
        <w:r w:rsidR="00EF4C3C" w:rsidRPr="00C5016E">
          <w:rPr>
            <w:rStyle w:val="Hyperlink"/>
            <w:rFonts w:cs="Arial"/>
            <w:b/>
            <w:color w:val="auto"/>
            <w:lang w:val="hr-HR"/>
          </w:rPr>
          <w:t>Tablica</w:t>
        </w:r>
        <w:r w:rsidR="00C025DC" w:rsidRPr="00C5016E">
          <w:rPr>
            <w:rStyle w:val="Hyperlink"/>
            <w:rFonts w:cs="Arial"/>
            <w:b/>
            <w:color w:val="auto"/>
            <w:lang w:val="hr-HR"/>
          </w:rPr>
          <w:t xml:space="preserve"> 12:</w:t>
        </w:r>
        <w:r w:rsidR="00C025DC" w:rsidRPr="00C5016E">
          <w:rPr>
            <w:rStyle w:val="Hyperlink"/>
            <w:rFonts w:cs="Arial"/>
            <w:color w:val="auto"/>
            <w:lang w:val="hr-HR"/>
          </w:rPr>
          <w:t xml:space="preserve"> Stanje novčanih sredstava na dan 31.</w:t>
        </w:r>
        <w:r w:rsidR="00135659" w:rsidRPr="00C5016E">
          <w:rPr>
            <w:rStyle w:val="Hyperlink"/>
            <w:rFonts w:cs="Arial"/>
            <w:color w:val="auto"/>
            <w:lang w:val="hr-HR"/>
          </w:rPr>
          <w:t xml:space="preserve"> </w:t>
        </w:r>
        <w:r w:rsidR="00C025DC" w:rsidRPr="00C5016E">
          <w:rPr>
            <w:rStyle w:val="Hyperlink"/>
            <w:rFonts w:cs="Arial"/>
            <w:color w:val="auto"/>
            <w:lang w:val="hr-HR"/>
          </w:rPr>
          <w:t>12.</w:t>
        </w:r>
        <w:r w:rsidR="00135659" w:rsidRPr="00C5016E">
          <w:rPr>
            <w:rStyle w:val="Hyperlink"/>
            <w:rFonts w:cs="Arial"/>
            <w:color w:val="auto"/>
            <w:lang w:val="hr-HR"/>
          </w:rPr>
          <w:t xml:space="preserve"> </w:t>
        </w:r>
        <w:r w:rsidR="00C025DC" w:rsidRPr="00C5016E">
          <w:rPr>
            <w:rStyle w:val="Hyperlink"/>
            <w:rFonts w:cs="Arial"/>
            <w:color w:val="auto"/>
            <w:lang w:val="hr-HR"/>
          </w:rPr>
          <w:t>2022. na donatorskim transakcijskim računima otvorenim u okviru JR</w:t>
        </w:r>
        <w:r w:rsidR="00135659" w:rsidRPr="00C5016E">
          <w:rPr>
            <w:rStyle w:val="Hyperlink"/>
            <w:rFonts w:cs="Arial"/>
            <w:color w:val="auto"/>
            <w:lang w:val="hr-HR"/>
          </w:rPr>
          <w:t>R</w:t>
        </w:r>
        <w:r w:rsidR="00C025DC" w:rsidRPr="00C5016E">
          <w:rPr>
            <w:rStyle w:val="Hyperlink"/>
            <w:rFonts w:cs="Arial"/>
            <w:color w:val="auto"/>
            <w:lang w:val="hr-HR"/>
          </w:rPr>
          <w:t>-a</w:t>
        </w:r>
        <w:r w:rsidR="00C025DC" w:rsidRPr="00C5016E">
          <w:rPr>
            <w:webHidden/>
            <w:lang w:val="hr-HR"/>
          </w:rPr>
          <w:tab/>
          <w:t>45</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37" w:history="1">
        <w:r w:rsidR="00EF4C3C" w:rsidRPr="00C5016E">
          <w:rPr>
            <w:rStyle w:val="Hyperlink"/>
            <w:rFonts w:cs="Arial"/>
            <w:b/>
            <w:color w:val="auto"/>
            <w:lang w:val="hr-HR"/>
          </w:rPr>
          <w:t>Tablica</w:t>
        </w:r>
        <w:r w:rsidR="00C025DC" w:rsidRPr="00C5016E">
          <w:rPr>
            <w:rStyle w:val="Hyperlink"/>
            <w:rFonts w:cs="Arial"/>
            <w:b/>
            <w:color w:val="auto"/>
            <w:lang w:val="hr-HR"/>
          </w:rPr>
          <w:t xml:space="preserve"> 13:</w:t>
        </w:r>
        <w:r w:rsidR="00C025DC" w:rsidRPr="00C5016E">
          <w:rPr>
            <w:rStyle w:val="Hyperlink"/>
            <w:rFonts w:cs="Arial"/>
            <w:color w:val="auto"/>
            <w:lang w:val="hr-HR"/>
          </w:rPr>
          <w:t xml:space="preserve"> Izračun financijskog rezultata</w:t>
        </w:r>
        <w:r w:rsidR="00C025DC" w:rsidRPr="00C5016E">
          <w:rPr>
            <w:webHidden/>
            <w:lang w:val="hr-HR"/>
          </w:rPr>
          <w:tab/>
          <w:t>50</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39238" w:history="1">
        <w:r w:rsidR="00EF4C3C" w:rsidRPr="00C5016E">
          <w:rPr>
            <w:rStyle w:val="Hyperlink"/>
            <w:rFonts w:cs="Arial"/>
            <w:b/>
            <w:color w:val="auto"/>
            <w:lang w:val="hr-HR"/>
          </w:rPr>
          <w:t>Tablica</w:t>
        </w:r>
        <w:r w:rsidR="00C025DC" w:rsidRPr="00C5016E">
          <w:rPr>
            <w:rStyle w:val="Hyperlink"/>
            <w:rFonts w:cs="Arial"/>
            <w:b/>
            <w:color w:val="auto"/>
            <w:lang w:val="hr-HR"/>
          </w:rPr>
          <w:t xml:space="preserve"> 14:</w:t>
        </w:r>
        <w:r w:rsidR="00C025DC" w:rsidRPr="00C5016E">
          <w:rPr>
            <w:rStyle w:val="Hyperlink"/>
            <w:rFonts w:cs="Arial"/>
            <w:color w:val="auto"/>
            <w:lang w:val="hr-HR"/>
          </w:rPr>
          <w:t xml:space="preserve"> </w:t>
        </w:r>
        <w:r w:rsidR="00C025DC" w:rsidRPr="00C5016E">
          <w:rPr>
            <w:rStyle w:val="Hyperlink"/>
            <w:rFonts w:cs="Arial"/>
            <w:color w:val="auto"/>
            <w:lang w:val="hr-HR" w:eastAsia="bs-Latn-BA"/>
          </w:rPr>
          <w:t>Odnos ostvarenih prihoda i rashoda po mjesecima 2022. godine</w:t>
        </w:r>
        <w:r w:rsidR="00C025DC" w:rsidRPr="00C5016E">
          <w:rPr>
            <w:webHidden/>
            <w:lang w:val="hr-HR"/>
          </w:rPr>
          <w:tab/>
          <w:t>51</w:t>
        </w:r>
      </w:hyperlink>
    </w:p>
    <w:p w:rsidR="00C025DC" w:rsidRPr="00C5016E" w:rsidRDefault="00C025DC" w:rsidP="00C025DC">
      <w:r w:rsidRPr="00C5016E">
        <w:fldChar w:fldCharType="end"/>
      </w:r>
    </w:p>
    <w:p w:rsidR="00C025DC" w:rsidRPr="00C5016E" w:rsidRDefault="00C025DC" w:rsidP="00C025DC"/>
    <w:p w:rsidR="00C025DC" w:rsidRPr="00C5016E" w:rsidRDefault="00C025DC" w:rsidP="00C025DC"/>
    <w:p w:rsidR="00C025DC" w:rsidRPr="00C5016E" w:rsidRDefault="00C025DC" w:rsidP="00C025DC"/>
    <w:p w:rsidR="00C025DC" w:rsidRPr="00C5016E" w:rsidRDefault="00C025DC" w:rsidP="00C025DC">
      <w:pPr>
        <w:pStyle w:val="Heading1"/>
        <w:numPr>
          <w:ilvl w:val="0"/>
          <w:numId w:val="0"/>
        </w:numPr>
        <w:ind w:left="432" w:hanging="432"/>
        <w:rPr>
          <w:rFonts w:ascii="Arial" w:hAnsi="Arial" w:cs="Arial"/>
          <w:lang w:val="hr-HR"/>
        </w:rPr>
      </w:pPr>
      <w:bookmarkStart w:id="101" w:name="_Toc131505233"/>
      <w:r w:rsidRPr="00C5016E">
        <w:rPr>
          <w:rFonts w:ascii="Arial" w:hAnsi="Arial" w:cs="Arial"/>
          <w:lang w:val="hr-HR"/>
        </w:rPr>
        <w:lastRenderedPageBreak/>
        <w:t>POPIS GRAFIKONA</w:t>
      </w:r>
      <w:bookmarkEnd w:id="101"/>
      <w:r w:rsidRPr="00C5016E">
        <w:rPr>
          <w:rFonts w:ascii="Arial" w:hAnsi="Arial" w:cs="Arial"/>
          <w:lang w:val="hr-HR"/>
        </w:rPr>
        <w:t xml:space="preserve"> </w:t>
      </w:r>
    </w:p>
    <w:p w:rsidR="00C025DC" w:rsidRPr="00C5016E" w:rsidRDefault="00C025DC" w:rsidP="00C025DC">
      <w:pPr>
        <w:pStyle w:val="TableofFigures"/>
        <w:tabs>
          <w:tab w:val="right" w:leader="dot" w:pos="8827"/>
        </w:tabs>
        <w:rPr>
          <w:rFonts w:asciiTheme="minorHAnsi" w:eastAsiaTheme="minorEastAsia" w:hAnsiTheme="minorHAnsi" w:cstheme="minorBidi"/>
          <w:sz w:val="22"/>
          <w:lang w:val="hr-HR"/>
        </w:rPr>
      </w:pPr>
      <w:r w:rsidRPr="00C5016E">
        <w:rPr>
          <w:lang w:val="hr-HR"/>
        </w:rPr>
        <w:fldChar w:fldCharType="begin"/>
      </w:r>
      <w:r w:rsidRPr="00C5016E">
        <w:rPr>
          <w:lang w:val="hr-HR"/>
        </w:rPr>
        <w:instrText xml:space="preserve"> TOC \h \z \c "Grafikon" </w:instrText>
      </w:r>
      <w:r w:rsidRPr="00C5016E">
        <w:rPr>
          <w:lang w:val="hr-HR"/>
        </w:rPr>
        <w:fldChar w:fldCharType="separate"/>
      </w:r>
      <w:hyperlink w:anchor="_Toc99940816" w:history="1">
        <w:r w:rsidRPr="00C5016E">
          <w:rPr>
            <w:rStyle w:val="Hyperlink"/>
            <w:rFonts w:cs="Arial"/>
            <w:b/>
            <w:color w:val="auto"/>
            <w:lang w:val="hr-HR"/>
          </w:rPr>
          <w:t xml:space="preserve">Grafikon 1: </w:t>
        </w:r>
        <w:r w:rsidRPr="00C5016E">
          <w:rPr>
            <w:rStyle w:val="Hyperlink"/>
            <w:rFonts w:cs="Arial"/>
            <w:color w:val="auto"/>
            <w:lang w:val="hr-HR"/>
          </w:rPr>
          <w:t>Ukupni prihodi, primici i financiranje planirani Proračunom FBiH za 2022. i ostvareni u 2021. i 2022.</w:t>
        </w:r>
        <w:r w:rsidRPr="00C5016E">
          <w:rPr>
            <w:webHidden/>
            <w:lang w:val="hr-HR"/>
          </w:rPr>
          <w:tab/>
        </w:r>
        <w:r w:rsidRPr="00C5016E">
          <w:rPr>
            <w:webHidden/>
            <w:lang w:val="hr-HR"/>
          </w:rPr>
          <w:fldChar w:fldCharType="begin"/>
        </w:r>
        <w:r w:rsidRPr="00C5016E">
          <w:rPr>
            <w:webHidden/>
            <w:lang w:val="hr-HR"/>
          </w:rPr>
          <w:instrText xml:space="preserve"> PAGEREF _Toc99940816 \h </w:instrText>
        </w:r>
        <w:r w:rsidRPr="00C5016E">
          <w:rPr>
            <w:webHidden/>
            <w:lang w:val="hr-HR"/>
          </w:rPr>
        </w:r>
        <w:r w:rsidRPr="00C5016E">
          <w:rPr>
            <w:webHidden/>
            <w:lang w:val="hr-HR"/>
          </w:rPr>
          <w:fldChar w:fldCharType="separate"/>
        </w:r>
        <w:r w:rsidR="0070505C" w:rsidRPr="00C5016E">
          <w:rPr>
            <w:noProof/>
            <w:webHidden/>
            <w:lang w:val="hr-HR"/>
          </w:rPr>
          <w:t>7</w:t>
        </w:r>
        <w:r w:rsidRPr="00C5016E">
          <w:rPr>
            <w:webHidden/>
            <w:lang w:val="hr-HR"/>
          </w:rPr>
          <w:fldChar w:fldCharType="end"/>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40817" w:history="1">
        <w:r w:rsidR="00C025DC" w:rsidRPr="00C5016E">
          <w:rPr>
            <w:rStyle w:val="Hyperlink"/>
            <w:rFonts w:cs="Arial"/>
            <w:b/>
            <w:color w:val="auto"/>
            <w:lang w:val="hr-HR"/>
          </w:rPr>
          <w:t>Grafikon 2:</w:t>
        </w:r>
        <w:r w:rsidR="00C025DC" w:rsidRPr="00C5016E">
          <w:rPr>
            <w:rStyle w:val="Hyperlink"/>
            <w:rFonts w:cs="Arial"/>
            <w:color w:val="auto"/>
            <w:lang w:val="hr-HR"/>
          </w:rPr>
          <w:t xml:space="preserve"> Grafički prikaz u</w:t>
        </w:r>
        <w:r w:rsidR="00135659" w:rsidRPr="00C5016E">
          <w:rPr>
            <w:rStyle w:val="Hyperlink"/>
            <w:rFonts w:cs="Arial"/>
            <w:color w:val="auto"/>
            <w:lang w:val="hr-HR"/>
          </w:rPr>
          <w:t>djela</w:t>
        </w:r>
        <w:r w:rsidR="00C025DC" w:rsidRPr="00C5016E">
          <w:rPr>
            <w:rStyle w:val="Hyperlink"/>
            <w:rFonts w:cs="Arial"/>
            <w:color w:val="auto"/>
            <w:lang w:val="hr-HR"/>
          </w:rPr>
          <w:t xml:space="preserve"> ostvarenih prihoda, primitaka i financiranja analitički po vrstama u ukupno ostvarenim prihodima 2022. godine.</w:t>
        </w:r>
        <w:r w:rsidR="00C025DC" w:rsidRPr="00C5016E">
          <w:rPr>
            <w:webHidden/>
            <w:lang w:val="hr-HR"/>
          </w:rPr>
          <w:tab/>
          <w:t>10</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40818" w:history="1">
        <w:r w:rsidR="00C025DC" w:rsidRPr="00C5016E">
          <w:rPr>
            <w:rStyle w:val="Hyperlink"/>
            <w:b/>
            <w:color w:val="auto"/>
            <w:lang w:val="hr-HR"/>
          </w:rPr>
          <w:t xml:space="preserve">Grafikon 3: </w:t>
        </w:r>
        <w:r w:rsidR="00C025DC" w:rsidRPr="00C5016E">
          <w:rPr>
            <w:rStyle w:val="Hyperlink"/>
            <w:color w:val="auto"/>
            <w:lang w:val="hr-HR"/>
          </w:rPr>
          <w:t>Struktura poreznih prihoda</w:t>
        </w:r>
        <w:r w:rsidR="00C025DC" w:rsidRPr="00C5016E">
          <w:rPr>
            <w:webHidden/>
            <w:lang w:val="hr-HR"/>
          </w:rPr>
          <w:tab/>
          <w:t>10</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40819" w:history="1">
        <w:r w:rsidR="00C025DC" w:rsidRPr="00C5016E">
          <w:rPr>
            <w:rStyle w:val="Hyperlink"/>
            <w:rFonts w:cs="Arial"/>
            <w:b/>
            <w:color w:val="auto"/>
            <w:lang w:val="hr-HR"/>
          </w:rPr>
          <w:t>Grafikon 4:</w:t>
        </w:r>
        <w:r w:rsidR="00C025DC" w:rsidRPr="00C5016E">
          <w:rPr>
            <w:rStyle w:val="Hyperlink"/>
            <w:rFonts w:cs="Arial"/>
            <w:color w:val="auto"/>
            <w:lang w:val="hr-HR"/>
          </w:rPr>
          <w:t xml:space="preserve"> Kretanje doprinosa za PIO/MIO u 2021. i 2022. godini</w:t>
        </w:r>
        <w:r w:rsidR="00C025DC" w:rsidRPr="00C5016E">
          <w:rPr>
            <w:webHidden/>
            <w:lang w:val="hr-HR"/>
          </w:rPr>
          <w:tab/>
          <w:t>11</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40820" w:history="1">
        <w:r w:rsidR="00C025DC" w:rsidRPr="00C5016E">
          <w:rPr>
            <w:rStyle w:val="Hyperlink"/>
            <w:rFonts w:cs="Arial"/>
            <w:b/>
            <w:color w:val="auto"/>
            <w:lang w:val="hr-HR"/>
          </w:rPr>
          <w:t>Grafikon 5:</w:t>
        </w:r>
        <w:r w:rsidR="00C025DC" w:rsidRPr="00C5016E">
          <w:rPr>
            <w:rStyle w:val="Hyperlink"/>
            <w:rFonts w:cs="Arial"/>
            <w:color w:val="auto"/>
            <w:lang w:val="hr-HR"/>
          </w:rPr>
          <w:t xml:space="preserve"> Ostvareni prihodi od neizravnih poreza koji pripadaju Federaciji BiH za </w:t>
        </w:r>
        <w:r w:rsidR="00135659" w:rsidRPr="00C5016E">
          <w:rPr>
            <w:rStyle w:val="Hyperlink"/>
            <w:rFonts w:cs="Arial"/>
            <w:color w:val="auto"/>
            <w:lang w:val="hr-HR"/>
          </w:rPr>
          <w:t>razdoblje siječanj - prosinac</w:t>
        </w:r>
        <w:r w:rsidR="00C025DC" w:rsidRPr="00C5016E">
          <w:rPr>
            <w:rStyle w:val="Hyperlink"/>
            <w:rFonts w:cs="Arial"/>
            <w:color w:val="auto"/>
            <w:lang w:val="hr-HR"/>
          </w:rPr>
          <w:t xml:space="preserve"> 2021. i 2022. godine</w:t>
        </w:r>
        <w:r w:rsidR="00C025DC" w:rsidRPr="00C5016E">
          <w:rPr>
            <w:webHidden/>
            <w:lang w:val="hr-HR"/>
          </w:rPr>
          <w:tab/>
          <w:t>12</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40821" w:history="1">
        <w:r w:rsidR="00C025DC" w:rsidRPr="00C5016E">
          <w:rPr>
            <w:rStyle w:val="Hyperlink"/>
            <w:rFonts w:cs="Arial"/>
            <w:b/>
            <w:color w:val="auto"/>
            <w:lang w:val="hr-HR"/>
          </w:rPr>
          <w:t>Grafikon 6:</w:t>
        </w:r>
        <w:r w:rsidR="00C025DC" w:rsidRPr="00C5016E">
          <w:rPr>
            <w:rStyle w:val="Hyperlink"/>
            <w:rFonts w:cs="Arial"/>
            <w:color w:val="auto"/>
            <w:lang w:val="hr-HR"/>
          </w:rPr>
          <w:t xml:space="preserve"> Struktura neporeznih prihoda</w:t>
        </w:r>
        <w:r w:rsidR="00C025DC" w:rsidRPr="00C5016E">
          <w:rPr>
            <w:webHidden/>
            <w:lang w:val="hr-HR"/>
          </w:rPr>
          <w:tab/>
          <w:t>14</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40822" w:history="1">
        <w:r w:rsidR="00C025DC" w:rsidRPr="00C5016E">
          <w:rPr>
            <w:rStyle w:val="Hyperlink"/>
            <w:rFonts w:cs="Arial"/>
            <w:b/>
            <w:color w:val="auto"/>
            <w:lang w:val="hr-HR"/>
          </w:rPr>
          <w:t xml:space="preserve">Grafikon 7: </w:t>
        </w:r>
        <w:r w:rsidR="00C025DC" w:rsidRPr="00C5016E">
          <w:rPr>
            <w:rStyle w:val="Hyperlink"/>
            <w:rFonts w:cs="Arial"/>
            <w:color w:val="auto"/>
            <w:lang w:val="hr-HR"/>
          </w:rPr>
          <w:t>Ukupni rashodi i izdaci planirani Proračunom FBiH za 2022. i ostvareni u 2021. i 2022.</w:t>
        </w:r>
        <w:r w:rsidR="00C025DC" w:rsidRPr="00C5016E">
          <w:rPr>
            <w:webHidden/>
            <w:lang w:val="hr-HR"/>
          </w:rPr>
          <w:tab/>
          <w:t>19</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40823" w:history="1">
        <w:r w:rsidR="00C025DC" w:rsidRPr="00C5016E">
          <w:rPr>
            <w:rStyle w:val="Hyperlink"/>
            <w:rFonts w:cs="Arial"/>
            <w:b/>
            <w:color w:val="auto"/>
            <w:lang w:val="hr-HR"/>
          </w:rPr>
          <w:t>Grafikon 8:</w:t>
        </w:r>
        <w:r w:rsidR="00C025DC" w:rsidRPr="00C5016E">
          <w:rPr>
            <w:rStyle w:val="Hyperlink"/>
            <w:rFonts w:cs="Arial"/>
            <w:color w:val="auto"/>
            <w:lang w:val="hr-HR"/>
          </w:rPr>
          <w:t xml:space="preserve"> U</w:t>
        </w:r>
        <w:r w:rsidR="00135659" w:rsidRPr="00C5016E">
          <w:rPr>
            <w:rStyle w:val="Hyperlink"/>
            <w:rFonts w:cs="Arial"/>
            <w:color w:val="auto"/>
            <w:lang w:val="hr-HR"/>
          </w:rPr>
          <w:t>djel</w:t>
        </w:r>
        <w:r w:rsidR="00C025DC" w:rsidRPr="00C5016E">
          <w:rPr>
            <w:rStyle w:val="Hyperlink"/>
            <w:rFonts w:cs="Arial"/>
            <w:color w:val="auto"/>
            <w:lang w:val="hr-HR"/>
          </w:rPr>
          <w:t xml:space="preserve"> pojedinačnih rashoda i izdataka u ukupnim rashodima u 2022. godini</w:t>
        </w:r>
        <w:r w:rsidR="00C025DC" w:rsidRPr="00C5016E">
          <w:rPr>
            <w:webHidden/>
            <w:lang w:val="hr-HR"/>
          </w:rPr>
          <w:tab/>
          <w:t>22</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40824" w:history="1">
        <w:r w:rsidR="00C025DC" w:rsidRPr="00C5016E">
          <w:rPr>
            <w:rStyle w:val="Hyperlink"/>
            <w:rFonts w:cs="Arial"/>
            <w:b/>
            <w:color w:val="auto"/>
            <w:lang w:val="hr-HR"/>
          </w:rPr>
          <w:t>Grafikon 9:</w:t>
        </w:r>
        <w:r w:rsidR="00C025DC" w:rsidRPr="00C5016E">
          <w:rPr>
            <w:rStyle w:val="Hyperlink"/>
            <w:rFonts w:cs="Arial"/>
            <w:color w:val="auto"/>
            <w:lang w:val="hr-HR"/>
          </w:rPr>
          <w:t xml:space="preserve"> Struktura ukupnih tekućih rashoda</w:t>
        </w:r>
        <w:r w:rsidR="00C025DC" w:rsidRPr="00C5016E">
          <w:rPr>
            <w:webHidden/>
            <w:lang w:val="hr-HR"/>
          </w:rPr>
          <w:tab/>
          <w:t>23</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40825" w:history="1">
        <w:r w:rsidR="00C025DC" w:rsidRPr="00C5016E">
          <w:rPr>
            <w:rStyle w:val="Hyperlink"/>
            <w:rFonts w:cs="Arial"/>
            <w:b/>
            <w:color w:val="auto"/>
            <w:lang w:val="hr-HR"/>
          </w:rPr>
          <w:t>Grafikon 10:</w:t>
        </w:r>
        <w:r w:rsidR="00C025DC" w:rsidRPr="00C5016E">
          <w:rPr>
            <w:rStyle w:val="Hyperlink"/>
            <w:rFonts w:cs="Arial"/>
            <w:color w:val="auto"/>
            <w:lang w:val="hr-HR"/>
          </w:rPr>
          <w:t xml:space="preserve"> Struktura kapitalnih izdataka</w:t>
        </w:r>
        <w:r w:rsidR="00C025DC" w:rsidRPr="00C5016E">
          <w:rPr>
            <w:webHidden/>
            <w:lang w:val="hr-HR"/>
          </w:rPr>
          <w:tab/>
          <w:t>29</w:t>
        </w:r>
      </w:hyperlink>
    </w:p>
    <w:p w:rsidR="00C025DC" w:rsidRPr="00C5016E" w:rsidRDefault="00441739" w:rsidP="00C025DC">
      <w:pPr>
        <w:pStyle w:val="TableofFigures"/>
        <w:tabs>
          <w:tab w:val="right" w:leader="dot" w:pos="8827"/>
        </w:tabs>
        <w:rPr>
          <w:rFonts w:asciiTheme="minorHAnsi" w:eastAsiaTheme="minorEastAsia" w:hAnsiTheme="minorHAnsi" w:cstheme="minorBidi"/>
          <w:sz w:val="22"/>
          <w:lang w:val="hr-HR"/>
        </w:rPr>
      </w:pPr>
      <w:hyperlink w:anchor="_Toc99940826" w:history="1">
        <w:r w:rsidR="00C025DC" w:rsidRPr="00C5016E">
          <w:rPr>
            <w:rStyle w:val="Hyperlink"/>
            <w:rFonts w:cs="Arial"/>
            <w:b/>
            <w:color w:val="auto"/>
            <w:lang w:val="hr-HR"/>
          </w:rPr>
          <w:t>Grafikon 11:</w:t>
        </w:r>
        <w:r w:rsidR="00C025DC" w:rsidRPr="00C5016E">
          <w:rPr>
            <w:rStyle w:val="Hyperlink"/>
            <w:rFonts w:cs="Arial"/>
            <w:color w:val="auto"/>
            <w:lang w:val="hr-HR"/>
          </w:rPr>
          <w:t xml:space="preserve"> Grafički prikaz odnosa </w:t>
        </w:r>
        <w:r w:rsidR="00C025DC" w:rsidRPr="00C5016E">
          <w:rPr>
            <w:rStyle w:val="Hyperlink"/>
            <w:rFonts w:cs="Arial"/>
            <w:color w:val="auto"/>
            <w:lang w:val="hr-HR" w:eastAsia="bs-Latn-BA"/>
          </w:rPr>
          <w:t>ostvarenih prihoda i rashoda po mjesecima  2022. godine</w:t>
        </w:r>
        <w:r w:rsidR="00C025DC" w:rsidRPr="00C5016E">
          <w:rPr>
            <w:webHidden/>
            <w:lang w:val="hr-HR"/>
          </w:rPr>
          <w:tab/>
          <w:t>51</w:t>
        </w:r>
      </w:hyperlink>
    </w:p>
    <w:p w:rsidR="00C025DC" w:rsidRPr="00C5016E" w:rsidRDefault="00C025DC" w:rsidP="00C025DC">
      <w:pPr>
        <w:pStyle w:val="TableofFigures"/>
        <w:tabs>
          <w:tab w:val="right" w:leader="dot" w:pos="8827"/>
        </w:tabs>
        <w:rPr>
          <w:lang w:val="hr-HR"/>
        </w:rPr>
      </w:pPr>
      <w:r w:rsidRPr="00C5016E">
        <w:rPr>
          <w:lang w:val="hr-HR"/>
        </w:rPr>
        <w:fldChar w:fldCharType="end"/>
      </w:r>
    </w:p>
    <w:p w:rsidR="00C025DC" w:rsidRPr="00C5016E" w:rsidRDefault="00C025DC" w:rsidP="00C025DC"/>
    <w:p w:rsidR="00C025DC" w:rsidRPr="00C5016E" w:rsidRDefault="00C025DC" w:rsidP="00C025DC"/>
    <w:p w:rsidR="00C025DC" w:rsidRPr="00C5016E" w:rsidRDefault="00C025DC" w:rsidP="00C025DC"/>
    <w:p w:rsidR="00C025DC" w:rsidRPr="00C5016E" w:rsidRDefault="00C025DC" w:rsidP="00C025DC"/>
    <w:p w:rsidR="00C025DC" w:rsidRPr="00C5016E" w:rsidRDefault="00C025DC" w:rsidP="00C025DC"/>
    <w:p w:rsidR="00C025DC" w:rsidRPr="00C5016E" w:rsidRDefault="00C025DC" w:rsidP="00C025DC"/>
    <w:p w:rsidR="00C025DC" w:rsidRPr="00C5016E" w:rsidRDefault="00C025DC" w:rsidP="00C025DC"/>
    <w:p w:rsidR="00C025DC" w:rsidRPr="00C5016E" w:rsidRDefault="00C025DC" w:rsidP="00C025DC"/>
    <w:p w:rsidR="00C025DC" w:rsidRPr="00C5016E" w:rsidRDefault="00C025DC" w:rsidP="00C025DC">
      <w:pPr>
        <w:pStyle w:val="Heading1"/>
        <w:numPr>
          <w:ilvl w:val="0"/>
          <w:numId w:val="0"/>
        </w:numPr>
        <w:ind w:left="432" w:hanging="432"/>
        <w:rPr>
          <w:rFonts w:ascii="Arial" w:hAnsi="Arial" w:cs="Arial"/>
          <w:lang w:val="hr-HR"/>
        </w:rPr>
      </w:pPr>
      <w:bookmarkStart w:id="102" w:name="_Toc131505234"/>
      <w:r w:rsidRPr="00C5016E">
        <w:rPr>
          <w:rFonts w:ascii="Arial" w:hAnsi="Arial" w:cs="Arial"/>
          <w:lang w:val="hr-HR"/>
        </w:rPr>
        <w:lastRenderedPageBreak/>
        <w:t>PRILOZI</w:t>
      </w:r>
      <w:bookmarkEnd w:id="102"/>
    </w:p>
    <w:p w:rsidR="00C025DC" w:rsidRPr="00C5016E" w:rsidRDefault="00C025DC" w:rsidP="00C025DC">
      <w:pPr>
        <w:pStyle w:val="ListParagraph"/>
        <w:numPr>
          <w:ilvl w:val="0"/>
          <w:numId w:val="23"/>
        </w:numPr>
        <w:ind w:left="714" w:hanging="357"/>
        <w:contextualSpacing w:val="0"/>
        <w:rPr>
          <w:rFonts w:ascii="Arial" w:hAnsi="Arial" w:cs="Arial"/>
          <w:lang w:val="hr-HR"/>
        </w:rPr>
      </w:pPr>
      <w:r w:rsidRPr="00C5016E">
        <w:rPr>
          <w:rFonts w:ascii="Arial" w:hAnsi="Arial" w:cs="Arial"/>
          <w:b/>
          <w:lang w:val="hr-HR"/>
        </w:rPr>
        <w:t xml:space="preserve">Obrazac broj 1. - </w:t>
      </w:r>
      <w:r w:rsidRPr="00C5016E">
        <w:rPr>
          <w:rFonts w:ascii="Arial" w:hAnsi="Arial" w:cs="Arial"/>
          <w:lang w:val="hr-HR"/>
        </w:rPr>
        <w:t xml:space="preserve">Pregled prihoda, primitaka i financiranja po ekonomskim kategorijama </w:t>
      </w:r>
    </w:p>
    <w:p w:rsidR="00C025DC" w:rsidRPr="00C5016E" w:rsidRDefault="00C025DC" w:rsidP="00C025DC">
      <w:pPr>
        <w:pStyle w:val="ListParagraph"/>
        <w:numPr>
          <w:ilvl w:val="0"/>
          <w:numId w:val="23"/>
        </w:numPr>
        <w:ind w:left="714" w:hanging="357"/>
        <w:contextualSpacing w:val="0"/>
        <w:rPr>
          <w:rFonts w:ascii="Arial" w:hAnsi="Arial" w:cs="Arial"/>
          <w:lang w:val="hr-HR"/>
        </w:rPr>
      </w:pPr>
      <w:r w:rsidRPr="00C5016E">
        <w:rPr>
          <w:rFonts w:ascii="Arial" w:hAnsi="Arial" w:cs="Arial"/>
          <w:b/>
          <w:lang w:val="hr-HR"/>
        </w:rPr>
        <w:t xml:space="preserve">Obrazac broj 2. </w:t>
      </w:r>
      <w:r w:rsidRPr="00C5016E">
        <w:rPr>
          <w:rFonts w:ascii="Arial" w:hAnsi="Arial" w:cs="Arial"/>
          <w:lang w:val="hr-HR"/>
        </w:rPr>
        <w:t xml:space="preserve">- Rashodi i izdaci po ekonomskim kategorijama </w:t>
      </w:r>
    </w:p>
    <w:p w:rsidR="00C025DC" w:rsidRPr="00C5016E" w:rsidRDefault="00C025DC" w:rsidP="00C025DC">
      <w:pPr>
        <w:pStyle w:val="ListParagraph"/>
        <w:numPr>
          <w:ilvl w:val="0"/>
          <w:numId w:val="23"/>
        </w:numPr>
        <w:ind w:left="714" w:hanging="357"/>
        <w:contextualSpacing w:val="0"/>
        <w:rPr>
          <w:rFonts w:ascii="Arial" w:hAnsi="Arial" w:cs="Arial"/>
          <w:b/>
          <w:lang w:val="hr-HR"/>
        </w:rPr>
      </w:pPr>
      <w:r w:rsidRPr="00C5016E">
        <w:rPr>
          <w:rFonts w:ascii="Arial" w:hAnsi="Arial" w:cs="Arial"/>
          <w:b/>
          <w:lang w:val="hr-HR"/>
        </w:rPr>
        <w:t xml:space="preserve">Obrazac broj 3. - </w:t>
      </w:r>
      <w:r w:rsidRPr="00C5016E">
        <w:rPr>
          <w:rFonts w:ascii="Arial" w:hAnsi="Arial" w:cs="Arial"/>
          <w:lang w:val="hr-HR"/>
        </w:rPr>
        <w:t xml:space="preserve">Posebni podaci o plaćama i broju zaposlenih </w:t>
      </w:r>
    </w:p>
    <w:p w:rsidR="00C025DC" w:rsidRPr="00C5016E" w:rsidRDefault="00C025DC" w:rsidP="00C025DC">
      <w:pPr>
        <w:pStyle w:val="ListParagraph"/>
        <w:numPr>
          <w:ilvl w:val="0"/>
          <w:numId w:val="23"/>
        </w:numPr>
        <w:ind w:left="714" w:hanging="357"/>
        <w:contextualSpacing w:val="0"/>
        <w:rPr>
          <w:rFonts w:ascii="Arial" w:hAnsi="Arial" w:cs="Arial"/>
          <w:lang w:val="hr-HR"/>
        </w:rPr>
      </w:pPr>
      <w:r w:rsidRPr="00C5016E">
        <w:rPr>
          <w:rFonts w:ascii="Arial" w:hAnsi="Arial" w:cs="Arial"/>
          <w:b/>
          <w:lang w:val="hr-HR"/>
        </w:rPr>
        <w:t xml:space="preserve">Obrazac broj 4. - </w:t>
      </w:r>
      <w:r w:rsidRPr="00C5016E">
        <w:rPr>
          <w:rFonts w:ascii="Arial" w:hAnsi="Arial" w:cs="Arial"/>
          <w:lang w:val="hr-HR"/>
        </w:rPr>
        <w:t xml:space="preserve">Posebni podaci o tekućim i kapitalnim transferima </w:t>
      </w:r>
    </w:p>
    <w:p w:rsidR="00C025DC" w:rsidRPr="00C5016E" w:rsidRDefault="00C025DC" w:rsidP="00C025DC">
      <w:pPr>
        <w:pStyle w:val="ListParagraph"/>
        <w:numPr>
          <w:ilvl w:val="0"/>
          <w:numId w:val="23"/>
        </w:numPr>
        <w:ind w:left="714" w:hanging="357"/>
        <w:contextualSpacing w:val="0"/>
        <w:rPr>
          <w:rFonts w:ascii="Arial" w:hAnsi="Arial" w:cs="Arial"/>
          <w:lang w:val="hr-HR"/>
        </w:rPr>
      </w:pPr>
      <w:r w:rsidRPr="00C5016E">
        <w:rPr>
          <w:rFonts w:ascii="Arial" w:hAnsi="Arial" w:cs="Arial"/>
          <w:b/>
          <w:lang w:val="hr-HR"/>
        </w:rPr>
        <w:t xml:space="preserve">Obrazac broj 5. - </w:t>
      </w:r>
      <w:r w:rsidRPr="00C5016E">
        <w:rPr>
          <w:rFonts w:ascii="Arial" w:hAnsi="Arial" w:cs="Arial"/>
          <w:lang w:val="hr-HR"/>
        </w:rPr>
        <w:t xml:space="preserve">Klasifikacija rashoda i izdataka proračuna po funkcionalnoj klasifikaciji </w:t>
      </w:r>
    </w:p>
    <w:p w:rsidR="00C025DC" w:rsidRPr="00C5016E" w:rsidRDefault="00C025DC" w:rsidP="00C025DC">
      <w:pPr>
        <w:pStyle w:val="ListParagraph"/>
        <w:numPr>
          <w:ilvl w:val="0"/>
          <w:numId w:val="23"/>
        </w:numPr>
        <w:ind w:left="714" w:hanging="357"/>
        <w:contextualSpacing w:val="0"/>
        <w:rPr>
          <w:rFonts w:ascii="Arial" w:hAnsi="Arial" w:cs="Arial"/>
          <w:lang w:val="hr-HR"/>
        </w:rPr>
      </w:pPr>
      <w:r w:rsidRPr="00C5016E">
        <w:rPr>
          <w:rFonts w:ascii="Arial" w:hAnsi="Arial" w:cs="Arial"/>
          <w:b/>
          <w:lang w:val="hr-HR"/>
        </w:rPr>
        <w:t xml:space="preserve">Obrazac broj 6. - </w:t>
      </w:r>
      <w:r w:rsidRPr="00C5016E">
        <w:rPr>
          <w:rFonts w:ascii="Arial" w:hAnsi="Arial" w:cs="Arial"/>
          <w:lang w:val="hr-HR"/>
        </w:rPr>
        <w:t xml:space="preserve">Registar doznaka iz tekuće </w:t>
      </w:r>
      <w:r w:rsidR="00A26BE8" w:rsidRPr="00C5016E">
        <w:rPr>
          <w:rFonts w:ascii="Arial" w:hAnsi="Arial" w:cs="Arial"/>
          <w:lang w:val="hr-HR"/>
        </w:rPr>
        <w:t>pričuve</w:t>
      </w:r>
      <w:r w:rsidRPr="00C5016E">
        <w:rPr>
          <w:rFonts w:ascii="Arial" w:hAnsi="Arial" w:cs="Arial"/>
          <w:lang w:val="hr-HR"/>
        </w:rPr>
        <w:t xml:space="preserve"> proračuna </w:t>
      </w:r>
    </w:p>
    <w:p w:rsidR="00C025DC" w:rsidRPr="00C5016E" w:rsidRDefault="00C025DC" w:rsidP="00C025DC">
      <w:pPr>
        <w:pStyle w:val="ListParagraph"/>
        <w:numPr>
          <w:ilvl w:val="0"/>
          <w:numId w:val="23"/>
        </w:numPr>
        <w:ind w:left="714" w:hanging="357"/>
        <w:contextualSpacing w:val="0"/>
        <w:rPr>
          <w:rFonts w:ascii="Arial" w:hAnsi="Arial" w:cs="Arial"/>
          <w:lang w:val="hr-HR"/>
        </w:rPr>
      </w:pPr>
      <w:r w:rsidRPr="00C5016E">
        <w:rPr>
          <w:rFonts w:ascii="Arial" w:hAnsi="Arial" w:cs="Arial"/>
          <w:b/>
          <w:lang w:val="hr-HR"/>
        </w:rPr>
        <w:t xml:space="preserve">Obrazac broj 7. - </w:t>
      </w:r>
      <w:r w:rsidR="00A26BE8" w:rsidRPr="00C5016E">
        <w:rPr>
          <w:rFonts w:ascii="Arial" w:hAnsi="Arial" w:cs="Arial"/>
          <w:lang w:val="hr-HR"/>
        </w:rPr>
        <w:t>Registar neizmirenih ob</w:t>
      </w:r>
      <w:r w:rsidRPr="00C5016E">
        <w:rPr>
          <w:rFonts w:ascii="Arial" w:hAnsi="Arial" w:cs="Arial"/>
          <w:lang w:val="hr-HR"/>
        </w:rPr>
        <w:t xml:space="preserve">veza za </w:t>
      </w:r>
      <w:r w:rsidR="00A26BE8" w:rsidRPr="00C5016E">
        <w:rPr>
          <w:rFonts w:ascii="Arial" w:hAnsi="Arial" w:cs="Arial"/>
          <w:lang w:val="hr-HR"/>
        </w:rPr>
        <w:t>razdoblje</w:t>
      </w:r>
      <w:r w:rsidRPr="00C5016E">
        <w:rPr>
          <w:rFonts w:ascii="Arial" w:hAnsi="Arial" w:cs="Arial"/>
          <w:lang w:val="hr-HR"/>
        </w:rPr>
        <w:t xml:space="preserve"> izvješ</w:t>
      </w:r>
      <w:r w:rsidR="00A26BE8" w:rsidRPr="00C5016E">
        <w:rPr>
          <w:rFonts w:ascii="Arial" w:hAnsi="Arial" w:cs="Arial"/>
          <w:lang w:val="hr-HR"/>
        </w:rPr>
        <w:t>ćivanja: od 1.</w:t>
      </w:r>
      <w:r w:rsidRPr="00C5016E">
        <w:rPr>
          <w:rFonts w:ascii="Arial" w:hAnsi="Arial" w:cs="Arial"/>
          <w:lang w:val="hr-HR"/>
        </w:rPr>
        <w:t xml:space="preserve">1.2022. do 31.12.2022. </w:t>
      </w:r>
    </w:p>
    <w:p w:rsidR="00C025DC" w:rsidRPr="00C5016E" w:rsidRDefault="00C025DC" w:rsidP="00C025DC">
      <w:pPr>
        <w:pStyle w:val="ListParagraph"/>
        <w:numPr>
          <w:ilvl w:val="0"/>
          <w:numId w:val="23"/>
        </w:numPr>
        <w:ind w:left="714" w:hanging="357"/>
        <w:contextualSpacing w:val="0"/>
        <w:rPr>
          <w:rFonts w:ascii="Arial" w:hAnsi="Arial" w:cs="Arial"/>
          <w:b/>
          <w:lang w:val="hr-HR"/>
        </w:rPr>
      </w:pPr>
      <w:r w:rsidRPr="00C5016E">
        <w:rPr>
          <w:rFonts w:ascii="Arial" w:hAnsi="Arial" w:cs="Arial"/>
          <w:b/>
          <w:lang w:val="hr-HR"/>
        </w:rPr>
        <w:t xml:space="preserve">Obrazac broj 8. - </w:t>
      </w:r>
      <w:r w:rsidRPr="00C5016E">
        <w:rPr>
          <w:rFonts w:ascii="Arial" w:hAnsi="Arial" w:cs="Arial"/>
          <w:lang w:val="hr-HR"/>
        </w:rPr>
        <w:t>Pregled prihoda, primitaka, rashoda i izdataka po ekonomskim kategorijama</w:t>
      </w:r>
    </w:p>
    <w:p w:rsidR="00C025DC" w:rsidRPr="00C5016E" w:rsidRDefault="00C025DC" w:rsidP="00C025DC">
      <w:pPr>
        <w:pStyle w:val="ListParagraph"/>
        <w:numPr>
          <w:ilvl w:val="0"/>
          <w:numId w:val="23"/>
        </w:numPr>
        <w:ind w:left="714" w:hanging="357"/>
        <w:contextualSpacing w:val="0"/>
        <w:rPr>
          <w:rFonts w:ascii="Arial" w:hAnsi="Arial" w:cs="Arial"/>
          <w:b/>
          <w:lang w:val="hr-HR"/>
        </w:rPr>
      </w:pPr>
      <w:r w:rsidRPr="00C5016E">
        <w:rPr>
          <w:rFonts w:ascii="Arial" w:hAnsi="Arial" w:cs="Arial"/>
          <w:b/>
          <w:lang w:val="hr-HR"/>
        </w:rPr>
        <w:t>Izvršenje Proračuna Federacije BiH po proračunskim korisnicima (Rashodi i izdaci po proračunskim korisnicima)</w:t>
      </w:r>
    </w:p>
    <w:p w:rsidR="00C025DC" w:rsidRPr="00C5016E" w:rsidRDefault="00C025DC" w:rsidP="00C025DC">
      <w:pPr>
        <w:pStyle w:val="ListParagraph"/>
        <w:numPr>
          <w:ilvl w:val="0"/>
          <w:numId w:val="23"/>
        </w:numPr>
        <w:ind w:left="714" w:hanging="357"/>
        <w:contextualSpacing w:val="0"/>
        <w:rPr>
          <w:rFonts w:ascii="Arial" w:hAnsi="Arial" w:cs="Arial"/>
          <w:b/>
          <w:lang w:val="hr-HR"/>
        </w:rPr>
      </w:pPr>
      <w:r w:rsidRPr="00C5016E">
        <w:rPr>
          <w:rFonts w:ascii="Arial" w:hAnsi="Arial" w:cs="Arial"/>
          <w:b/>
          <w:lang w:val="hr-HR"/>
        </w:rPr>
        <w:t>Bilan</w:t>
      </w:r>
      <w:r w:rsidR="00A26BE8" w:rsidRPr="00C5016E">
        <w:rPr>
          <w:rFonts w:ascii="Arial" w:hAnsi="Arial" w:cs="Arial"/>
          <w:b/>
          <w:lang w:val="hr-HR"/>
        </w:rPr>
        <w:t>ca</w:t>
      </w:r>
      <w:r w:rsidRPr="00C5016E">
        <w:rPr>
          <w:rFonts w:ascii="Arial" w:hAnsi="Arial" w:cs="Arial"/>
          <w:b/>
          <w:lang w:val="hr-HR"/>
        </w:rPr>
        <w:t xml:space="preserve"> stanja na dan 31.</w:t>
      </w:r>
      <w:r w:rsidR="00A26BE8" w:rsidRPr="00C5016E">
        <w:rPr>
          <w:rFonts w:ascii="Arial" w:hAnsi="Arial" w:cs="Arial"/>
          <w:b/>
          <w:lang w:val="hr-HR"/>
        </w:rPr>
        <w:t xml:space="preserve"> </w:t>
      </w:r>
      <w:r w:rsidRPr="00C5016E">
        <w:rPr>
          <w:rFonts w:ascii="Arial" w:hAnsi="Arial" w:cs="Arial"/>
          <w:b/>
          <w:lang w:val="hr-HR"/>
        </w:rPr>
        <w:t>12.</w:t>
      </w:r>
      <w:r w:rsidR="00A26BE8" w:rsidRPr="00C5016E">
        <w:rPr>
          <w:rFonts w:ascii="Arial" w:hAnsi="Arial" w:cs="Arial"/>
          <w:b/>
          <w:lang w:val="hr-HR"/>
        </w:rPr>
        <w:t xml:space="preserve"> </w:t>
      </w:r>
      <w:r w:rsidRPr="00C5016E">
        <w:rPr>
          <w:rFonts w:ascii="Arial" w:hAnsi="Arial" w:cs="Arial"/>
          <w:b/>
          <w:lang w:val="hr-HR"/>
        </w:rPr>
        <w:t xml:space="preserve">2022. </w:t>
      </w:r>
    </w:p>
    <w:p w:rsidR="00C025DC" w:rsidRPr="00C5016E" w:rsidRDefault="00C025DC" w:rsidP="00C025DC">
      <w:pPr>
        <w:pStyle w:val="ListParagraph"/>
        <w:numPr>
          <w:ilvl w:val="0"/>
          <w:numId w:val="23"/>
        </w:numPr>
        <w:ind w:left="714" w:hanging="357"/>
        <w:contextualSpacing w:val="0"/>
        <w:rPr>
          <w:rFonts w:ascii="Arial" w:hAnsi="Arial" w:cs="Arial"/>
          <w:b/>
          <w:lang w:val="hr-HR"/>
        </w:rPr>
      </w:pPr>
      <w:r w:rsidRPr="00C5016E">
        <w:rPr>
          <w:rFonts w:ascii="Arial" w:hAnsi="Arial" w:cs="Arial"/>
          <w:b/>
          <w:lang w:val="hr-HR"/>
        </w:rPr>
        <w:t xml:space="preserve">Račun prihoda i rashoda za </w:t>
      </w:r>
      <w:r w:rsidR="00A26BE8" w:rsidRPr="00C5016E">
        <w:rPr>
          <w:rFonts w:ascii="Arial" w:hAnsi="Arial" w:cs="Arial"/>
          <w:b/>
          <w:lang w:val="hr-HR"/>
        </w:rPr>
        <w:t>razdoblje</w:t>
      </w:r>
      <w:r w:rsidRPr="00C5016E">
        <w:rPr>
          <w:rFonts w:ascii="Arial" w:hAnsi="Arial" w:cs="Arial"/>
          <w:b/>
          <w:lang w:val="hr-HR"/>
        </w:rPr>
        <w:t xml:space="preserve"> izvješ</w:t>
      </w:r>
      <w:r w:rsidR="00D57EB8" w:rsidRPr="00C5016E">
        <w:rPr>
          <w:rFonts w:ascii="Arial" w:hAnsi="Arial" w:cs="Arial"/>
          <w:b/>
          <w:lang w:val="hr-HR"/>
        </w:rPr>
        <w:t>ta</w:t>
      </w:r>
      <w:r w:rsidR="00A26BE8" w:rsidRPr="00C5016E">
        <w:rPr>
          <w:rFonts w:ascii="Arial" w:hAnsi="Arial" w:cs="Arial"/>
          <w:b/>
          <w:lang w:val="hr-HR"/>
        </w:rPr>
        <w:t>vanja: od 1.</w:t>
      </w:r>
      <w:r w:rsidRPr="00C5016E">
        <w:rPr>
          <w:rFonts w:ascii="Arial" w:hAnsi="Arial" w:cs="Arial"/>
          <w:b/>
          <w:lang w:val="hr-HR"/>
        </w:rPr>
        <w:t xml:space="preserve">1.2022. do 31.12.2022. </w:t>
      </w:r>
    </w:p>
    <w:p w:rsidR="00C025DC" w:rsidRPr="00C5016E" w:rsidRDefault="00C025DC" w:rsidP="00C025DC">
      <w:pPr>
        <w:pStyle w:val="ListParagraph"/>
        <w:numPr>
          <w:ilvl w:val="0"/>
          <w:numId w:val="23"/>
        </w:numPr>
        <w:ind w:left="714" w:hanging="357"/>
        <w:contextualSpacing w:val="0"/>
        <w:rPr>
          <w:rFonts w:ascii="Arial" w:hAnsi="Arial" w:cs="Arial"/>
          <w:b/>
          <w:lang w:val="hr-HR"/>
        </w:rPr>
      </w:pPr>
      <w:r w:rsidRPr="00C5016E">
        <w:rPr>
          <w:rFonts w:ascii="Arial" w:hAnsi="Arial" w:cs="Arial"/>
          <w:b/>
          <w:lang w:val="hr-HR"/>
        </w:rPr>
        <w:t>Godišnj</w:t>
      </w:r>
      <w:r w:rsidR="00A26BE8" w:rsidRPr="00C5016E">
        <w:rPr>
          <w:rFonts w:ascii="Arial" w:hAnsi="Arial" w:cs="Arial"/>
          <w:b/>
          <w:lang w:val="hr-HR"/>
        </w:rPr>
        <w:t>e</w:t>
      </w:r>
      <w:r w:rsidRPr="00C5016E">
        <w:rPr>
          <w:rFonts w:ascii="Arial" w:hAnsi="Arial" w:cs="Arial"/>
          <w:b/>
          <w:lang w:val="hr-HR"/>
        </w:rPr>
        <w:t xml:space="preserve"> izvje</w:t>
      </w:r>
      <w:r w:rsidR="00A26BE8" w:rsidRPr="00C5016E">
        <w:rPr>
          <w:rFonts w:ascii="Arial" w:hAnsi="Arial" w:cs="Arial"/>
          <w:b/>
          <w:lang w:val="hr-HR"/>
        </w:rPr>
        <w:t>šće</w:t>
      </w:r>
      <w:r w:rsidRPr="00C5016E">
        <w:rPr>
          <w:rFonts w:ascii="Arial" w:hAnsi="Arial" w:cs="Arial"/>
          <w:b/>
          <w:lang w:val="hr-HR"/>
        </w:rPr>
        <w:t xml:space="preserve"> o izvršenju proračuna za </w:t>
      </w:r>
      <w:r w:rsidR="00A26BE8" w:rsidRPr="00C5016E">
        <w:rPr>
          <w:rFonts w:ascii="Arial" w:hAnsi="Arial" w:cs="Arial"/>
          <w:b/>
          <w:lang w:val="hr-HR"/>
        </w:rPr>
        <w:t>razdoblje</w:t>
      </w:r>
      <w:r w:rsidR="00D57EB8" w:rsidRPr="00C5016E">
        <w:rPr>
          <w:rFonts w:ascii="Arial" w:hAnsi="Arial" w:cs="Arial"/>
          <w:b/>
          <w:lang w:val="hr-HR"/>
        </w:rPr>
        <w:t xml:space="preserve"> izvješta</w:t>
      </w:r>
      <w:r w:rsidR="00A26BE8" w:rsidRPr="00C5016E">
        <w:rPr>
          <w:rFonts w:ascii="Arial" w:hAnsi="Arial" w:cs="Arial"/>
          <w:b/>
          <w:lang w:val="hr-HR"/>
        </w:rPr>
        <w:t>vanja: od 1.</w:t>
      </w:r>
      <w:r w:rsidRPr="00C5016E">
        <w:rPr>
          <w:rFonts w:ascii="Arial" w:hAnsi="Arial" w:cs="Arial"/>
          <w:b/>
          <w:lang w:val="hr-HR"/>
        </w:rPr>
        <w:t>1.2022. do 31.12.2022.</w:t>
      </w:r>
      <w:r w:rsidRPr="00C5016E">
        <w:rPr>
          <w:rFonts w:ascii="Arial" w:hAnsi="Arial" w:cs="Arial"/>
          <w:b/>
          <w:lang w:val="hr-HR"/>
        </w:rPr>
        <w:tab/>
      </w:r>
    </w:p>
    <w:p w:rsidR="00C025DC" w:rsidRPr="00C5016E" w:rsidRDefault="00C025DC" w:rsidP="00C025DC">
      <w:pPr>
        <w:pStyle w:val="ListParagraph"/>
        <w:numPr>
          <w:ilvl w:val="0"/>
          <w:numId w:val="23"/>
        </w:numPr>
        <w:ind w:left="714" w:hanging="357"/>
        <w:contextualSpacing w:val="0"/>
        <w:rPr>
          <w:rFonts w:ascii="Arial" w:hAnsi="Arial" w:cs="Arial"/>
          <w:b/>
          <w:lang w:val="hr-HR"/>
        </w:rPr>
      </w:pPr>
      <w:r w:rsidRPr="00C5016E">
        <w:rPr>
          <w:rFonts w:ascii="Arial" w:hAnsi="Arial" w:cs="Arial"/>
          <w:b/>
          <w:lang w:val="hr-HR"/>
        </w:rPr>
        <w:t>Izvješ</w:t>
      </w:r>
      <w:r w:rsidR="00D57EB8" w:rsidRPr="00C5016E">
        <w:rPr>
          <w:rFonts w:ascii="Arial" w:hAnsi="Arial" w:cs="Arial"/>
          <w:b/>
          <w:lang w:val="hr-HR"/>
        </w:rPr>
        <w:t>taj</w:t>
      </w:r>
      <w:r w:rsidRPr="00C5016E">
        <w:rPr>
          <w:rFonts w:ascii="Arial" w:hAnsi="Arial" w:cs="Arial"/>
          <w:b/>
          <w:lang w:val="hr-HR"/>
        </w:rPr>
        <w:t xml:space="preserve"> o kapitalnim izdacima i financiranju za </w:t>
      </w:r>
      <w:r w:rsidR="00A26BE8" w:rsidRPr="00C5016E">
        <w:rPr>
          <w:rFonts w:ascii="Arial" w:hAnsi="Arial" w:cs="Arial"/>
          <w:b/>
          <w:lang w:val="hr-HR"/>
        </w:rPr>
        <w:t>razdoblje izvješ</w:t>
      </w:r>
      <w:r w:rsidR="00D57EB8" w:rsidRPr="00C5016E">
        <w:rPr>
          <w:rFonts w:ascii="Arial" w:hAnsi="Arial" w:cs="Arial"/>
          <w:b/>
          <w:lang w:val="hr-HR"/>
        </w:rPr>
        <w:t>ta</w:t>
      </w:r>
      <w:r w:rsidR="00A26BE8" w:rsidRPr="00C5016E">
        <w:rPr>
          <w:rFonts w:ascii="Arial" w:hAnsi="Arial" w:cs="Arial"/>
          <w:b/>
          <w:lang w:val="hr-HR"/>
        </w:rPr>
        <w:t>vanja: od 1.</w:t>
      </w:r>
      <w:r w:rsidRPr="00C5016E">
        <w:rPr>
          <w:rFonts w:ascii="Arial" w:hAnsi="Arial" w:cs="Arial"/>
          <w:b/>
          <w:lang w:val="hr-HR"/>
        </w:rPr>
        <w:t>1.2022. do 31.12.2022.</w:t>
      </w:r>
      <w:r w:rsidRPr="00C5016E">
        <w:rPr>
          <w:rFonts w:ascii="Arial" w:hAnsi="Arial" w:cs="Arial"/>
          <w:b/>
          <w:lang w:val="hr-HR"/>
        </w:rPr>
        <w:tab/>
      </w:r>
    </w:p>
    <w:p w:rsidR="00A26BE8" w:rsidRPr="00C5016E" w:rsidRDefault="00C025DC" w:rsidP="00C025DC">
      <w:pPr>
        <w:pStyle w:val="ListParagraph"/>
        <w:numPr>
          <w:ilvl w:val="0"/>
          <w:numId w:val="23"/>
        </w:numPr>
        <w:ind w:left="714" w:hanging="357"/>
        <w:contextualSpacing w:val="0"/>
        <w:rPr>
          <w:lang w:val="hr-HR"/>
        </w:rPr>
      </w:pPr>
      <w:r w:rsidRPr="00C5016E">
        <w:rPr>
          <w:rFonts w:ascii="Arial" w:hAnsi="Arial" w:cs="Arial"/>
          <w:b/>
          <w:lang w:val="hr-HR"/>
        </w:rPr>
        <w:t>Izvješ</w:t>
      </w:r>
      <w:r w:rsidR="00D57EB8" w:rsidRPr="00C5016E">
        <w:rPr>
          <w:rFonts w:ascii="Arial" w:hAnsi="Arial" w:cs="Arial"/>
          <w:b/>
          <w:lang w:val="hr-HR"/>
        </w:rPr>
        <w:t>taj</w:t>
      </w:r>
      <w:r w:rsidRPr="00C5016E">
        <w:rPr>
          <w:rFonts w:ascii="Arial" w:hAnsi="Arial" w:cs="Arial"/>
          <w:b/>
          <w:lang w:val="hr-HR"/>
        </w:rPr>
        <w:t xml:space="preserve"> o novčanim tokovima za </w:t>
      </w:r>
      <w:r w:rsidR="00A26BE8" w:rsidRPr="00C5016E">
        <w:rPr>
          <w:rFonts w:ascii="Arial" w:hAnsi="Arial" w:cs="Arial"/>
          <w:b/>
          <w:lang w:val="hr-HR"/>
        </w:rPr>
        <w:t>razdoblje izvješ</w:t>
      </w:r>
      <w:r w:rsidR="00D57EB8" w:rsidRPr="00C5016E">
        <w:rPr>
          <w:rFonts w:ascii="Arial" w:hAnsi="Arial" w:cs="Arial"/>
          <w:b/>
          <w:lang w:val="hr-HR"/>
        </w:rPr>
        <w:t>ta</w:t>
      </w:r>
      <w:r w:rsidR="00A26BE8" w:rsidRPr="00C5016E">
        <w:rPr>
          <w:rFonts w:ascii="Arial" w:hAnsi="Arial" w:cs="Arial"/>
          <w:b/>
          <w:lang w:val="hr-HR"/>
        </w:rPr>
        <w:t>vanja od: 1.</w:t>
      </w:r>
      <w:r w:rsidRPr="00C5016E">
        <w:rPr>
          <w:rFonts w:ascii="Arial" w:hAnsi="Arial" w:cs="Arial"/>
          <w:b/>
          <w:lang w:val="hr-HR"/>
        </w:rPr>
        <w:t xml:space="preserve">1.2022. do 31.12.2022. </w:t>
      </w:r>
    </w:p>
    <w:p w:rsidR="00C025DC" w:rsidRPr="00C5016E" w:rsidRDefault="00C025DC" w:rsidP="00A26BE8">
      <w:r w:rsidRPr="00C5016E">
        <w:rPr>
          <w:rFonts w:cs="Arial"/>
          <w:b/>
        </w:rPr>
        <w:tab/>
      </w:r>
      <w:r w:rsidRPr="00C5016E">
        <w:rPr>
          <w:rFonts w:cs="Arial"/>
          <w:b/>
        </w:rPr>
        <w:tab/>
      </w:r>
      <w:r w:rsidRPr="00C5016E">
        <w:rPr>
          <w:rFonts w:cs="Arial"/>
          <w:b/>
        </w:rPr>
        <w:tab/>
      </w:r>
      <w:r w:rsidRPr="00C5016E">
        <w:rPr>
          <w:rFonts w:cs="Arial"/>
          <w:b/>
        </w:rPr>
        <w:tab/>
      </w:r>
      <w:r w:rsidRPr="00C5016E">
        <w:rPr>
          <w:rFonts w:cs="Arial"/>
          <w:b/>
        </w:rPr>
        <w:tab/>
      </w:r>
      <w:r w:rsidRPr="00C5016E">
        <w:rPr>
          <w:rFonts w:cs="Arial"/>
          <w:b/>
        </w:rPr>
        <w:tab/>
      </w:r>
      <w:r w:rsidRPr="00C5016E">
        <w:rPr>
          <w:rFonts w:cs="Arial"/>
          <w:b/>
        </w:rPr>
        <w:tab/>
      </w:r>
      <w:r w:rsidRPr="00C5016E">
        <w:rPr>
          <w:rFonts w:cs="Arial"/>
          <w:b/>
        </w:rPr>
        <w:tab/>
      </w:r>
      <w:r w:rsidRPr="00C5016E">
        <w:rPr>
          <w:rFonts w:cs="Arial"/>
          <w:b/>
        </w:rPr>
        <w:tab/>
      </w:r>
      <w:r w:rsidRPr="00C5016E">
        <w:rPr>
          <w:rFonts w:cs="Arial"/>
          <w:b/>
        </w:rPr>
        <w:tab/>
      </w:r>
      <w:r w:rsidRPr="00C5016E">
        <w:rPr>
          <w:rFonts w:cs="Arial"/>
          <w:b/>
        </w:rPr>
        <w:tab/>
      </w:r>
      <w:r w:rsidRPr="00C5016E">
        <w:rPr>
          <w:rFonts w:cs="Arial"/>
          <w:b/>
        </w:rPr>
        <w:tab/>
      </w:r>
      <w:r w:rsidRPr="00C5016E">
        <w:rPr>
          <w:rFonts w:cs="Arial"/>
          <w:b/>
        </w:rPr>
        <w:tab/>
      </w:r>
      <w:r w:rsidRPr="00C5016E">
        <w:rPr>
          <w:rFonts w:cs="Arial"/>
          <w:b/>
        </w:rPr>
        <w:tab/>
      </w:r>
    </w:p>
    <w:p w:rsidR="00C025DC" w:rsidRPr="00C5016E" w:rsidRDefault="00C025DC" w:rsidP="00C025DC"/>
    <w:p w:rsidR="00C025DC" w:rsidRPr="00C5016E" w:rsidRDefault="00C025DC" w:rsidP="00C025DC"/>
    <w:p w:rsidR="00C025DC" w:rsidRPr="00C5016E" w:rsidRDefault="00C025DC" w:rsidP="00C025DC"/>
    <w:sectPr w:rsidR="00C025DC" w:rsidRPr="00C5016E" w:rsidSect="00C025DC">
      <w:footerReference w:type="default" r:id="rId19"/>
      <w:pgSz w:w="12240" w:h="15840" w:code="1"/>
      <w:pgMar w:top="1418" w:right="1418" w:bottom="1418" w:left="198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739" w:rsidRDefault="00441739">
      <w:pPr>
        <w:spacing w:before="0" w:after="0"/>
      </w:pPr>
      <w:r>
        <w:separator/>
      </w:r>
    </w:p>
  </w:endnote>
  <w:endnote w:type="continuationSeparator" w:id="0">
    <w:p w:rsidR="00441739" w:rsidRDefault="004417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957" w:rsidRDefault="00834957">
    <w:pPr>
      <w:pStyle w:val="Footer"/>
      <w:jc w:val="right"/>
    </w:pPr>
    <w:r>
      <w:fldChar w:fldCharType="begin"/>
    </w:r>
    <w:r>
      <w:instrText xml:space="preserve"> PAGE  </w:instrText>
    </w:r>
    <w:r>
      <w:fldChar w:fldCharType="separate"/>
    </w:r>
    <w:r w:rsidR="00380B5A">
      <w:rPr>
        <w:noProof/>
      </w:rPr>
      <w:t>55</w:t>
    </w:r>
    <w:r>
      <w:rPr>
        <w:noProof/>
      </w:rPr>
      <w:fldChar w:fldCharType="end"/>
    </w:r>
  </w:p>
  <w:p w:rsidR="00834957" w:rsidRDefault="00834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739" w:rsidRDefault="00441739">
      <w:pPr>
        <w:spacing w:before="0" w:after="0"/>
      </w:pPr>
      <w:r>
        <w:separator/>
      </w:r>
    </w:p>
  </w:footnote>
  <w:footnote w:type="continuationSeparator" w:id="0">
    <w:p w:rsidR="00441739" w:rsidRDefault="004417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66AC"/>
    <w:multiLevelType w:val="hybridMultilevel"/>
    <w:tmpl w:val="52EA4E4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7DD543E"/>
    <w:multiLevelType w:val="hybridMultilevel"/>
    <w:tmpl w:val="DC6E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77DDF"/>
    <w:multiLevelType w:val="hybridMultilevel"/>
    <w:tmpl w:val="37EC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23511"/>
    <w:multiLevelType w:val="hybridMultilevel"/>
    <w:tmpl w:val="1584E66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0C62E8B"/>
    <w:multiLevelType w:val="hybridMultilevel"/>
    <w:tmpl w:val="85D81C3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0CE55F0"/>
    <w:multiLevelType w:val="multilevel"/>
    <w:tmpl w:val="610205B4"/>
    <w:lvl w:ilvl="0">
      <w:start w:val="2"/>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2394DCC"/>
    <w:multiLevelType w:val="hybridMultilevel"/>
    <w:tmpl w:val="C11C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63A88"/>
    <w:multiLevelType w:val="hybridMultilevel"/>
    <w:tmpl w:val="56F8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12D5C"/>
    <w:multiLevelType w:val="hybridMultilevel"/>
    <w:tmpl w:val="B2C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24942"/>
    <w:multiLevelType w:val="hybridMultilevel"/>
    <w:tmpl w:val="43AC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132F7"/>
    <w:multiLevelType w:val="hybridMultilevel"/>
    <w:tmpl w:val="D8CC8E24"/>
    <w:lvl w:ilvl="0" w:tplc="141A0001">
      <w:start w:val="1"/>
      <w:numFmt w:val="bullet"/>
      <w:lvlText w:val=""/>
      <w:lvlJc w:val="left"/>
      <w:pPr>
        <w:ind w:left="784" w:hanging="360"/>
      </w:pPr>
      <w:rPr>
        <w:rFonts w:ascii="Symbol" w:hAnsi="Symbol" w:hint="default"/>
      </w:rPr>
    </w:lvl>
    <w:lvl w:ilvl="1" w:tplc="141A0003" w:tentative="1">
      <w:start w:val="1"/>
      <w:numFmt w:val="bullet"/>
      <w:lvlText w:val="o"/>
      <w:lvlJc w:val="left"/>
      <w:pPr>
        <w:ind w:left="1504" w:hanging="360"/>
      </w:pPr>
      <w:rPr>
        <w:rFonts w:ascii="Courier New" w:hAnsi="Courier New" w:cs="Courier New" w:hint="default"/>
      </w:rPr>
    </w:lvl>
    <w:lvl w:ilvl="2" w:tplc="141A0005" w:tentative="1">
      <w:start w:val="1"/>
      <w:numFmt w:val="bullet"/>
      <w:lvlText w:val=""/>
      <w:lvlJc w:val="left"/>
      <w:pPr>
        <w:ind w:left="2224" w:hanging="360"/>
      </w:pPr>
      <w:rPr>
        <w:rFonts w:ascii="Wingdings" w:hAnsi="Wingdings" w:hint="default"/>
      </w:rPr>
    </w:lvl>
    <w:lvl w:ilvl="3" w:tplc="141A0001" w:tentative="1">
      <w:start w:val="1"/>
      <w:numFmt w:val="bullet"/>
      <w:lvlText w:val=""/>
      <w:lvlJc w:val="left"/>
      <w:pPr>
        <w:ind w:left="2944" w:hanging="360"/>
      </w:pPr>
      <w:rPr>
        <w:rFonts w:ascii="Symbol" w:hAnsi="Symbol" w:hint="default"/>
      </w:rPr>
    </w:lvl>
    <w:lvl w:ilvl="4" w:tplc="141A0003" w:tentative="1">
      <w:start w:val="1"/>
      <w:numFmt w:val="bullet"/>
      <w:lvlText w:val="o"/>
      <w:lvlJc w:val="left"/>
      <w:pPr>
        <w:ind w:left="3664" w:hanging="360"/>
      </w:pPr>
      <w:rPr>
        <w:rFonts w:ascii="Courier New" w:hAnsi="Courier New" w:cs="Courier New" w:hint="default"/>
      </w:rPr>
    </w:lvl>
    <w:lvl w:ilvl="5" w:tplc="141A0005" w:tentative="1">
      <w:start w:val="1"/>
      <w:numFmt w:val="bullet"/>
      <w:lvlText w:val=""/>
      <w:lvlJc w:val="left"/>
      <w:pPr>
        <w:ind w:left="4384" w:hanging="360"/>
      </w:pPr>
      <w:rPr>
        <w:rFonts w:ascii="Wingdings" w:hAnsi="Wingdings" w:hint="default"/>
      </w:rPr>
    </w:lvl>
    <w:lvl w:ilvl="6" w:tplc="141A0001" w:tentative="1">
      <w:start w:val="1"/>
      <w:numFmt w:val="bullet"/>
      <w:lvlText w:val=""/>
      <w:lvlJc w:val="left"/>
      <w:pPr>
        <w:ind w:left="5104" w:hanging="360"/>
      </w:pPr>
      <w:rPr>
        <w:rFonts w:ascii="Symbol" w:hAnsi="Symbol" w:hint="default"/>
      </w:rPr>
    </w:lvl>
    <w:lvl w:ilvl="7" w:tplc="141A0003" w:tentative="1">
      <w:start w:val="1"/>
      <w:numFmt w:val="bullet"/>
      <w:lvlText w:val="o"/>
      <w:lvlJc w:val="left"/>
      <w:pPr>
        <w:ind w:left="5824" w:hanging="360"/>
      </w:pPr>
      <w:rPr>
        <w:rFonts w:ascii="Courier New" w:hAnsi="Courier New" w:cs="Courier New" w:hint="default"/>
      </w:rPr>
    </w:lvl>
    <w:lvl w:ilvl="8" w:tplc="141A0005" w:tentative="1">
      <w:start w:val="1"/>
      <w:numFmt w:val="bullet"/>
      <w:lvlText w:val=""/>
      <w:lvlJc w:val="left"/>
      <w:pPr>
        <w:ind w:left="6544" w:hanging="360"/>
      </w:pPr>
      <w:rPr>
        <w:rFonts w:ascii="Wingdings" w:hAnsi="Wingdings" w:hint="default"/>
      </w:rPr>
    </w:lvl>
  </w:abstractNum>
  <w:abstractNum w:abstractNumId="11" w15:restartNumberingAfterBreak="0">
    <w:nsid w:val="17CB77A5"/>
    <w:multiLevelType w:val="hybridMultilevel"/>
    <w:tmpl w:val="9BD8538E"/>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1A8C3363"/>
    <w:multiLevelType w:val="hybridMultilevel"/>
    <w:tmpl w:val="E79CD59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1AA142BC"/>
    <w:multiLevelType w:val="hybridMultilevel"/>
    <w:tmpl w:val="C6A0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324B0"/>
    <w:multiLevelType w:val="hybridMultilevel"/>
    <w:tmpl w:val="464C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F6837"/>
    <w:multiLevelType w:val="hybridMultilevel"/>
    <w:tmpl w:val="B6EE6CB0"/>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6" w15:restartNumberingAfterBreak="0">
    <w:nsid w:val="275A5B43"/>
    <w:multiLevelType w:val="hybridMultilevel"/>
    <w:tmpl w:val="E8EE92B0"/>
    <w:lvl w:ilvl="0" w:tplc="BF56D016">
      <w:numFmt w:val="bullet"/>
      <w:lvlText w:val="-"/>
      <w:lvlJc w:val="left"/>
      <w:pPr>
        <w:ind w:left="1440" w:hanging="360"/>
      </w:pPr>
      <w:rPr>
        <w:rFonts w:ascii="Arial" w:eastAsia="Calibri" w:hAnsi="Arial" w:cs="Aria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7" w15:restartNumberingAfterBreak="0">
    <w:nsid w:val="2B046389"/>
    <w:multiLevelType w:val="multilevel"/>
    <w:tmpl w:val="0D18C974"/>
    <w:lvl w:ilvl="0">
      <w:start w:val="1"/>
      <w:numFmt w:val="decimal"/>
      <w:pStyle w:val="Heading1"/>
      <w:lvlText w:val="%1"/>
      <w:lvlJc w:val="left"/>
      <w:pPr>
        <w:ind w:left="432" w:hanging="432"/>
      </w:pPr>
      <w:rPr>
        <w:rFonts w:hint="default"/>
        <w:b/>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2E7739AA"/>
    <w:multiLevelType w:val="hybridMultilevel"/>
    <w:tmpl w:val="B590DFBC"/>
    <w:lvl w:ilvl="0" w:tplc="FFFFFFFF">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E447E6"/>
    <w:multiLevelType w:val="hybridMultilevel"/>
    <w:tmpl w:val="3132CFD6"/>
    <w:lvl w:ilvl="0" w:tplc="BF56D016">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32D433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097542"/>
    <w:multiLevelType w:val="hybridMultilevel"/>
    <w:tmpl w:val="509862A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0C760EB"/>
    <w:multiLevelType w:val="hybridMultilevel"/>
    <w:tmpl w:val="A3DA9548"/>
    <w:lvl w:ilvl="0" w:tplc="FFFFFFFF">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D84C11"/>
    <w:multiLevelType w:val="hybridMultilevel"/>
    <w:tmpl w:val="B5505C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6D652DD"/>
    <w:multiLevelType w:val="hybridMultilevel"/>
    <w:tmpl w:val="3D82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E685C"/>
    <w:multiLevelType w:val="hybridMultilevel"/>
    <w:tmpl w:val="DE1C649C"/>
    <w:lvl w:ilvl="0" w:tplc="61705B96">
      <w:start w:val="3"/>
      <w:numFmt w:val="bullet"/>
      <w:lvlText w:val="-"/>
      <w:lvlJc w:val="left"/>
      <w:pPr>
        <w:ind w:left="1080" w:hanging="360"/>
      </w:pPr>
      <w:rPr>
        <w:rFonts w:ascii="Arial" w:eastAsia="Times New Roman" w:hAnsi="Arial" w:cs="Arial" w:hint="default"/>
      </w:rPr>
    </w:lvl>
    <w:lvl w:ilvl="1" w:tplc="141A0003">
      <w:start w:val="1"/>
      <w:numFmt w:val="bullet"/>
      <w:lvlText w:val="o"/>
      <w:lvlJc w:val="left"/>
      <w:pPr>
        <w:ind w:left="1800" w:hanging="360"/>
      </w:pPr>
      <w:rPr>
        <w:rFonts w:ascii="Courier New" w:hAnsi="Courier New" w:cs="Courier New" w:hint="default"/>
      </w:rPr>
    </w:lvl>
    <w:lvl w:ilvl="2" w:tplc="141A0005">
      <w:start w:val="1"/>
      <w:numFmt w:val="bullet"/>
      <w:lvlText w:val=""/>
      <w:lvlJc w:val="left"/>
      <w:pPr>
        <w:ind w:left="2520" w:hanging="360"/>
      </w:pPr>
      <w:rPr>
        <w:rFonts w:ascii="Wingdings" w:hAnsi="Wingdings" w:hint="default"/>
      </w:rPr>
    </w:lvl>
    <w:lvl w:ilvl="3" w:tplc="141A0001">
      <w:start w:val="1"/>
      <w:numFmt w:val="bullet"/>
      <w:lvlText w:val=""/>
      <w:lvlJc w:val="left"/>
      <w:pPr>
        <w:ind w:left="3240" w:hanging="360"/>
      </w:pPr>
      <w:rPr>
        <w:rFonts w:ascii="Symbol" w:hAnsi="Symbol" w:hint="default"/>
      </w:rPr>
    </w:lvl>
    <w:lvl w:ilvl="4" w:tplc="141A0003">
      <w:start w:val="1"/>
      <w:numFmt w:val="bullet"/>
      <w:lvlText w:val="o"/>
      <w:lvlJc w:val="left"/>
      <w:pPr>
        <w:ind w:left="3960" w:hanging="360"/>
      </w:pPr>
      <w:rPr>
        <w:rFonts w:ascii="Courier New" w:hAnsi="Courier New" w:cs="Courier New" w:hint="default"/>
      </w:rPr>
    </w:lvl>
    <w:lvl w:ilvl="5" w:tplc="141A0005">
      <w:start w:val="1"/>
      <w:numFmt w:val="bullet"/>
      <w:lvlText w:val=""/>
      <w:lvlJc w:val="left"/>
      <w:pPr>
        <w:ind w:left="4680" w:hanging="360"/>
      </w:pPr>
      <w:rPr>
        <w:rFonts w:ascii="Wingdings" w:hAnsi="Wingdings" w:hint="default"/>
      </w:rPr>
    </w:lvl>
    <w:lvl w:ilvl="6" w:tplc="141A0001">
      <w:start w:val="1"/>
      <w:numFmt w:val="bullet"/>
      <w:lvlText w:val=""/>
      <w:lvlJc w:val="left"/>
      <w:pPr>
        <w:ind w:left="5400" w:hanging="360"/>
      </w:pPr>
      <w:rPr>
        <w:rFonts w:ascii="Symbol" w:hAnsi="Symbol" w:hint="default"/>
      </w:rPr>
    </w:lvl>
    <w:lvl w:ilvl="7" w:tplc="141A0003">
      <w:start w:val="1"/>
      <w:numFmt w:val="bullet"/>
      <w:lvlText w:val="o"/>
      <w:lvlJc w:val="left"/>
      <w:pPr>
        <w:ind w:left="6120" w:hanging="360"/>
      </w:pPr>
      <w:rPr>
        <w:rFonts w:ascii="Courier New" w:hAnsi="Courier New" w:cs="Courier New" w:hint="default"/>
      </w:rPr>
    </w:lvl>
    <w:lvl w:ilvl="8" w:tplc="141A0005">
      <w:start w:val="1"/>
      <w:numFmt w:val="bullet"/>
      <w:lvlText w:val=""/>
      <w:lvlJc w:val="left"/>
      <w:pPr>
        <w:ind w:left="6840" w:hanging="360"/>
      </w:pPr>
      <w:rPr>
        <w:rFonts w:ascii="Wingdings" w:hAnsi="Wingdings" w:hint="default"/>
      </w:rPr>
    </w:lvl>
  </w:abstractNum>
  <w:abstractNum w:abstractNumId="26" w15:restartNumberingAfterBreak="0">
    <w:nsid w:val="48411F14"/>
    <w:multiLevelType w:val="hybridMultilevel"/>
    <w:tmpl w:val="0F188DA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487D36E8"/>
    <w:multiLevelType w:val="hybridMultilevel"/>
    <w:tmpl w:val="663A2C68"/>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8" w15:restartNumberingAfterBreak="0">
    <w:nsid w:val="4BBD595A"/>
    <w:multiLevelType w:val="hybridMultilevel"/>
    <w:tmpl w:val="1CF66D94"/>
    <w:lvl w:ilvl="0" w:tplc="29727FF6">
      <w:start w:val="1"/>
      <w:numFmt w:val="bullet"/>
      <w:lvlText w:val=""/>
      <w:lvlJc w:val="left"/>
      <w:pPr>
        <w:ind w:left="720" w:hanging="360"/>
      </w:pPr>
      <w:rPr>
        <w:rFonts w:ascii="Symbol" w:hAnsi="Symbol"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4C175F67"/>
    <w:multiLevelType w:val="hybridMultilevel"/>
    <w:tmpl w:val="825C8E5E"/>
    <w:lvl w:ilvl="0" w:tplc="6B340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4B1244"/>
    <w:multiLevelType w:val="hybridMultilevel"/>
    <w:tmpl w:val="F3E4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43E27"/>
    <w:multiLevelType w:val="hybridMultilevel"/>
    <w:tmpl w:val="3F90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0F7B75"/>
    <w:multiLevelType w:val="hybridMultilevel"/>
    <w:tmpl w:val="0F9C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20B4F"/>
    <w:multiLevelType w:val="hybridMultilevel"/>
    <w:tmpl w:val="009A5A14"/>
    <w:lvl w:ilvl="0" w:tplc="FFFFFFFF">
      <w:numFmt w:val="bullet"/>
      <w:lvlText w:val="-"/>
      <w:lvlJc w:val="left"/>
      <w:pPr>
        <w:ind w:left="1070" w:hanging="360"/>
      </w:pPr>
      <w:rPr>
        <w:rFonts w:ascii="Times New Roman" w:eastAsia="Times New Roman" w:hAnsi="Times New Roman" w:cs="Times New Roman" w:hint="default"/>
      </w:rPr>
    </w:lvl>
    <w:lvl w:ilvl="1" w:tplc="141A0003">
      <w:start w:val="1"/>
      <w:numFmt w:val="bullet"/>
      <w:lvlText w:val="o"/>
      <w:lvlJc w:val="left"/>
      <w:pPr>
        <w:ind w:left="1790" w:hanging="360"/>
      </w:pPr>
      <w:rPr>
        <w:rFonts w:ascii="Courier New" w:hAnsi="Courier New" w:cs="Courier New" w:hint="default"/>
      </w:rPr>
    </w:lvl>
    <w:lvl w:ilvl="2" w:tplc="141A0005" w:tentative="1">
      <w:start w:val="1"/>
      <w:numFmt w:val="bullet"/>
      <w:lvlText w:val=""/>
      <w:lvlJc w:val="left"/>
      <w:pPr>
        <w:ind w:left="2510" w:hanging="360"/>
      </w:pPr>
      <w:rPr>
        <w:rFonts w:ascii="Wingdings" w:hAnsi="Wingdings" w:hint="default"/>
      </w:rPr>
    </w:lvl>
    <w:lvl w:ilvl="3" w:tplc="141A0001" w:tentative="1">
      <w:start w:val="1"/>
      <w:numFmt w:val="bullet"/>
      <w:lvlText w:val=""/>
      <w:lvlJc w:val="left"/>
      <w:pPr>
        <w:ind w:left="3230" w:hanging="360"/>
      </w:pPr>
      <w:rPr>
        <w:rFonts w:ascii="Symbol" w:hAnsi="Symbol" w:hint="default"/>
      </w:rPr>
    </w:lvl>
    <w:lvl w:ilvl="4" w:tplc="141A0003" w:tentative="1">
      <w:start w:val="1"/>
      <w:numFmt w:val="bullet"/>
      <w:lvlText w:val="o"/>
      <w:lvlJc w:val="left"/>
      <w:pPr>
        <w:ind w:left="3950" w:hanging="360"/>
      </w:pPr>
      <w:rPr>
        <w:rFonts w:ascii="Courier New" w:hAnsi="Courier New" w:cs="Courier New" w:hint="default"/>
      </w:rPr>
    </w:lvl>
    <w:lvl w:ilvl="5" w:tplc="141A0005" w:tentative="1">
      <w:start w:val="1"/>
      <w:numFmt w:val="bullet"/>
      <w:lvlText w:val=""/>
      <w:lvlJc w:val="left"/>
      <w:pPr>
        <w:ind w:left="4670" w:hanging="360"/>
      </w:pPr>
      <w:rPr>
        <w:rFonts w:ascii="Wingdings" w:hAnsi="Wingdings" w:hint="default"/>
      </w:rPr>
    </w:lvl>
    <w:lvl w:ilvl="6" w:tplc="141A0001" w:tentative="1">
      <w:start w:val="1"/>
      <w:numFmt w:val="bullet"/>
      <w:lvlText w:val=""/>
      <w:lvlJc w:val="left"/>
      <w:pPr>
        <w:ind w:left="5390" w:hanging="360"/>
      </w:pPr>
      <w:rPr>
        <w:rFonts w:ascii="Symbol" w:hAnsi="Symbol" w:hint="default"/>
      </w:rPr>
    </w:lvl>
    <w:lvl w:ilvl="7" w:tplc="141A0003" w:tentative="1">
      <w:start w:val="1"/>
      <w:numFmt w:val="bullet"/>
      <w:lvlText w:val="o"/>
      <w:lvlJc w:val="left"/>
      <w:pPr>
        <w:ind w:left="6110" w:hanging="360"/>
      </w:pPr>
      <w:rPr>
        <w:rFonts w:ascii="Courier New" w:hAnsi="Courier New" w:cs="Courier New" w:hint="default"/>
      </w:rPr>
    </w:lvl>
    <w:lvl w:ilvl="8" w:tplc="141A0005" w:tentative="1">
      <w:start w:val="1"/>
      <w:numFmt w:val="bullet"/>
      <w:lvlText w:val=""/>
      <w:lvlJc w:val="left"/>
      <w:pPr>
        <w:ind w:left="6830" w:hanging="360"/>
      </w:pPr>
      <w:rPr>
        <w:rFonts w:ascii="Wingdings" w:hAnsi="Wingdings" w:hint="default"/>
      </w:rPr>
    </w:lvl>
  </w:abstractNum>
  <w:abstractNum w:abstractNumId="34" w15:restartNumberingAfterBreak="0">
    <w:nsid w:val="61D20272"/>
    <w:multiLevelType w:val="hybridMultilevel"/>
    <w:tmpl w:val="F0A8E18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651A5004"/>
    <w:multiLevelType w:val="hybridMultilevel"/>
    <w:tmpl w:val="E724E96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65507EAE"/>
    <w:multiLevelType w:val="hybridMultilevel"/>
    <w:tmpl w:val="16D4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401AB"/>
    <w:multiLevelType w:val="hybridMultilevel"/>
    <w:tmpl w:val="65063408"/>
    <w:lvl w:ilvl="0" w:tplc="FFFFFFFF">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99971F9"/>
    <w:multiLevelType w:val="hybridMultilevel"/>
    <w:tmpl w:val="7D1C0E8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699F49DB"/>
    <w:multiLevelType w:val="hybridMultilevel"/>
    <w:tmpl w:val="30882C36"/>
    <w:lvl w:ilvl="0" w:tplc="FFFFFFFF">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102F9F"/>
    <w:multiLevelType w:val="hybridMultilevel"/>
    <w:tmpl w:val="46F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947F9A"/>
    <w:multiLevelType w:val="hybridMultilevel"/>
    <w:tmpl w:val="28DE45C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6D56565B"/>
    <w:multiLevelType w:val="hybridMultilevel"/>
    <w:tmpl w:val="51D4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B20E5"/>
    <w:multiLevelType w:val="hybridMultilevel"/>
    <w:tmpl w:val="717E87E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15:restartNumberingAfterBreak="0">
    <w:nsid w:val="7CFF1593"/>
    <w:multiLevelType w:val="hybridMultilevel"/>
    <w:tmpl w:val="CA36123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5" w15:restartNumberingAfterBreak="0">
    <w:nsid w:val="7D126CBE"/>
    <w:multiLevelType w:val="hybridMultilevel"/>
    <w:tmpl w:val="280E03E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6" w15:restartNumberingAfterBreak="0">
    <w:nsid w:val="7E600805"/>
    <w:multiLevelType w:val="hybridMultilevel"/>
    <w:tmpl w:val="BDA263BA"/>
    <w:lvl w:ilvl="0" w:tplc="BF56D016">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7" w15:restartNumberingAfterBreak="0">
    <w:nsid w:val="7E705BC4"/>
    <w:multiLevelType w:val="hybridMultilevel"/>
    <w:tmpl w:val="7A80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8456E3"/>
    <w:multiLevelType w:val="hybridMultilevel"/>
    <w:tmpl w:val="0168514C"/>
    <w:lvl w:ilvl="0" w:tplc="0D26E4E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45"/>
  </w:num>
  <w:num w:numId="4">
    <w:abstractNumId w:val="30"/>
  </w:num>
  <w:num w:numId="5">
    <w:abstractNumId w:val="2"/>
  </w:num>
  <w:num w:numId="6">
    <w:abstractNumId w:val="32"/>
  </w:num>
  <w:num w:numId="7">
    <w:abstractNumId w:val="9"/>
  </w:num>
  <w:num w:numId="8">
    <w:abstractNumId w:val="13"/>
  </w:num>
  <w:num w:numId="9">
    <w:abstractNumId w:val="47"/>
  </w:num>
  <w:num w:numId="10">
    <w:abstractNumId w:val="42"/>
  </w:num>
  <w:num w:numId="11">
    <w:abstractNumId w:val="7"/>
  </w:num>
  <w:num w:numId="12">
    <w:abstractNumId w:val="36"/>
  </w:num>
  <w:num w:numId="13">
    <w:abstractNumId w:val="31"/>
  </w:num>
  <w:num w:numId="14">
    <w:abstractNumId w:val="40"/>
  </w:num>
  <w:num w:numId="15">
    <w:abstractNumId w:val="6"/>
  </w:num>
  <w:num w:numId="16">
    <w:abstractNumId w:val="24"/>
  </w:num>
  <w:num w:numId="17">
    <w:abstractNumId w:val="18"/>
  </w:num>
  <w:num w:numId="18">
    <w:abstractNumId w:val="14"/>
  </w:num>
  <w:num w:numId="19">
    <w:abstractNumId w:val="1"/>
  </w:num>
  <w:num w:numId="20">
    <w:abstractNumId w:val="39"/>
  </w:num>
  <w:num w:numId="21">
    <w:abstractNumId w:val="22"/>
  </w:num>
  <w:num w:numId="22">
    <w:abstractNumId w:val="37"/>
  </w:num>
  <w:num w:numId="23">
    <w:abstractNumId w:val="8"/>
  </w:num>
  <w:num w:numId="24">
    <w:abstractNumId w:val="35"/>
  </w:num>
  <w:num w:numId="25">
    <w:abstractNumId w:val="28"/>
  </w:num>
  <w:num w:numId="26">
    <w:abstractNumId w:val="34"/>
  </w:num>
  <w:num w:numId="27">
    <w:abstractNumId w:val="4"/>
  </w:num>
  <w:num w:numId="28">
    <w:abstractNumId w:val="41"/>
  </w:num>
  <w:num w:numId="29">
    <w:abstractNumId w:val="0"/>
  </w:num>
  <w:num w:numId="30">
    <w:abstractNumId w:val="44"/>
  </w:num>
  <w:num w:numId="31">
    <w:abstractNumId w:val="43"/>
  </w:num>
  <w:num w:numId="32">
    <w:abstractNumId w:val="11"/>
  </w:num>
  <w:num w:numId="33">
    <w:abstractNumId w:val="19"/>
  </w:num>
  <w:num w:numId="34">
    <w:abstractNumId w:val="46"/>
  </w:num>
  <w:num w:numId="35">
    <w:abstractNumId w:val="48"/>
  </w:num>
  <w:num w:numId="36">
    <w:abstractNumId w:val="33"/>
  </w:num>
  <w:num w:numId="37">
    <w:abstractNumId w:val="21"/>
  </w:num>
  <w:num w:numId="38">
    <w:abstractNumId w:val="38"/>
  </w:num>
  <w:num w:numId="39">
    <w:abstractNumId w:val="10"/>
  </w:num>
  <w:num w:numId="40">
    <w:abstractNumId w:val="3"/>
  </w:num>
  <w:num w:numId="41">
    <w:abstractNumId w:val="16"/>
  </w:num>
  <w:num w:numId="42">
    <w:abstractNumId w:val="26"/>
  </w:num>
  <w:num w:numId="43">
    <w:abstractNumId w:val="23"/>
  </w:num>
  <w:num w:numId="44">
    <w:abstractNumId w:val="15"/>
  </w:num>
  <w:num w:numId="45">
    <w:abstractNumId w:val="27"/>
  </w:num>
  <w:num w:numId="46">
    <w:abstractNumId w:val="29"/>
  </w:num>
  <w:num w:numId="47">
    <w:abstractNumId w:val="25"/>
  </w:num>
  <w:num w:numId="48">
    <w:abstractNumId w:val="12"/>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DC"/>
    <w:rsid w:val="00017972"/>
    <w:rsid w:val="000E788B"/>
    <w:rsid w:val="000F0C50"/>
    <w:rsid w:val="00135659"/>
    <w:rsid w:val="001537F4"/>
    <w:rsid w:val="002422C2"/>
    <w:rsid w:val="00355C4C"/>
    <w:rsid w:val="00380B5A"/>
    <w:rsid w:val="00394009"/>
    <w:rsid w:val="003D76CB"/>
    <w:rsid w:val="003E3EDD"/>
    <w:rsid w:val="00441739"/>
    <w:rsid w:val="004611A5"/>
    <w:rsid w:val="004D6C33"/>
    <w:rsid w:val="0050105F"/>
    <w:rsid w:val="005204A3"/>
    <w:rsid w:val="0052506E"/>
    <w:rsid w:val="005D0FCD"/>
    <w:rsid w:val="005D23E0"/>
    <w:rsid w:val="005D5929"/>
    <w:rsid w:val="00600F1F"/>
    <w:rsid w:val="006229C5"/>
    <w:rsid w:val="0062797A"/>
    <w:rsid w:val="00694D67"/>
    <w:rsid w:val="006B115E"/>
    <w:rsid w:val="006E752C"/>
    <w:rsid w:val="0070505C"/>
    <w:rsid w:val="00725803"/>
    <w:rsid w:val="00750D39"/>
    <w:rsid w:val="007F003C"/>
    <w:rsid w:val="007F1350"/>
    <w:rsid w:val="00805A1D"/>
    <w:rsid w:val="00834957"/>
    <w:rsid w:val="008C788C"/>
    <w:rsid w:val="00983826"/>
    <w:rsid w:val="00A26BE8"/>
    <w:rsid w:val="00A54BD3"/>
    <w:rsid w:val="00A87702"/>
    <w:rsid w:val="00AB734B"/>
    <w:rsid w:val="00AF4CDD"/>
    <w:rsid w:val="00B8218C"/>
    <w:rsid w:val="00B942E6"/>
    <w:rsid w:val="00C025DC"/>
    <w:rsid w:val="00C5016E"/>
    <w:rsid w:val="00CB0334"/>
    <w:rsid w:val="00CE44FC"/>
    <w:rsid w:val="00D46196"/>
    <w:rsid w:val="00D57EB8"/>
    <w:rsid w:val="00D664CE"/>
    <w:rsid w:val="00DE4C92"/>
    <w:rsid w:val="00E55252"/>
    <w:rsid w:val="00E608A5"/>
    <w:rsid w:val="00EF4C3C"/>
    <w:rsid w:val="00F0612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13D0F7"/>
  <w15:chartTrackingRefBased/>
  <w15:docId w15:val="{A4DE96B4-6AE1-4B0F-A53C-56BB07AE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5DC"/>
    <w:pPr>
      <w:spacing w:before="240" w:after="120" w:line="240" w:lineRule="auto"/>
      <w:jc w:val="both"/>
    </w:pPr>
    <w:rPr>
      <w:rFonts w:ascii="Arial" w:eastAsia="Times New Roman" w:hAnsi="Arial" w:cs="Times New Roman"/>
      <w:sz w:val="24"/>
      <w:lang w:val="hr-HR"/>
    </w:rPr>
  </w:style>
  <w:style w:type="paragraph" w:styleId="Heading1">
    <w:name w:val="heading 1"/>
    <w:basedOn w:val="ListParagraph"/>
    <w:next w:val="Normal"/>
    <w:link w:val="Heading1Char"/>
    <w:uiPriority w:val="9"/>
    <w:qFormat/>
    <w:rsid w:val="00C025DC"/>
    <w:pPr>
      <w:numPr>
        <w:numId w:val="2"/>
      </w:numPr>
      <w:contextualSpacing w:val="0"/>
      <w:jc w:val="left"/>
      <w:outlineLvl w:val="0"/>
    </w:pPr>
    <w:rPr>
      <w:rFonts w:ascii="Times New Roman" w:hAnsi="Times New Roman"/>
      <w:b/>
      <w:sz w:val="28"/>
      <w:szCs w:val="24"/>
    </w:rPr>
  </w:style>
  <w:style w:type="paragraph" w:styleId="Heading2">
    <w:name w:val="heading 2"/>
    <w:basedOn w:val="LevelAssessment-Heading2"/>
    <w:link w:val="Heading2Char"/>
    <w:uiPriority w:val="9"/>
    <w:qFormat/>
    <w:rsid w:val="00C025DC"/>
    <w:pPr>
      <w:numPr>
        <w:ilvl w:val="1"/>
        <w:numId w:val="2"/>
      </w:numPr>
      <w:spacing w:after="240" w:line="360" w:lineRule="auto"/>
      <w:ind w:right="58"/>
      <w:jc w:val="both"/>
      <w:outlineLvl w:val="1"/>
    </w:pPr>
    <w:rPr>
      <w:rFonts w:ascii="Times New Roman" w:hAnsi="Times New Roman"/>
      <w:b/>
      <w:sz w:val="24"/>
      <w:szCs w:val="24"/>
    </w:rPr>
  </w:style>
  <w:style w:type="paragraph" w:styleId="Heading3">
    <w:name w:val="heading 3"/>
    <w:basedOn w:val="Normal"/>
    <w:link w:val="Heading3Char"/>
    <w:uiPriority w:val="9"/>
    <w:qFormat/>
    <w:rsid w:val="00C025DC"/>
    <w:pPr>
      <w:numPr>
        <w:ilvl w:val="2"/>
        <w:numId w:val="2"/>
      </w:numPr>
      <w:spacing w:after="240"/>
      <w:outlineLvl w:val="2"/>
    </w:pPr>
    <w:rPr>
      <w:b/>
      <w:bCs/>
      <w:szCs w:val="27"/>
    </w:rPr>
  </w:style>
  <w:style w:type="paragraph" w:styleId="Heading4">
    <w:name w:val="heading 4"/>
    <w:basedOn w:val="Normal"/>
    <w:link w:val="Heading4Char"/>
    <w:uiPriority w:val="9"/>
    <w:qFormat/>
    <w:rsid w:val="00C025DC"/>
    <w:pPr>
      <w:numPr>
        <w:ilvl w:val="3"/>
        <w:numId w:val="2"/>
      </w:numPr>
      <w:spacing w:after="0"/>
      <w:outlineLvl w:val="3"/>
    </w:pPr>
    <w:rPr>
      <w:b/>
      <w:bCs/>
      <w:szCs w:val="24"/>
    </w:rPr>
  </w:style>
  <w:style w:type="paragraph" w:styleId="Heading5">
    <w:name w:val="heading 5"/>
    <w:basedOn w:val="Normal"/>
    <w:next w:val="Normal"/>
    <w:link w:val="Heading5Char"/>
    <w:uiPriority w:val="9"/>
    <w:qFormat/>
    <w:rsid w:val="00C025DC"/>
    <w:pPr>
      <w:keepNext/>
      <w:keepLines/>
      <w:numPr>
        <w:ilvl w:val="4"/>
        <w:numId w:val="2"/>
      </w:numPr>
      <w:spacing w:after="0"/>
      <w:contextualSpacing/>
      <w:outlineLvl w:val="4"/>
    </w:pPr>
    <w:rPr>
      <w:b/>
    </w:rPr>
  </w:style>
  <w:style w:type="paragraph" w:styleId="Heading6">
    <w:name w:val="heading 6"/>
    <w:basedOn w:val="Normal"/>
    <w:next w:val="Normal"/>
    <w:link w:val="Heading6Char"/>
    <w:uiPriority w:val="9"/>
    <w:qFormat/>
    <w:rsid w:val="00C025DC"/>
    <w:pPr>
      <w:keepNext/>
      <w:keepLines/>
      <w:numPr>
        <w:ilvl w:val="5"/>
        <w:numId w:val="2"/>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C025DC"/>
    <w:pPr>
      <w:keepNext/>
      <w:keepLines/>
      <w:numPr>
        <w:ilvl w:val="6"/>
        <w:numId w:val="2"/>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C025DC"/>
    <w:pPr>
      <w:keepNext/>
      <w:keepLines/>
      <w:numPr>
        <w:ilvl w:val="7"/>
        <w:numId w:val="2"/>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C025DC"/>
    <w:pPr>
      <w:keepNext/>
      <w:keepLines/>
      <w:numPr>
        <w:ilvl w:val="8"/>
        <w:numId w:val="2"/>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5DC"/>
    <w:rPr>
      <w:rFonts w:ascii="Times New Roman" w:eastAsia="Calibri" w:hAnsi="Times New Roman" w:cs="Times New Roman"/>
      <w:b/>
      <w:sz w:val="28"/>
      <w:szCs w:val="24"/>
      <w:lang w:val="hr-BA"/>
    </w:rPr>
  </w:style>
  <w:style w:type="character" w:customStyle="1" w:styleId="Heading2Char">
    <w:name w:val="Heading 2 Char"/>
    <w:basedOn w:val="DefaultParagraphFont"/>
    <w:link w:val="Heading2"/>
    <w:uiPriority w:val="9"/>
    <w:rsid w:val="00C025DC"/>
    <w:rPr>
      <w:rFonts w:ascii="Times New Roman" w:eastAsia="Times New Roman" w:hAnsi="Times New Roman" w:cs="Times New Roman"/>
      <w:b/>
      <w:sz w:val="24"/>
      <w:szCs w:val="24"/>
      <w:lang w:val="hr-HR" w:eastAsia="ar-SA"/>
    </w:rPr>
  </w:style>
  <w:style w:type="character" w:customStyle="1" w:styleId="Heading3Char">
    <w:name w:val="Heading 3 Char"/>
    <w:basedOn w:val="DefaultParagraphFont"/>
    <w:link w:val="Heading3"/>
    <w:uiPriority w:val="9"/>
    <w:rsid w:val="00C025DC"/>
    <w:rPr>
      <w:rFonts w:ascii="Arial" w:eastAsia="Times New Roman" w:hAnsi="Arial" w:cs="Times New Roman"/>
      <w:b/>
      <w:bCs/>
      <w:sz w:val="24"/>
      <w:szCs w:val="27"/>
      <w:lang w:val="hr-HR"/>
    </w:rPr>
  </w:style>
  <w:style w:type="character" w:customStyle="1" w:styleId="Heading4Char">
    <w:name w:val="Heading 4 Char"/>
    <w:basedOn w:val="DefaultParagraphFont"/>
    <w:link w:val="Heading4"/>
    <w:uiPriority w:val="9"/>
    <w:rsid w:val="00C025DC"/>
    <w:rPr>
      <w:rFonts w:ascii="Arial" w:eastAsia="Times New Roman" w:hAnsi="Arial" w:cs="Times New Roman"/>
      <w:b/>
      <w:bCs/>
      <w:sz w:val="24"/>
      <w:szCs w:val="24"/>
      <w:lang w:val="hr-HR"/>
    </w:rPr>
  </w:style>
  <w:style w:type="character" w:customStyle="1" w:styleId="Heading5Char">
    <w:name w:val="Heading 5 Char"/>
    <w:basedOn w:val="DefaultParagraphFont"/>
    <w:link w:val="Heading5"/>
    <w:uiPriority w:val="9"/>
    <w:rsid w:val="00C025DC"/>
    <w:rPr>
      <w:rFonts w:ascii="Arial" w:eastAsia="Times New Roman" w:hAnsi="Arial" w:cs="Times New Roman"/>
      <w:b/>
      <w:sz w:val="24"/>
      <w:lang w:val="hr-HR"/>
    </w:rPr>
  </w:style>
  <w:style w:type="character" w:customStyle="1" w:styleId="Heading6Char">
    <w:name w:val="Heading 6 Char"/>
    <w:basedOn w:val="DefaultParagraphFont"/>
    <w:link w:val="Heading6"/>
    <w:uiPriority w:val="9"/>
    <w:rsid w:val="00C025DC"/>
    <w:rPr>
      <w:rFonts w:ascii="Cambria" w:eastAsia="Times New Roman" w:hAnsi="Cambria" w:cs="Times New Roman"/>
      <w:i/>
      <w:iCs/>
      <w:color w:val="243F60"/>
      <w:sz w:val="24"/>
      <w:lang w:val="hr-HR"/>
    </w:rPr>
  </w:style>
  <w:style w:type="character" w:customStyle="1" w:styleId="Heading7Char">
    <w:name w:val="Heading 7 Char"/>
    <w:basedOn w:val="DefaultParagraphFont"/>
    <w:link w:val="Heading7"/>
    <w:uiPriority w:val="9"/>
    <w:rsid w:val="00C025DC"/>
    <w:rPr>
      <w:rFonts w:ascii="Cambria" w:eastAsia="Times New Roman" w:hAnsi="Cambria" w:cs="Times New Roman"/>
      <w:i/>
      <w:iCs/>
      <w:color w:val="404040"/>
      <w:sz w:val="24"/>
      <w:lang w:val="hr-HR"/>
    </w:rPr>
  </w:style>
  <w:style w:type="character" w:customStyle="1" w:styleId="Heading8Char">
    <w:name w:val="Heading 8 Char"/>
    <w:basedOn w:val="DefaultParagraphFont"/>
    <w:link w:val="Heading8"/>
    <w:uiPriority w:val="9"/>
    <w:rsid w:val="00C025DC"/>
    <w:rPr>
      <w:rFonts w:ascii="Cambria" w:eastAsia="Times New Roman" w:hAnsi="Cambria" w:cs="Times New Roman"/>
      <w:color w:val="404040"/>
      <w:sz w:val="20"/>
      <w:szCs w:val="20"/>
      <w:lang w:val="hr-HR"/>
    </w:rPr>
  </w:style>
  <w:style w:type="character" w:customStyle="1" w:styleId="Heading9Char">
    <w:name w:val="Heading 9 Char"/>
    <w:basedOn w:val="DefaultParagraphFont"/>
    <w:link w:val="Heading9"/>
    <w:uiPriority w:val="9"/>
    <w:rsid w:val="00C025DC"/>
    <w:rPr>
      <w:rFonts w:ascii="Cambria" w:eastAsia="Times New Roman" w:hAnsi="Cambria" w:cs="Times New Roman"/>
      <w:i/>
      <w:iCs/>
      <w:color w:val="404040"/>
      <w:sz w:val="20"/>
      <w:szCs w:val="20"/>
      <w:lang w:val="hr-HR"/>
    </w:rPr>
  </w:style>
  <w:style w:type="paragraph" w:styleId="ListParagraph">
    <w:name w:val="List Paragraph"/>
    <w:basedOn w:val="Normal"/>
    <w:uiPriority w:val="34"/>
    <w:qFormat/>
    <w:rsid w:val="00C025DC"/>
    <w:pPr>
      <w:ind w:left="720"/>
      <w:contextualSpacing/>
    </w:pPr>
    <w:rPr>
      <w:rFonts w:ascii="Calibri" w:eastAsia="Calibri" w:hAnsi="Calibri"/>
      <w:lang w:val="hr-BA"/>
    </w:rPr>
  </w:style>
  <w:style w:type="paragraph" w:customStyle="1" w:styleId="LevelAssessment-Heading2">
    <w:name w:val="Level Assessment - Heading 2"/>
    <w:basedOn w:val="Normal"/>
    <w:rsid w:val="00C025DC"/>
    <w:pPr>
      <w:suppressAutoHyphens/>
      <w:spacing w:after="0"/>
      <w:ind w:left="57" w:right="57"/>
      <w:jc w:val="center"/>
    </w:pPr>
    <w:rPr>
      <w:rFonts w:ascii="Arial Narrow" w:hAnsi="Arial Narrow"/>
      <w:sz w:val="18"/>
      <w:szCs w:val="20"/>
      <w:lang w:eastAsia="ar-SA"/>
    </w:rPr>
  </w:style>
  <w:style w:type="paragraph" w:styleId="Header">
    <w:name w:val="header"/>
    <w:basedOn w:val="Normal"/>
    <w:link w:val="HeaderChar"/>
    <w:uiPriority w:val="99"/>
    <w:unhideWhenUsed/>
    <w:rsid w:val="00C025DC"/>
    <w:pPr>
      <w:tabs>
        <w:tab w:val="center" w:pos="4680"/>
        <w:tab w:val="right" w:pos="9360"/>
      </w:tabs>
      <w:spacing w:after="0"/>
    </w:pPr>
    <w:rPr>
      <w:rFonts w:ascii="Calibri" w:eastAsia="Calibri" w:hAnsi="Calibri"/>
      <w:lang w:val="hr-BA"/>
    </w:rPr>
  </w:style>
  <w:style w:type="character" w:customStyle="1" w:styleId="HeaderChar">
    <w:name w:val="Header Char"/>
    <w:basedOn w:val="DefaultParagraphFont"/>
    <w:link w:val="Header"/>
    <w:uiPriority w:val="99"/>
    <w:rsid w:val="00C025DC"/>
    <w:rPr>
      <w:rFonts w:ascii="Calibri" w:eastAsia="Calibri" w:hAnsi="Calibri" w:cs="Times New Roman"/>
      <w:sz w:val="24"/>
      <w:lang w:val="hr-BA"/>
    </w:rPr>
  </w:style>
  <w:style w:type="paragraph" w:styleId="Footer">
    <w:name w:val="footer"/>
    <w:basedOn w:val="Normal"/>
    <w:link w:val="FooterChar"/>
    <w:uiPriority w:val="99"/>
    <w:unhideWhenUsed/>
    <w:rsid w:val="00C025DC"/>
    <w:pPr>
      <w:tabs>
        <w:tab w:val="center" w:pos="4680"/>
        <w:tab w:val="right" w:pos="9360"/>
      </w:tabs>
      <w:spacing w:after="0"/>
    </w:pPr>
    <w:rPr>
      <w:rFonts w:ascii="Calibri" w:eastAsia="Calibri" w:hAnsi="Calibri"/>
      <w:lang w:val="hr-BA"/>
    </w:rPr>
  </w:style>
  <w:style w:type="character" w:customStyle="1" w:styleId="FooterChar">
    <w:name w:val="Footer Char"/>
    <w:basedOn w:val="DefaultParagraphFont"/>
    <w:link w:val="Footer"/>
    <w:uiPriority w:val="99"/>
    <w:rsid w:val="00C025DC"/>
    <w:rPr>
      <w:rFonts w:ascii="Calibri" w:eastAsia="Calibri" w:hAnsi="Calibri" w:cs="Times New Roman"/>
      <w:sz w:val="24"/>
      <w:lang w:val="hr-BA"/>
    </w:rPr>
  </w:style>
  <w:style w:type="paragraph" w:customStyle="1" w:styleId="Default">
    <w:name w:val="Default"/>
    <w:rsid w:val="00C025D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unhideWhenUsed/>
    <w:rsid w:val="00C025DC"/>
    <w:rPr>
      <w:color w:val="0000FF"/>
      <w:u w:val="single"/>
    </w:rPr>
  </w:style>
  <w:style w:type="character" w:customStyle="1" w:styleId="zuti">
    <w:name w:val="zuti"/>
    <w:basedOn w:val="DefaultParagraphFont"/>
    <w:rsid w:val="00C025DC"/>
  </w:style>
  <w:style w:type="character" w:customStyle="1" w:styleId="z-TopofFormChar">
    <w:name w:val="z-Top of Form Char"/>
    <w:basedOn w:val="DefaultParagraphFont"/>
    <w:link w:val="z-TopofForm"/>
    <w:uiPriority w:val="99"/>
    <w:semiHidden/>
    <w:rsid w:val="00C025DC"/>
    <w:rPr>
      <w:rFonts w:ascii="Arial" w:eastAsia="Times New Roman" w:hAnsi="Arial" w:cs="Times New Roman"/>
      <w:vanish/>
      <w:sz w:val="16"/>
      <w:szCs w:val="16"/>
      <w:lang w:val="hr-HR"/>
    </w:rPr>
  </w:style>
  <w:style w:type="paragraph" w:styleId="z-TopofForm">
    <w:name w:val="HTML Top of Form"/>
    <w:basedOn w:val="Normal"/>
    <w:next w:val="Normal"/>
    <w:link w:val="z-TopofFormChar"/>
    <w:hidden/>
    <w:uiPriority w:val="99"/>
    <w:semiHidden/>
    <w:unhideWhenUsed/>
    <w:rsid w:val="00C025DC"/>
    <w:pPr>
      <w:pBdr>
        <w:bottom w:val="single" w:sz="6" w:space="1" w:color="auto"/>
      </w:pBdr>
      <w:spacing w:after="0"/>
      <w:jc w:val="center"/>
    </w:pPr>
    <w:rPr>
      <w:vanish/>
      <w:sz w:val="16"/>
      <w:szCs w:val="16"/>
    </w:rPr>
  </w:style>
  <w:style w:type="character" w:customStyle="1" w:styleId="z-TopofFormChar1">
    <w:name w:val="z-Top of Form Char1"/>
    <w:basedOn w:val="DefaultParagraphFont"/>
    <w:uiPriority w:val="99"/>
    <w:semiHidden/>
    <w:rsid w:val="00C025DC"/>
    <w:rPr>
      <w:rFonts w:ascii="Arial" w:eastAsia="Times New Roman" w:hAnsi="Arial" w:cs="Arial"/>
      <w:vanish/>
      <w:sz w:val="16"/>
      <w:szCs w:val="16"/>
      <w:lang w:val="hr-HR"/>
    </w:rPr>
  </w:style>
  <w:style w:type="character" w:customStyle="1" w:styleId="z-BottomofFormChar">
    <w:name w:val="z-Bottom of Form Char"/>
    <w:basedOn w:val="DefaultParagraphFont"/>
    <w:link w:val="z-BottomofForm"/>
    <w:uiPriority w:val="99"/>
    <w:semiHidden/>
    <w:rsid w:val="00C025DC"/>
    <w:rPr>
      <w:rFonts w:ascii="Arial" w:eastAsia="Times New Roman" w:hAnsi="Arial" w:cs="Times New Roman"/>
      <w:vanish/>
      <w:sz w:val="16"/>
      <w:szCs w:val="16"/>
      <w:lang w:val="hr-HR"/>
    </w:rPr>
  </w:style>
  <w:style w:type="paragraph" w:styleId="z-BottomofForm">
    <w:name w:val="HTML Bottom of Form"/>
    <w:basedOn w:val="Normal"/>
    <w:next w:val="Normal"/>
    <w:link w:val="z-BottomofFormChar"/>
    <w:hidden/>
    <w:uiPriority w:val="99"/>
    <w:semiHidden/>
    <w:unhideWhenUsed/>
    <w:rsid w:val="00C025DC"/>
    <w:pPr>
      <w:pBdr>
        <w:top w:val="single" w:sz="6" w:space="1" w:color="auto"/>
      </w:pBdr>
      <w:spacing w:after="0"/>
      <w:jc w:val="center"/>
    </w:pPr>
    <w:rPr>
      <w:vanish/>
      <w:sz w:val="16"/>
      <w:szCs w:val="16"/>
    </w:rPr>
  </w:style>
  <w:style w:type="character" w:customStyle="1" w:styleId="z-BottomofFormChar1">
    <w:name w:val="z-Bottom of Form Char1"/>
    <w:basedOn w:val="DefaultParagraphFont"/>
    <w:uiPriority w:val="99"/>
    <w:semiHidden/>
    <w:rsid w:val="00C025DC"/>
    <w:rPr>
      <w:rFonts w:ascii="Arial" w:eastAsia="Times New Roman" w:hAnsi="Arial" w:cs="Arial"/>
      <w:vanish/>
      <w:sz w:val="16"/>
      <w:szCs w:val="16"/>
      <w:lang w:val="hr-HR"/>
    </w:rPr>
  </w:style>
  <w:style w:type="paragraph" w:styleId="NormalWeb">
    <w:name w:val="Normal (Web)"/>
    <w:basedOn w:val="Normal"/>
    <w:uiPriority w:val="99"/>
    <w:unhideWhenUsed/>
    <w:rsid w:val="00C025DC"/>
    <w:pPr>
      <w:spacing w:before="100" w:beforeAutospacing="1" w:after="100" w:afterAutospacing="1"/>
    </w:pPr>
    <w:rPr>
      <w:szCs w:val="24"/>
      <w:lang w:val="hr-BA"/>
    </w:rPr>
  </w:style>
  <w:style w:type="character" w:customStyle="1" w:styleId="BalloonTextChar">
    <w:name w:val="Balloon Text Char"/>
    <w:basedOn w:val="DefaultParagraphFont"/>
    <w:link w:val="BalloonText"/>
    <w:uiPriority w:val="99"/>
    <w:semiHidden/>
    <w:rsid w:val="00C025DC"/>
    <w:rPr>
      <w:rFonts w:ascii="Tahoma" w:eastAsia="Calibri" w:hAnsi="Tahoma" w:cs="Times New Roman"/>
      <w:sz w:val="16"/>
      <w:szCs w:val="16"/>
      <w:lang w:val="hr-HR"/>
    </w:rPr>
  </w:style>
  <w:style w:type="paragraph" w:styleId="BalloonText">
    <w:name w:val="Balloon Text"/>
    <w:basedOn w:val="Normal"/>
    <w:link w:val="BalloonTextChar"/>
    <w:uiPriority w:val="99"/>
    <w:semiHidden/>
    <w:unhideWhenUsed/>
    <w:rsid w:val="00C025DC"/>
    <w:pPr>
      <w:spacing w:after="0"/>
    </w:pPr>
    <w:rPr>
      <w:rFonts w:ascii="Tahoma" w:eastAsia="Calibri" w:hAnsi="Tahoma"/>
      <w:sz w:val="16"/>
      <w:szCs w:val="16"/>
    </w:rPr>
  </w:style>
  <w:style w:type="character" w:customStyle="1" w:styleId="BalloonTextChar1">
    <w:name w:val="Balloon Text Char1"/>
    <w:basedOn w:val="DefaultParagraphFont"/>
    <w:uiPriority w:val="99"/>
    <w:semiHidden/>
    <w:rsid w:val="00C025DC"/>
    <w:rPr>
      <w:rFonts w:ascii="Segoe UI" w:eastAsia="Times New Roman" w:hAnsi="Segoe UI" w:cs="Segoe UI"/>
      <w:sz w:val="18"/>
      <w:szCs w:val="18"/>
      <w:lang w:val="hr-HR"/>
    </w:rPr>
  </w:style>
  <w:style w:type="character" w:styleId="Strong">
    <w:name w:val="Strong"/>
    <w:uiPriority w:val="22"/>
    <w:qFormat/>
    <w:rsid w:val="00C025DC"/>
    <w:rPr>
      <w:b/>
      <w:bCs/>
    </w:rPr>
  </w:style>
  <w:style w:type="paragraph" w:customStyle="1" w:styleId="aftertitle">
    <w:name w:val="after_title"/>
    <w:basedOn w:val="Normal"/>
    <w:rsid w:val="00C025DC"/>
    <w:pPr>
      <w:spacing w:before="100" w:beforeAutospacing="1" w:after="100" w:afterAutospacing="1"/>
    </w:pPr>
    <w:rPr>
      <w:szCs w:val="24"/>
      <w:lang w:val="hr-BA"/>
    </w:rPr>
  </w:style>
  <w:style w:type="character" w:customStyle="1" w:styleId="apple-style-span">
    <w:name w:val="apple-style-span"/>
    <w:basedOn w:val="DefaultParagraphFont"/>
    <w:rsid w:val="00C025DC"/>
  </w:style>
  <w:style w:type="character" w:customStyle="1" w:styleId="hps">
    <w:name w:val="hps"/>
    <w:basedOn w:val="DefaultParagraphFont"/>
    <w:rsid w:val="00C025DC"/>
  </w:style>
  <w:style w:type="paragraph" w:styleId="FootnoteText">
    <w:name w:val="footnote text"/>
    <w:aliases w:val="single space,footnote text"/>
    <w:basedOn w:val="Normal"/>
    <w:link w:val="FootnoteTextChar"/>
    <w:rsid w:val="00C025DC"/>
    <w:pPr>
      <w:spacing w:after="0"/>
    </w:pPr>
    <w:rPr>
      <w:sz w:val="20"/>
      <w:szCs w:val="20"/>
    </w:rPr>
  </w:style>
  <w:style w:type="character" w:customStyle="1" w:styleId="FootnoteTextChar">
    <w:name w:val="Footnote Text Char"/>
    <w:aliases w:val="single space Char,footnote text Char"/>
    <w:basedOn w:val="DefaultParagraphFont"/>
    <w:link w:val="FootnoteText"/>
    <w:rsid w:val="00C025DC"/>
    <w:rPr>
      <w:rFonts w:ascii="Arial" w:eastAsia="Times New Roman" w:hAnsi="Arial" w:cs="Times New Roman"/>
      <w:sz w:val="20"/>
      <w:szCs w:val="20"/>
      <w:lang w:val="hr-HR"/>
    </w:rPr>
  </w:style>
  <w:style w:type="character" w:styleId="Emphasis">
    <w:name w:val="Emphasis"/>
    <w:qFormat/>
    <w:rsid w:val="00C025DC"/>
    <w:rPr>
      <w:i/>
      <w:iCs/>
    </w:rPr>
  </w:style>
  <w:style w:type="character" w:customStyle="1" w:styleId="EndnoteTextChar">
    <w:name w:val="Endnote Text Char"/>
    <w:basedOn w:val="DefaultParagraphFont"/>
    <w:link w:val="EndnoteText"/>
    <w:uiPriority w:val="99"/>
    <w:semiHidden/>
    <w:rsid w:val="00C025DC"/>
    <w:rPr>
      <w:rFonts w:ascii="Calibri" w:eastAsia="Calibri" w:hAnsi="Calibri" w:cs="Times New Roman"/>
      <w:sz w:val="20"/>
      <w:szCs w:val="20"/>
      <w:lang w:val="hr-HR"/>
    </w:rPr>
  </w:style>
  <w:style w:type="paragraph" w:styleId="EndnoteText">
    <w:name w:val="endnote text"/>
    <w:basedOn w:val="Normal"/>
    <w:link w:val="EndnoteTextChar"/>
    <w:uiPriority w:val="99"/>
    <w:semiHidden/>
    <w:unhideWhenUsed/>
    <w:rsid w:val="00C025DC"/>
    <w:pPr>
      <w:spacing w:after="0"/>
    </w:pPr>
    <w:rPr>
      <w:rFonts w:ascii="Calibri" w:eastAsia="Calibri" w:hAnsi="Calibri"/>
      <w:sz w:val="20"/>
      <w:szCs w:val="20"/>
    </w:rPr>
  </w:style>
  <w:style w:type="character" w:customStyle="1" w:styleId="EndnoteTextChar1">
    <w:name w:val="Endnote Text Char1"/>
    <w:basedOn w:val="DefaultParagraphFont"/>
    <w:uiPriority w:val="99"/>
    <w:semiHidden/>
    <w:rsid w:val="00C025DC"/>
    <w:rPr>
      <w:rFonts w:ascii="Arial" w:eastAsia="Times New Roman" w:hAnsi="Arial" w:cs="Times New Roman"/>
      <w:sz w:val="20"/>
      <w:szCs w:val="20"/>
      <w:lang w:val="hr-HR"/>
    </w:rPr>
  </w:style>
  <w:style w:type="character" w:customStyle="1" w:styleId="hit">
    <w:name w:val="hit"/>
    <w:basedOn w:val="DefaultParagraphFont"/>
    <w:rsid w:val="00C025DC"/>
  </w:style>
  <w:style w:type="paragraph" w:customStyle="1" w:styleId="body-paragraph">
    <w:name w:val="body-paragraph"/>
    <w:basedOn w:val="Normal"/>
    <w:rsid w:val="00C025DC"/>
    <w:pPr>
      <w:spacing w:before="100" w:beforeAutospacing="1" w:after="100" w:afterAutospacing="1"/>
    </w:pPr>
    <w:rPr>
      <w:szCs w:val="24"/>
      <w:lang w:val="hr-BA"/>
    </w:rPr>
  </w:style>
  <w:style w:type="paragraph" w:customStyle="1" w:styleId="CVTitle">
    <w:name w:val="CV Title"/>
    <w:basedOn w:val="Normal"/>
    <w:rsid w:val="00C025DC"/>
    <w:pPr>
      <w:suppressAutoHyphens/>
      <w:spacing w:after="0"/>
      <w:ind w:left="113" w:right="113"/>
      <w:jc w:val="right"/>
    </w:pPr>
    <w:rPr>
      <w:rFonts w:ascii="Arial Narrow" w:hAnsi="Arial Narrow"/>
      <w:b/>
      <w:bCs/>
      <w:spacing w:val="10"/>
      <w:sz w:val="28"/>
      <w:szCs w:val="20"/>
      <w:lang w:eastAsia="ar-SA"/>
    </w:rPr>
  </w:style>
  <w:style w:type="paragraph" w:customStyle="1" w:styleId="CVHeading1">
    <w:name w:val="CV Heading 1"/>
    <w:basedOn w:val="Normal"/>
    <w:next w:val="Normal"/>
    <w:rsid w:val="00C025DC"/>
    <w:pPr>
      <w:suppressAutoHyphens/>
      <w:spacing w:before="74" w:after="0"/>
      <w:ind w:left="113" w:right="113"/>
      <w:jc w:val="right"/>
    </w:pPr>
    <w:rPr>
      <w:rFonts w:ascii="Arial Narrow" w:hAnsi="Arial Narrow"/>
      <w:b/>
      <w:szCs w:val="20"/>
      <w:lang w:eastAsia="ar-SA"/>
    </w:rPr>
  </w:style>
  <w:style w:type="paragraph" w:customStyle="1" w:styleId="CVHeading2-FirstLine">
    <w:name w:val="CV Heading 2 - First Line"/>
    <w:basedOn w:val="Normal"/>
    <w:next w:val="Normal"/>
    <w:rsid w:val="00C025DC"/>
    <w:pPr>
      <w:suppressAutoHyphens/>
      <w:spacing w:before="74" w:after="0"/>
      <w:ind w:left="113" w:right="113"/>
      <w:jc w:val="right"/>
    </w:pPr>
    <w:rPr>
      <w:rFonts w:ascii="Arial Narrow" w:hAnsi="Arial Narrow"/>
      <w:szCs w:val="20"/>
      <w:lang w:eastAsia="ar-SA"/>
    </w:rPr>
  </w:style>
  <w:style w:type="paragraph" w:customStyle="1" w:styleId="CVHeading3">
    <w:name w:val="CV Heading 3"/>
    <w:basedOn w:val="Normal"/>
    <w:next w:val="Normal"/>
    <w:rsid w:val="00C025DC"/>
    <w:pPr>
      <w:suppressAutoHyphens/>
      <w:spacing w:after="0"/>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C025DC"/>
    <w:pPr>
      <w:spacing w:before="74"/>
    </w:pPr>
  </w:style>
  <w:style w:type="paragraph" w:customStyle="1" w:styleId="CVMajor-FirstLine">
    <w:name w:val="CV Major - First Line"/>
    <w:basedOn w:val="Normal"/>
    <w:next w:val="Normal"/>
    <w:rsid w:val="00C025DC"/>
    <w:pPr>
      <w:suppressAutoHyphens/>
      <w:spacing w:before="74" w:after="0"/>
      <w:ind w:left="113" w:right="113"/>
    </w:pPr>
    <w:rPr>
      <w:rFonts w:ascii="Arial Narrow" w:hAnsi="Arial Narrow"/>
      <w:b/>
      <w:szCs w:val="20"/>
      <w:lang w:eastAsia="ar-SA"/>
    </w:rPr>
  </w:style>
  <w:style w:type="paragraph" w:customStyle="1" w:styleId="CVNormal">
    <w:name w:val="CV Normal"/>
    <w:basedOn w:val="Normal"/>
    <w:rsid w:val="00C025DC"/>
    <w:pPr>
      <w:suppressAutoHyphens/>
      <w:spacing w:after="0"/>
      <w:ind w:left="113" w:right="113"/>
    </w:pPr>
    <w:rPr>
      <w:rFonts w:ascii="Arial Narrow" w:hAnsi="Arial Narrow"/>
      <w:sz w:val="20"/>
      <w:szCs w:val="20"/>
      <w:lang w:eastAsia="ar-SA"/>
    </w:rPr>
  </w:style>
  <w:style w:type="paragraph" w:customStyle="1" w:styleId="CVSpacer">
    <w:name w:val="CV Spacer"/>
    <w:basedOn w:val="CVNormal"/>
    <w:rsid w:val="00C025DC"/>
    <w:rPr>
      <w:sz w:val="4"/>
    </w:rPr>
  </w:style>
  <w:style w:type="paragraph" w:customStyle="1" w:styleId="CVNormal-FirstLine">
    <w:name w:val="CV Normal - First Line"/>
    <w:basedOn w:val="CVNormal"/>
    <w:next w:val="CVNormal"/>
    <w:rsid w:val="00C025DC"/>
    <w:pPr>
      <w:spacing w:before="74"/>
    </w:pPr>
  </w:style>
  <w:style w:type="paragraph" w:customStyle="1" w:styleId="CVHeadingLanguage">
    <w:name w:val="CV Heading Language"/>
    <w:basedOn w:val="Normal"/>
    <w:next w:val="LevelAssessment-Code"/>
    <w:rsid w:val="00C025DC"/>
    <w:pPr>
      <w:suppressAutoHyphens/>
      <w:spacing w:after="0"/>
      <w:ind w:left="113" w:right="113"/>
      <w:jc w:val="right"/>
    </w:pPr>
    <w:rPr>
      <w:rFonts w:ascii="Arial Narrow" w:hAnsi="Arial Narrow"/>
      <w:b/>
      <w:szCs w:val="20"/>
      <w:lang w:eastAsia="ar-SA"/>
    </w:rPr>
  </w:style>
  <w:style w:type="paragraph" w:customStyle="1" w:styleId="LevelAssessment-Code">
    <w:name w:val="Level Assessment - Code"/>
    <w:basedOn w:val="Normal"/>
    <w:next w:val="LevelAssessment-Description"/>
    <w:rsid w:val="00C025DC"/>
    <w:pPr>
      <w:suppressAutoHyphens/>
      <w:spacing w:after="0"/>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C025DC"/>
    <w:pPr>
      <w:textAlignment w:val="bottom"/>
    </w:pPr>
  </w:style>
  <w:style w:type="paragraph" w:customStyle="1" w:styleId="CVHeadingLevel">
    <w:name w:val="CV Heading Level"/>
    <w:basedOn w:val="CVHeading3"/>
    <w:next w:val="Normal"/>
    <w:rsid w:val="00C025DC"/>
    <w:rPr>
      <w:i/>
    </w:rPr>
  </w:style>
  <w:style w:type="paragraph" w:customStyle="1" w:styleId="LevelAssessment-Heading1">
    <w:name w:val="Level Assessment - Heading 1"/>
    <w:basedOn w:val="LevelAssessment-Code"/>
    <w:rsid w:val="00C025DC"/>
    <w:pPr>
      <w:ind w:left="57" w:right="57"/>
    </w:pPr>
    <w:rPr>
      <w:b/>
      <w:sz w:val="22"/>
    </w:rPr>
  </w:style>
  <w:style w:type="paragraph" w:customStyle="1" w:styleId="LevelAssessment-Note">
    <w:name w:val="Level Assessment - Note"/>
    <w:basedOn w:val="LevelAssessment-Code"/>
    <w:rsid w:val="00C025DC"/>
    <w:pPr>
      <w:ind w:left="113"/>
      <w:jc w:val="left"/>
    </w:pPr>
    <w:rPr>
      <w:i/>
    </w:rPr>
  </w:style>
  <w:style w:type="character" w:customStyle="1" w:styleId="a1">
    <w:name w:val="a1"/>
    <w:rsid w:val="00C025DC"/>
    <w:rPr>
      <w:bdr w:val="none" w:sz="0" w:space="0" w:color="auto" w:frame="1"/>
    </w:rPr>
  </w:style>
  <w:style w:type="character" w:customStyle="1" w:styleId="a">
    <w:name w:val="a"/>
    <w:basedOn w:val="DefaultParagraphFont"/>
    <w:rsid w:val="00C025DC"/>
  </w:style>
  <w:style w:type="character" w:customStyle="1" w:styleId="l6">
    <w:name w:val="l6"/>
    <w:basedOn w:val="DefaultParagraphFont"/>
    <w:rsid w:val="00C025DC"/>
  </w:style>
  <w:style w:type="character" w:customStyle="1" w:styleId="l7">
    <w:name w:val="l7"/>
    <w:basedOn w:val="DefaultParagraphFont"/>
    <w:rsid w:val="00C025DC"/>
  </w:style>
  <w:style w:type="character" w:customStyle="1" w:styleId="decoration">
    <w:name w:val="decoration"/>
    <w:basedOn w:val="DefaultParagraphFont"/>
    <w:rsid w:val="00C025DC"/>
  </w:style>
  <w:style w:type="paragraph" w:styleId="TOCHeading">
    <w:name w:val="TOC Heading"/>
    <w:basedOn w:val="Heading1"/>
    <w:next w:val="Normal"/>
    <w:uiPriority w:val="39"/>
    <w:qFormat/>
    <w:rsid w:val="00C025DC"/>
    <w:pPr>
      <w:numPr>
        <w:numId w:val="0"/>
      </w:numPr>
      <w:outlineLvl w:val="9"/>
    </w:pPr>
    <w:rPr>
      <w:rFonts w:ascii="Cambria" w:eastAsia="Times New Roman" w:hAnsi="Cambria"/>
      <w:color w:val="365F91"/>
    </w:rPr>
  </w:style>
  <w:style w:type="paragraph" w:styleId="TOC3">
    <w:name w:val="toc 3"/>
    <w:basedOn w:val="Normal"/>
    <w:next w:val="Normal"/>
    <w:autoRedefine/>
    <w:uiPriority w:val="39"/>
    <w:unhideWhenUsed/>
    <w:qFormat/>
    <w:rsid w:val="00C025DC"/>
    <w:pPr>
      <w:tabs>
        <w:tab w:val="left" w:pos="1320"/>
        <w:tab w:val="right" w:leader="dot" w:pos="8827"/>
      </w:tabs>
      <w:spacing w:before="0" w:after="0"/>
      <w:ind w:left="440"/>
    </w:pPr>
    <w:rPr>
      <w:rFonts w:ascii="Calibri" w:eastAsia="Calibri" w:hAnsi="Calibri"/>
      <w:lang w:val="hr-BA"/>
    </w:rPr>
  </w:style>
  <w:style w:type="paragraph" w:styleId="TOC1">
    <w:name w:val="toc 1"/>
    <w:basedOn w:val="Normal"/>
    <w:next w:val="Normal"/>
    <w:autoRedefine/>
    <w:uiPriority w:val="39"/>
    <w:unhideWhenUsed/>
    <w:qFormat/>
    <w:rsid w:val="00C025DC"/>
    <w:pPr>
      <w:tabs>
        <w:tab w:val="left" w:pos="440"/>
        <w:tab w:val="right" w:leader="dot" w:pos="8827"/>
      </w:tabs>
      <w:spacing w:before="0" w:after="0"/>
      <w:ind w:left="142" w:right="142"/>
    </w:pPr>
    <w:rPr>
      <w:rFonts w:eastAsia="Calibri"/>
      <w:b/>
      <w:noProof/>
      <w:szCs w:val="24"/>
      <w:lang w:val="hr-BA"/>
    </w:rPr>
  </w:style>
  <w:style w:type="paragraph" w:styleId="TOC2">
    <w:name w:val="toc 2"/>
    <w:basedOn w:val="Normal"/>
    <w:next w:val="Normal"/>
    <w:autoRedefine/>
    <w:uiPriority w:val="39"/>
    <w:unhideWhenUsed/>
    <w:qFormat/>
    <w:rsid w:val="00C025DC"/>
    <w:pPr>
      <w:tabs>
        <w:tab w:val="left" w:pos="880"/>
        <w:tab w:val="right" w:leader="dot" w:pos="8827"/>
      </w:tabs>
      <w:spacing w:before="120" w:after="100" w:afterAutospacing="1"/>
      <w:ind w:left="142" w:right="142"/>
      <w:contextualSpacing/>
    </w:pPr>
    <w:rPr>
      <w:rFonts w:eastAsia="Calibri"/>
      <w:noProof/>
      <w:lang w:val="hr-BA"/>
    </w:rPr>
  </w:style>
  <w:style w:type="paragraph" w:styleId="TOC4">
    <w:name w:val="toc 4"/>
    <w:basedOn w:val="Normal"/>
    <w:next w:val="Normal"/>
    <w:autoRedefine/>
    <w:uiPriority w:val="39"/>
    <w:unhideWhenUsed/>
    <w:rsid w:val="00C025DC"/>
    <w:pPr>
      <w:spacing w:after="100"/>
      <w:ind w:left="660"/>
    </w:pPr>
    <w:rPr>
      <w:rFonts w:ascii="Calibri" w:hAnsi="Calibri"/>
      <w:lang w:val="hr-BA"/>
    </w:rPr>
  </w:style>
  <w:style w:type="paragraph" w:styleId="TOC5">
    <w:name w:val="toc 5"/>
    <w:basedOn w:val="Normal"/>
    <w:next w:val="Normal"/>
    <w:autoRedefine/>
    <w:uiPriority w:val="39"/>
    <w:unhideWhenUsed/>
    <w:rsid w:val="00C025DC"/>
    <w:pPr>
      <w:spacing w:after="100"/>
      <w:ind w:left="880"/>
    </w:pPr>
    <w:rPr>
      <w:rFonts w:ascii="Calibri" w:hAnsi="Calibri"/>
      <w:lang w:val="hr-BA"/>
    </w:rPr>
  </w:style>
  <w:style w:type="paragraph" w:styleId="TOC6">
    <w:name w:val="toc 6"/>
    <w:basedOn w:val="Normal"/>
    <w:next w:val="Normal"/>
    <w:autoRedefine/>
    <w:uiPriority w:val="39"/>
    <w:unhideWhenUsed/>
    <w:rsid w:val="00C025DC"/>
    <w:pPr>
      <w:spacing w:after="100"/>
      <w:ind w:left="1100"/>
    </w:pPr>
    <w:rPr>
      <w:rFonts w:ascii="Calibri" w:hAnsi="Calibri"/>
      <w:lang w:val="hr-BA"/>
    </w:rPr>
  </w:style>
  <w:style w:type="paragraph" w:styleId="TOC7">
    <w:name w:val="toc 7"/>
    <w:basedOn w:val="Normal"/>
    <w:next w:val="Normal"/>
    <w:autoRedefine/>
    <w:uiPriority w:val="39"/>
    <w:unhideWhenUsed/>
    <w:rsid w:val="00C025DC"/>
    <w:pPr>
      <w:spacing w:after="100"/>
      <w:ind w:left="1320"/>
    </w:pPr>
    <w:rPr>
      <w:rFonts w:ascii="Calibri" w:hAnsi="Calibri"/>
      <w:lang w:val="hr-BA"/>
    </w:rPr>
  </w:style>
  <w:style w:type="paragraph" w:styleId="TOC8">
    <w:name w:val="toc 8"/>
    <w:basedOn w:val="Normal"/>
    <w:next w:val="Normal"/>
    <w:autoRedefine/>
    <w:uiPriority w:val="39"/>
    <w:unhideWhenUsed/>
    <w:rsid w:val="00C025DC"/>
    <w:pPr>
      <w:spacing w:after="100"/>
      <w:ind w:left="1540"/>
    </w:pPr>
    <w:rPr>
      <w:rFonts w:ascii="Calibri" w:hAnsi="Calibri"/>
      <w:lang w:val="hr-BA"/>
    </w:rPr>
  </w:style>
  <w:style w:type="paragraph" w:styleId="TOC9">
    <w:name w:val="toc 9"/>
    <w:basedOn w:val="Normal"/>
    <w:next w:val="Normal"/>
    <w:autoRedefine/>
    <w:uiPriority w:val="39"/>
    <w:unhideWhenUsed/>
    <w:rsid w:val="00C025DC"/>
    <w:pPr>
      <w:spacing w:after="100"/>
      <w:ind w:left="1760"/>
    </w:pPr>
    <w:rPr>
      <w:rFonts w:ascii="Calibri" w:hAnsi="Calibri"/>
      <w:lang w:val="hr-BA"/>
    </w:rPr>
  </w:style>
  <w:style w:type="character" w:customStyle="1" w:styleId="l8">
    <w:name w:val="l8"/>
    <w:basedOn w:val="DefaultParagraphFont"/>
    <w:rsid w:val="00C025DC"/>
  </w:style>
  <w:style w:type="character" w:customStyle="1" w:styleId="l9">
    <w:name w:val="l9"/>
    <w:basedOn w:val="DefaultParagraphFont"/>
    <w:rsid w:val="00C025DC"/>
  </w:style>
  <w:style w:type="character" w:customStyle="1" w:styleId="BodyText2Char">
    <w:name w:val="Body Text 2 Char"/>
    <w:basedOn w:val="DefaultParagraphFont"/>
    <w:link w:val="BodyText2"/>
    <w:semiHidden/>
    <w:rsid w:val="00C025DC"/>
    <w:rPr>
      <w:rFonts w:ascii="Arial" w:eastAsia="Times New Roman" w:hAnsi="Arial" w:cs="Times New Roman"/>
      <w:sz w:val="16"/>
      <w:szCs w:val="20"/>
      <w:lang w:val="hr-HR"/>
    </w:rPr>
  </w:style>
  <w:style w:type="paragraph" w:styleId="BodyText2">
    <w:name w:val="Body Text 2"/>
    <w:basedOn w:val="Normal"/>
    <w:link w:val="BodyText2Char"/>
    <w:semiHidden/>
    <w:rsid w:val="00C025DC"/>
    <w:pPr>
      <w:spacing w:after="0"/>
    </w:pPr>
    <w:rPr>
      <w:sz w:val="16"/>
      <w:szCs w:val="20"/>
    </w:rPr>
  </w:style>
  <w:style w:type="character" w:customStyle="1" w:styleId="BodyText2Char1">
    <w:name w:val="Body Text 2 Char1"/>
    <w:basedOn w:val="DefaultParagraphFont"/>
    <w:uiPriority w:val="99"/>
    <w:semiHidden/>
    <w:rsid w:val="00C025DC"/>
    <w:rPr>
      <w:rFonts w:ascii="Arial" w:eastAsia="Times New Roman" w:hAnsi="Arial" w:cs="Times New Roman"/>
      <w:sz w:val="24"/>
      <w:lang w:val="hr-HR"/>
    </w:rPr>
  </w:style>
  <w:style w:type="paragraph" w:styleId="Caption">
    <w:name w:val="caption"/>
    <w:basedOn w:val="Normal"/>
    <w:next w:val="Normal"/>
    <w:uiPriority w:val="35"/>
    <w:qFormat/>
    <w:rsid w:val="00C025DC"/>
    <w:rPr>
      <w:rFonts w:ascii="Calibri" w:eastAsia="Calibri" w:hAnsi="Calibri"/>
      <w:b/>
      <w:bCs/>
      <w:color w:val="4F81BD"/>
      <w:sz w:val="18"/>
      <w:szCs w:val="18"/>
      <w:lang w:val="hr-BA"/>
    </w:rPr>
  </w:style>
  <w:style w:type="paragraph" w:customStyle="1" w:styleId="Almira">
    <w:name w:val="Almira"/>
    <w:basedOn w:val="Heading2"/>
    <w:link w:val="AlmiraChar"/>
    <w:rsid w:val="00C025DC"/>
  </w:style>
  <w:style w:type="character" w:customStyle="1" w:styleId="AlmiraChar">
    <w:name w:val="Almira Char"/>
    <w:basedOn w:val="Heading2Char"/>
    <w:link w:val="Almira"/>
    <w:rsid w:val="00C025DC"/>
    <w:rPr>
      <w:rFonts w:ascii="Times New Roman" w:eastAsia="Times New Roman" w:hAnsi="Times New Roman" w:cs="Times New Roman"/>
      <w:b/>
      <w:sz w:val="24"/>
      <w:szCs w:val="24"/>
      <w:lang w:val="hr-HR" w:eastAsia="ar-SA"/>
    </w:rPr>
  </w:style>
  <w:style w:type="paragraph" w:styleId="BodyText">
    <w:name w:val="Body Text"/>
    <w:basedOn w:val="Normal"/>
    <w:link w:val="BodyTextChar"/>
    <w:unhideWhenUsed/>
    <w:rsid w:val="00C025DC"/>
    <w:rPr>
      <w:rFonts w:ascii="Calibri" w:eastAsia="Calibri" w:hAnsi="Calibri"/>
      <w:lang w:val="hr-BA"/>
    </w:rPr>
  </w:style>
  <w:style w:type="character" w:customStyle="1" w:styleId="BodyTextChar">
    <w:name w:val="Body Text Char"/>
    <w:basedOn w:val="DefaultParagraphFont"/>
    <w:link w:val="BodyText"/>
    <w:rsid w:val="00C025DC"/>
    <w:rPr>
      <w:rFonts w:ascii="Calibri" w:eastAsia="Calibri" w:hAnsi="Calibri" w:cs="Times New Roman"/>
      <w:sz w:val="24"/>
      <w:lang w:val="hr-BA"/>
    </w:rPr>
  </w:style>
  <w:style w:type="character" w:customStyle="1" w:styleId="BodyTextIndentChar">
    <w:name w:val="Body Text Indent Char"/>
    <w:basedOn w:val="DefaultParagraphFont"/>
    <w:link w:val="BodyTextIndent"/>
    <w:uiPriority w:val="99"/>
    <w:semiHidden/>
    <w:rsid w:val="00C025DC"/>
    <w:rPr>
      <w:rFonts w:ascii="Calibri" w:eastAsia="Calibri" w:hAnsi="Calibri" w:cs="Times New Roman"/>
      <w:sz w:val="24"/>
      <w:lang w:val="hr-BA"/>
    </w:rPr>
  </w:style>
  <w:style w:type="paragraph" w:styleId="BodyTextIndent">
    <w:name w:val="Body Text Indent"/>
    <w:basedOn w:val="Normal"/>
    <w:link w:val="BodyTextIndentChar"/>
    <w:uiPriority w:val="99"/>
    <w:semiHidden/>
    <w:unhideWhenUsed/>
    <w:rsid w:val="00C025DC"/>
    <w:pPr>
      <w:ind w:left="283"/>
    </w:pPr>
    <w:rPr>
      <w:rFonts w:ascii="Calibri" w:eastAsia="Calibri" w:hAnsi="Calibri"/>
      <w:lang w:val="hr-BA"/>
    </w:rPr>
  </w:style>
  <w:style w:type="character" w:customStyle="1" w:styleId="BodyTextIndentChar1">
    <w:name w:val="Body Text Indent Char1"/>
    <w:basedOn w:val="DefaultParagraphFont"/>
    <w:uiPriority w:val="99"/>
    <w:semiHidden/>
    <w:rsid w:val="00C025DC"/>
    <w:rPr>
      <w:rFonts w:ascii="Arial" w:eastAsia="Times New Roman" w:hAnsi="Arial" w:cs="Times New Roman"/>
      <w:sz w:val="24"/>
      <w:lang w:val="hr-HR"/>
    </w:rPr>
  </w:style>
  <w:style w:type="character" w:customStyle="1" w:styleId="st">
    <w:name w:val="st"/>
    <w:rsid w:val="00C025DC"/>
  </w:style>
  <w:style w:type="paragraph" w:styleId="NoSpacing">
    <w:name w:val="No Spacing"/>
    <w:link w:val="NoSpacingChar"/>
    <w:uiPriority w:val="1"/>
    <w:qFormat/>
    <w:rsid w:val="00C025DC"/>
    <w:pPr>
      <w:spacing w:after="0" w:line="240" w:lineRule="auto"/>
    </w:pPr>
    <w:rPr>
      <w:rFonts w:ascii="Calibri" w:eastAsia="MS Mincho" w:hAnsi="Calibri" w:cs="Times New Roman"/>
      <w:sz w:val="20"/>
      <w:szCs w:val="20"/>
      <w:lang w:val="en-US" w:eastAsia="ja-JP"/>
    </w:rPr>
  </w:style>
  <w:style w:type="character" w:customStyle="1" w:styleId="NoSpacingChar">
    <w:name w:val="No Spacing Char"/>
    <w:link w:val="NoSpacing"/>
    <w:uiPriority w:val="1"/>
    <w:rsid w:val="00C025DC"/>
    <w:rPr>
      <w:rFonts w:ascii="Calibri" w:eastAsia="MS Mincho" w:hAnsi="Calibri" w:cs="Times New Roman"/>
      <w:sz w:val="20"/>
      <w:szCs w:val="20"/>
      <w:lang w:val="en-US" w:eastAsia="ja-JP"/>
    </w:rPr>
  </w:style>
  <w:style w:type="paragraph" w:styleId="TableofFigures">
    <w:name w:val="table of figures"/>
    <w:aliases w:val="Slika br."/>
    <w:basedOn w:val="Normal"/>
    <w:next w:val="Normal"/>
    <w:uiPriority w:val="99"/>
    <w:unhideWhenUsed/>
    <w:rsid w:val="00C025DC"/>
    <w:rPr>
      <w:rFonts w:eastAsia="Calibri"/>
      <w:lang w:val="hr-BA"/>
    </w:rPr>
  </w:style>
  <w:style w:type="character" w:customStyle="1" w:styleId="freebirdanalyticsviewquestiontitle">
    <w:name w:val="freebirdanalyticsviewquestiontitle"/>
    <w:basedOn w:val="DefaultParagraphFont"/>
    <w:rsid w:val="00C025DC"/>
  </w:style>
  <w:style w:type="character" w:customStyle="1" w:styleId="freebirdanalyticsviewquestionresponsescount">
    <w:name w:val="freebirdanalyticsviewquestionresponsescount"/>
    <w:basedOn w:val="DefaultParagraphFont"/>
    <w:rsid w:val="00C025DC"/>
  </w:style>
  <w:style w:type="paragraph" w:customStyle="1" w:styleId="p42">
    <w:name w:val="p42"/>
    <w:basedOn w:val="Normal"/>
    <w:rsid w:val="00C025DC"/>
    <w:pPr>
      <w:spacing w:before="100" w:beforeAutospacing="1" w:after="100" w:afterAutospacing="1"/>
      <w:jc w:val="left"/>
    </w:pPr>
    <w:rPr>
      <w:szCs w:val="24"/>
    </w:rPr>
  </w:style>
  <w:style w:type="paragraph" w:customStyle="1" w:styleId="p121">
    <w:name w:val="p121"/>
    <w:basedOn w:val="Normal"/>
    <w:rsid w:val="00C025DC"/>
    <w:pPr>
      <w:spacing w:before="100" w:beforeAutospacing="1" w:after="100" w:afterAutospacing="1"/>
      <w:jc w:val="left"/>
    </w:pPr>
    <w:rPr>
      <w:szCs w:val="24"/>
    </w:rPr>
  </w:style>
  <w:style w:type="character" w:customStyle="1" w:styleId="ft25">
    <w:name w:val="ft25"/>
    <w:basedOn w:val="DefaultParagraphFont"/>
    <w:rsid w:val="00C025DC"/>
  </w:style>
  <w:style w:type="paragraph" w:customStyle="1" w:styleId="p66">
    <w:name w:val="p66"/>
    <w:basedOn w:val="Normal"/>
    <w:rsid w:val="00C025DC"/>
    <w:pPr>
      <w:spacing w:before="100" w:beforeAutospacing="1" w:after="100" w:afterAutospacing="1"/>
      <w:jc w:val="left"/>
    </w:pPr>
    <w:rPr>
      <w:szCs w:val="24"/>
    </w:rPr>
  </w:style>
  <w:style w:type="character" w:customStyle="1" w:styleId="ft17">
    <w:name w:val="ft17"/>
    <w:basedOn w:val="DefaultParagraphFont"/>
    <w:rsid w:val="00C025DC"/>
  </w:style>
  <w:style w:type="character" w:customStyle="1" w:styleId="ft18">
    <w:name w:val="ft18"/>
    <w:basedOn w:val="DefaultParagraphFont"/>
    <w:rsid w:val="00C025DC"/>
  </w:style>
  <w:style w:type="paragraph" w:customStyle="1" w:styleId="p128">
    <w:name w:val="p128"/>
    <w:basedOn w:val="Normal"/>
    <w:rsid w:val="00C025DC"/>
    <w:pPr>
      <w:spacing w:before="100" w:beforeAutospacing="1" w:after="100" w:afterAutospacing="1"/>
      <w:jc w:val="left"/>
    </w:pPr>
    <w:rPr>
      <w:szCs w:val="24"/>
    </w:rPr>
  </w:style>
  <w:style w:type="paragraph" w:customStyle="1" w:styleId="p37">
    <w:name w:val="p37"/>
    <w:basedOn w:val="Normal"/>
    <w:rsid w:val="00C025DC"/>
    <w:pPr>
      <w:spacing w:before="100" w:beforeAutospacing="1" w:after="100" w:afterAutospacing="1"/>
      <w:jc w:val="left"/>
    </w:pPr>
    <w:rPr>
      <w:szCs w:val="24"/>
    </w:rPr>
  </w:style>
  <w:style w:type="character" w:customStyle="1" w:styleId="ft21">
    <w:name w:val="ft21"/>
    <w:basedOn w:val="DefaultParagraphFont"/>
    <w:rsid w:val="00C025DC"/>
  </w:style>
  <w:style w:type="paragraph" w:customStyle="1" w:styleId="p27">
    <w:name w:val="p27"/>
    <w:basedOn w:val="Normal"/>
    <w:rsid w:val="00C025DC"/>
    <w:pPr>
      <w:spacing w:before="100" w:beforeAutospacing="1" w:after="100" w:afterAutospacing="1"/>
      <w:jc w:val="left"/>
    </w:pPr>
    <w:rPr>
      <w:szCs w:val="24"/>
    </w:rPr>
  </w:style>
  <w:style w:type="paragraph" w:customStyle="1" w:styleId="p28">
    <w:name w:val="p28"/>
    <w:basedOn w:val="Normal"/>
    <w:rsid w:val="00C025DC"/>
    <w:pPr>
      <w:spacing w:before="100" w:beforeAutospacing="1" w:after="100" w:afterAutospacing="1"/>
      <w:jc w:val="left"/>
    </w:pPr>
    <w:rPr>
      <w:szCs w:val="24"/>
    </w:rPr>
  </w:style>
  <w:style w:type="paragraph" w:customStyle="1" w:styleId="p129">
    <w:name w:val="p129"/>
    <w:basedOn w:val="Normal"/>
    <w:rsid w:val="00C025DC"/>
    <w:pPr>
      <w:spacing w:before="100" w:beforeAutospacing="1" w:after="100" w:afterAutospacing="1"/>
      <w:jc w:val="left"/>
    </w:pPr>
    <w:rPr>
      <w:szCs w:val="24"/>
    </w:rPr>
  </w:style>
  <w:style w:type="character" w:customStyle="1" w:styleId="ft50">
    <w:name w:val="ft50"/>
    <w:basedOn w:val="DefaultParagraphFont"/>
    <w:rsid w:val="00C025DC"/>
  </w:style>
  <w:style w:type="character" w:customStyle="1" w:styleId="ft51">
    <w:name w:val="ft51"/>
    <w:basedOn w:val="DefaultParagraphFont"/>
    <w:rsid w:val="00C025DC"/>
  </w:style>
  <w:style w:type="character" w:customStyle="1" w:styleId="grkhzd">
    <w:name w:val="grkhzd"/>
    <w:basedOn w:val="DefaultParagraphFont"/>
    <w:rsid w:val="00C025DC"/>
  </w:style>
  <w:style w:type="character" w:customStyle="1" w:styleId="eq0j8">
    <w:name w:val="eq0j8"/>
    <w:basedOn w:val="DefaultParagraphFont"/>
    <w:rsid w:val="00C025DC"/>
  </w:style>
  <w:style w:type="character" w:customStyle="1" w:styleId="mr-2">
    <w:name w:val="mr-2"/>
    <w:basedOn w:val="DefaultParagraphFont"/>
    <w:rsid w:val="00C025DC"/>
  </w:style>
  <w:style w:type="paragraph" w:customStyle="1" w:styleId="Normal1">
    <w:name w:val="Normal1"/>
    <w:basedOn w:val="Normal"/>
    <w:rsid w:val="00C025DC"/>
    <w:pPr>
      <w:spacing w:before="100" w:beforeAutospacing="1" w:after="100" w:afterAutospacing="1"/>
      <w:jc w:val="left"/>
    </w:pPr>
    <w:rPr>
      <w:szCs w:val="24"/>
    </w:rPr>
  </w:style>
  <w:style w:type="paragraph" w:customStyle="1" w:styleId="clan">
    <w:name w:val="clan"/>
    <w:basedOn w:val="Normal"/>
    <w:rsid w:val="00C025DC"/>
    <w:pPr>
      <w:spacing w:before="100" w:beforeAutospacing="1" w:after="100" w:afterAutospacing="1"/>
      <w:jc w:val="left"/>
    </w:pPr>
    <w:rPr>
      <w:szCs w:val="24"/>
    </w:rPr>
  </w:style>
  <w:style w:type="paragraph" w:styleId="CommentText">
    <w:name w:val="annotation text"/>
    <w:basedOn w:val="Normal"/>
    <w:link w:val="CommentTextChar"/>
    <w:uiPriority w:val="99"/>
    <w:unhideWhenUsed/>
    <w:rsid w:val="00C025DC"/>
    <w:rPr>
      <w:sz w:val="20"/>
      <w:szCs w:val="20"/>
    </w:rPr>
  </w:style>
  <w:style w:type="character" w:customStyle="1" w:styleId="CommentTextChar">
    <w:name w:val="Comment Text Char"/>
    <w:basedOn w:val="DefaultParagraphFont"/>
    <w:link w:val="CommentText"/>
    <w:uiPriority w:val="99"/>
    <w:rsid w:val="00C025DC"/>
    <w:rPr>
      <w:rFonts w:ascii="Arial" w:eastAsia="Times New Roman" w:hAnsi="Arial" w:cs="Times New Roman"/>
      <w:sz w:val="20"/>
      <w:szCs w:val="20"/>
      <w:lang w:val="hr-HR"/>
    </w:rPr>
  </w:style>
  <w:style w:type="character" w:customStyle="1" w:styleId="BodyText3Char">
    <w:name w:val="Body Text 3 Char"/>
    <w:basedOn w:val="DefaultParagraphFont"/>
    <w:link w:val="BodyText3"/>
    <w:uiPriority w:val="99"/>
    <w:semiHidden/>
    <w:rsid w:val="00C025DC"/>
    <w:rPr>
      <w:rFonts w:ascii="Arial" w:eastAsia="Times New Roman" w:hAnsi="Arial" w:cs="Times New Roman"/>
      <w:sz w:val="16"/>
      <w:szCs w:val="16"/>
      <w:lang w:val="hr-HR"/>
    </w:rPr>
  </w:style>
  <w:style w:type="paragraph" w:styleId="BodyText3">
    <w:name w:val="Body Text 3"/>
    <w:basedOn w:val="Normal"/>
    <w:link w:val="BodyText3Char"/>
    <w:uiPriority w:val="99"/>
    <w:semiHidden/>
    <w:unhideWhenUsed/>
    <w:rsid w:val="00C025DC"/>
    <w:rPr>
      <w:sz w:val="16"/>
      <w:szCs w:val="16"/>
    </w:rPr>
  </w:style>
  <w:style w:type="character" w:customStyle="1" w:styleId="BodyText3Char1">
    <w:name w:val="Body Text 3 Char1"/>
    <w:basedOn w:val="DefaultParagraphFont"/>
    <w:uiPriority w:val="99"/>
    <w:semiHidden/>
    <w:rsid w:val="00C025DC"/>
    <w:rPr>
      <w:rFonts w:ascii="Arial" w:eastAsia="Times New Roman" w:hAnsi="Arial" w:cs="Times New Roman"/>
      <w:sz w:val="16"/>
      <w:szCs w:val="16"/>
      <w:lang w:val="hr-HR"/>
    </w:rPr>
  </w:style>
  <w:style w:type="character" w:customStyle="1" w:styleId="BodyTextIndent2Char">
    <w:name w:val="Body Text Indent 2 Char"/>
    <w:basedOn w:val="DefaultParagraphFont"/>
    <w:link w:val="BodyTextIndent2"/>
    <w:uiPriority w:val="99"/>
    <w:semiHidden/>
    <w:rsid w:val="00C025DC"/>
    <w:rPr>
      <w:rFonts w:ascii="Arial" w:eastAsia="Times New Roman" w:hAnsi="Arial" w:cs="Times New Roman"/>
      <w:sz w:val="24"/>
      <w:lang w:val="hr-HR"/>
    </w:rPr>
  </w:style>
  <w:style w:type="paragraph" w:styleId="BodyTextIndent2">
    <w:name w:val="Body Text Indent 2"/>
    <w:basedOn w:val="Normal"/>
    <w:link w:val="BodyTextIndent2Char"/>
    <w:uiPriority w:val="99"/>
    <w:semiHidden/>
    <w:unhideWhenUsed/>
    <w:rsid w:val="00C025DC"/>
    <w:pPr>
      <w:spacing w:line="480" w:lineRule="auto"/>
      <w:ind w:left="283"/>
    </w:pPr>
  </w:style>
  <w:style w:type="character" w:customStyle="1" w:styleId="BodyTextIndent2Char1">
    <w:name w:val="Body Text Indent 2 Char1"/>
    <w:basedOn w:val="DefaultParagraphFont"/>
    <w:uiPriority w:val="99"/>
    <w:semiHidden/>
    <w:rsid w:val="00C025DC"/>
    <w:rPr>
      <w:rFonts w:ascii="Arial" w:eastAsia="Times New Roman" w:hAnsi="Arial"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abibija\Desktop\Grafikoni%20-%20hrvatski\Copy%20of%20Uk%20prihodi%20grafik_hr.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habibija\Desktop\kapitalni.xls"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C:\Users\shabibija\Desktop\Grafikoni%20-%20hrvatski\Copy%20of%20Odnos%20ostvarenih%20prihoda%20i%20rashoda_hr.xlsx" TargetMode="External"/><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shabibija\Desktop\Grafikoni%20-%20hrvatski\Copy%20of%20Pojedini%20prihodi%20u%20ukupnim_hr.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habibija\Desktop\Grafikoni%20-%20hrvatski\Copy%20of%20Prihodi%20od%20poreza_hr.xls"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shabibija\Desktop\Grafikoni%20-%20hrvatski\Copy%20of%20Doprinosi%20za%20PIOMIO_hr.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habibija\Desktop\Grafikoni%20-%20hrvatski\Copy%20of%20PDV_hr.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shabibija\Desktop\Grafikoni%20-%20hrvatski\Copy%20of%20Neporezni%20prihodi_hr.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habibija\Desktop\Grafikoni%20-%20hrvatski\Copy%20of%20Uk.%20rashodi%20grafikon_hr.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habibija\Desktop\Grafikoni%20-%20hrvatski\Copy%20of%20Pojedini%20rashodi%20u%20ukupnim_hr.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habibija\Desktop\Grafikoni%20-%20hrvatski\Copy%20of%20Teku&#263;i%20rashodi_H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6760538816945403"/>
          <c:y val="4.8855972211394365E-2"/>
          <c:w val="0.47417852107329561"/>
          <c:h val="0.90228805557721126"/>
        </c:manualLayout>
      </c:layout>
      <c:bar3DChart>
        <c:barDir val="col"/>
        <c:grouping val="stacked"/>
        <c:varyColors val="0"/>
        <c:ser>
          <c:idx val="0"/>
          <c:order val="0"/>
          <c:spPr>
            <a:solidFill>
              <a:srgbClr val="C00000"/>
            </a:solidFill>
            <a:ln>
              <a:noFill/>
            </a:ln>
          </c:spPr>
          <c:invertIfNegative val="0"/>
          <c:dPt>
            <c:idx val="0"/>
            <c:invertIfNegative val="0"/>
            <c:bubble3D val="0"/>
            <c:spPr>
              <a:solidFill>
                <a:schemeClr val="accent6"/>
              </a:solidFill>
              <a:ln>
                <a:noFill/>
              </a:ln>
            </c:spPr>
            <c:extLst>
              <c:ext xmlns:c16="http://schemas.microsoft.com/office/drawing/2014/chart" uri="{C3380CC4-5D6E-409C-BE32-E72D297353CC}">
                <c16:uniqueId val="{00000001-07E4-428A-AD7C-E937E7B181A6}"/>
              </c:ext>
            </c:extLst>
          </c:dPt>
          <c:dPt>
            <c:idx val="1"/>
            <c:invertIfNegative val="0"/>
            <c:bubble3D val="0"/>
            <c:spPr>
              <a:solidFill>
                <a:schemeClr val="accent1"/>
              </a:solidFill>
              <a:ln>
                <a:noFill/>
              </a:ln>
            </c:spPr>
            <c:extLst>
              <c:ext xmlns:c16="http://schemas.microsoft.com/office/drawing/2014/chart" uri="{C3380CC4-5D6E-409C-BE32-E72D297353CC}">
                <c16:uniqueId val="{00000003-07E4-428A-AD7C-E937E7B181A6}"/>
              </c:ext>
            </c:extLst>
          </c:dPt>
          <c:dPt>
            <c:idx val="2"/>
            <c:invertIfNegative val="0"/>
            <c:bubble3D val="0"/>
            <c:spPr>
              <a:solidFill>
                <a:srgbClr val="FF0000"/>
              </a:solidFill>
              <a:ln>
                <a:noFill/>
              </a:ln>
            </c:spPr>
            <c:extLst>
              <c:ext xmlns:c16="http://schemas.microsoft.com/office/drawing/2014/chart" uri="{C3380CC4-5D6E-409C-BE32-E72D297353CC}">
                <c16:uniqueId val="{00000005-07E4-428A-AD7C-E937E7B181A6}"/>
              </c:ext>
            </c:extLst>
          </c:dPt>
          <c:cat>
            <c:strRef>
              <c:f>Sheet1!$C$21:$E$21</c:f>
              <c:strCache>
                <c:ptCount val="3"/>
                <c:pt idx="0">
                  <c:v>Proračun Federacije BiH za 2022.godinu</c:v>
                </c:pt>
                <c:pt idx="1">
                  <c:v>Prihodi, primici i financiranja za siječanj - prosinac 2022. godine</c:v>
                </c:pt>
                <c:pt idx="2">
                  <c:v>Prihodi, primici i financiranja za siječanj - prosinac 2021. godine</c:v>
                </c:pt>
              </c:strCache>
            </c:strRef>
          </c:cat>
          <c:val>
            <c:numRef>
              <c:f>Sheet1!$C$22:$E$22</c:f>
              <c:numCache>
                <c:formatCode>#,##0</c:formatCode>
                <c:ptCount val="3"/>
                <c:pt idx="0">
                  <c:v>5597618777</c:v>
                </c:pt>
                <c:pt idx="1">
                  <c:v>5304270543</c:v>
                </c:pt>
                <c:pt idx="2">
                  <c:v>4798914087</c:v>
                </c:pt>
              </c:numCache>
            </c:numRef>
          </c:val>
          <c:extLst>
            <c:ext xmlns:c16="http://schemas.microsoft.com/office/drawing/2014/chart" uri="{C3380CC4-5D6E-409C-BE32-E72D297353CC}">
              <c16:uniqueId val="{00000006-07E4-428A-AD7C-E937E7B181A6}"/>
            </c:ext>
          </c:extLst>
        </c:ser>
        <c:dLbls>
          <c:showLegendKey val="0"/>
          <c:showVal val="0"/>
          <c:showCatName val="0"/>
          <c:showSerName val="0"/>
          <c:showPercent val="0"/>
          <c:showBubbleSize val="0"/>
        </c:dLbls>
        <c:gapWidth val="45"/>
        <c:gapDepth val="85"/>
        <c:shape val="box"/>
        <c:axId val="154734304"/>
        <c:axId val="1"/>
        <c:axId val="0"/>
      </c:bar3DChart>
      <c:catAx>
        <c:axId val="154734304"/>
        <c:scaling>
          <c:orientation val="minMax"/>
        </c:scaling>
        <c:delete val="1"/>
        <c:axPos val="b"/>
        <c:numFmt formatCode="General" sourceLinked="1"/>
        <c:majorTickMark val="out"/>
        <c:minorTickMark val="none"/>
        <c:tickLblPos val="nextTo"/>
        <c:crossAx val="1"/>
        <c:crosses val="autoZero"/>
        <c:auto val="1"/>
        <c:lblAlgn val="ctr"/>
        <c:lblOffset val="100"/>
        <c:noMultiLvlLbl val="0"/>
      </c:catAx>
      <c:valAx>
        <c:axId val="1"/>
        <c:scaling>
          <c:orientation val="minMax"/>
          <c:min val="0"/>
        </c:scaling>
        <c:delete val="0"/>
        <c:axPos val="l"/>
        <c:majorGridlines/>
        <c:numFmt formatCode="#,##0"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4734304"/>
        <c:crosses val="autoZero"/>
        <c:crossBetween val="between"/>
      </c:valAx>
      <c:spPr>
        <a:noFill/>
        <a:ln w="25400">
          <a:noFill/>
        </a:ln>
      </c:spPr>
    </c:plotArea>
    <c:legend>
      <c:legendPos val="r"/>
      <c:overlay val="0"/>
      <c:txPr>
        <a:bodyPr/>
        <a:lstStyle/>
        <a:p>
          <a:pPr>
            <a:defRPr sz="920" b="1"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6.5256718943189948E-2"/>
          <c:y val="5.1427101024136682E-2"/>
          <c:w val="0.56318275091646597"/>
          <c:h val="0.87016505289779955"/>
        </c:manualLayout>
      </c:layout>
      <c:pie3DChart>
        <c:varyColors val="1"/>
        <c:ser>
          <c:idx val="0"/>
          <c:order val="0"/>
          <c:dPt>
            <c:idx val="0"/>
            <c:bubble3D val="0"/>
            <c:explosion val="21"/>
            <c:extLst>
              <c:ext xmlns:c16="http://schemas.microsoft.com/office/drawing/2014/chart" uri="{C3380CC4-5D6E-409C-BE32-E72D297353CC}">
                <c16:uniqueId val="{00000001-B845-4020-9100-59C5DB93368F}"/>
              </c:ext>
            </c:extLst>
          </c:dPt>
          <c:dPt>
            <c:idx val="1"/>
            <c:bubble3D val="0"/>
            <c:spPr>
              <a:solidFill>
                <a:schemeClr val="accent2"/>
              </a:solidFill>
            </c:spPr>
            <c:extLst>
              <c:ext xmlns:c16="http://schemas.microsoft.com/office/drawing/2014/chart" uri="{C3380CC4-5D6E-409C-BE32-E72D297353CC}">
                <c16:uniqueId val="{00000003-B845-4020-9100-59C5DB93368F}"/>
              </c:ext>
            </c:extLst>
          </c:dPt>
          <c:dPt>
            <c:idx val="2"/>
            <c:bubble3D val="0"/>
            <c:extLst>
              <c:ext xmlns:c16="http://schemas.microsoft.com/office/drawing/2014/chart" uri="{C3380CC4-5D6E-409C-BE32-E72D297353CC}">
                <c16:uniqueId val="{00000004-B845-4020-9100-59C5DB93368F}"/>
              </c:ext>
            </c:extLst>
          </c:dPt>
          <c:dPt>
            <c:idx val="3"/>
            <c:bubble3D val="0"/>
            <c:extLst>
              <c:ext xmlns:c16="http://schemas.microsoft.com/office/drawing/2014/chart" uri="{C3380CC4-5D6E-409C-BE32-E72D297353CC}">
                <c16:uniqueId val="{00000005-B845-4020-9100-59C5DB93368F}"/>
              </c:ext>
            </c:extLst>
          </c:dPt>
          <c:dPt>
            <c:idx val="4"/>
            <c:bubble3D val="0"/>
            <c:extLst>
              <c:ext xmlns:c16="http://schemas.microsoft.com/office/drawing/2014/chart" uri="{C3380CC4-5D6E-409C-BE32-E72D297353CC}">
                <c16:uniqueId val="{00000006-B845-4020-9100-59C5DB93368F}"/>
              </c:ext>
            </c:extLst>
          </c:dPt>
          <c:dPt>
            <c:idx val="5"/>
            <c:bubble3D val="0"/>
            <c:extLst>
              <c:ext xmlns:c16="http://schemas.microsoft.com/office/drawing/2014/chart" uri="{C3380CC4-5D6E-409C-BE32-E72D297353CC}">
                <c16:uniqueId val="{00000007-B845-4020-9100-59C5DB93368F}"/>
              </c:ext>
            </c:extLst>
          </c:dPt>
          <c:dPt>
            <c:idx val="6"/>
            <c:bubble3D val="0"/>
            <c:extLst>
              <c:ext xmlns:c16="http://schemas.microsoft.com/office/drawing/2014/chart" uri="{C3380CC4-5D6E-409C-BE32-E72D297353CC}">
                <c16:uniqueId val="{00000008-B845-4020-9100-59C5DB93368F}"/>
              </c:ext>
            </c:extLst>
          </c:dPt>
          <c:dPt>
            <c:idx val="7"/>
            <c:bubble3D val="0"/>
            <c:extLst>
              <c:ext xmlns:c16="http://schemas.microsoft.com/office/drawing/2014/chart" uri="{C3380CC4-5D6E-409C-BE32-E72D297353CC}">
                <c16:uniqueId val="{00000009-B845-4020-9100-59C5DB93368F}"/>
              </c:ext>
            </c:extLst>
          </c:dPt>
          <c:dPt>
            <c:idx val="8"/>
            <c:bubble3D val="0"/>
            <c:extLst>
              <c:ext xmlns:c16="http://schemas.microsoft.com/office/drawing/2014/chart" uri="{C3380CC4-5D6E-409C-BE32-E72D297353CC}">
                <c16:uniqueId val="{0000000A-B845-4020-9100-59C5DB93368F}"/>
              </c:ext>
            </c:extLst>
          </c:dPt>
          <c:dPt>
            <c:idx val="9"/>
            <c:bubble3D val="0"/>
            <c:extLst>
              <c:ext xmlns:c16="http://schemas.microsoft.com/office/drawing/2014/chart" uri="{C3380CC4-5D6E-409C-BE32-E72D297353CC}">
                <c16:uniqueId val="{0000000B-B845-4020-9100-59C5DB93368F}"/>
              </c:ext>
            </c:extLst>
          </c:dPt>
          <c:dPt>
            <c:idx val="10"/>
            <c:bubble3D val="0"/>
            <c:extLst>
              <c:ext xmlns:c16="http://schemas.microsoft.com/office/drawing/2014/chart" uri="{C3380CC4-5D6E-409C-BE32-E72D297353CC}">
                <c16:uniqueId val="{0000000C-B845-4020-9100-59C5DB93368F}"/>
              </c:ext>
            </c:extLst>
          </c:dPt>
          <c:dPt>
            <c:idx val="11"/>
            <c:bubble3D val="0"/>
            <c:extLst>
              <c:ext xmlns:c16="http://schemas.microsoft.com/office/drawing/2014/chart" uri="{C3380CC4-5D6E-409C-BE32-E72D297353CC}">
                <c16:uniqueId val="{0000000D-B845-4020-9100-59C5DB93368F}"/>
              </c:ext>
            </c:extLst>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Sheet1!$C$28:$C$29</c:f>
              <c:strCache>
                <c:ptCount val="2"/>
                <c:pt idx="0">
                  <c:v>Izdaci za nabavku stalnih sredstava</c:v>
                </c:pt>
                <c:pt idx="1">
                  <c:v>Kapitalni transferi</c:v>
                </c:pt>
              </c:strCache>
            </c:strRef>
          </c:cat>
          <c:val>
            <c:numRef>
              <c:f>Sheet1!$D$28:$D$29</c:f>
              <c:numCache>
                <c:formatCode>#,##0.00</c:formatCode>
                <c:ptCount val="2"/>
                <c:pt idx="0">
                  <c:v>42226365</c:v>
                </c:pt>
                <c:pt idx="1">
                  <c:v>109118713</c:v>
                </c:pt>
              </c:numCache>
            </c:numRef>
          </c:val>
          <c:extLst>
            <c:ext xmlns:c16="http://schemas.microsoft.com/office/drawing/2014/chart" uri="{C3380CC4-5D6E-409C-BE32-E72D297353CC}">
              <c16:uniqueId val="{0000000E-B845-4020-9100-59C5DB93368F}"/>
            </c:ext>
          </c:extLst>
        </c:ser>
        <c:dLbls>
          <c:showLegendKey val="0"/>
          <c:showVal val="0"/>
          <c:showCatName val="0"/>
          <c:showSerName val="0"/>
          <c:showPercent val="0"/>
          <c:showBubbleSize val="0"/>
          <c:showLeaderLines val="1"/>
        </c:dLbls>
      </c:pie3DChart>
      <c:spPr>
        <a:noFill/>
        <a:ln w="25400">
          <a:noFill/>
        </a:ln>
      </c:spPr>
    </c:plotArea>
    <c:legend>
      <c:legendPos val="r"/>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prihodi</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Sheet1!$B$2:$M$2</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Sheet1!$B$3:$M$3</c:f>
              <c:numCache>
                <c:formatCode>#,##0.0</c:formatCode>
                <c:ptCount val="12"/>
                <c:pt idx="0">
                  <c:v>304.5</c:v>
                </c:pt>
                <c:pt idx="1">
                  <c:v>374.7</c:v>
                </c:pt>
                <c:pt idx="2">
                  <c:v>384.8</c:v>
                </c:pt>
                <c:pt idx="3">
                  <c:v>390.1</c:v>
                </c:pt>
                <c:pt idx="4">
                  <c:v>387.1</c:v>
                </c:pt>
                <c:pt idx="5">
                  <c:v>429.9</c:v>
                </c:pt>
                <c:pt idx="6">
                  <c:v>355.7</c:v>
                </c:pt>
                <c:pt idx="7">
                  <c:v>423.4</c:v>
                </c:pt>
                <c:pt idx="8">
                  <c:v>476</c:v>
                </c:pt>
                <c:pt idx="9">
                  <c:v>394.9</c:v>
                </c:pt>
                <c:pt idx="10">
                  <c:v>404</c:v>
                </c:pt>
                <c:pt idx="11">
                  <c:v>470.4</c:v>
                </c:pt>
              </c:numCache>
            </c:numRef>
          </c:val>
          <c:smooth val="0"/>
          <c:extLst>
            <c:ext xmlns:c16="http://schemas.microsoft.com/office/drawing/2014/chart" uri="{C3380CC4-5D6E-409C-BE32-E72D297353CC}">
              <c16:uniqueId val="{00000000-2E92-40FD-B09F-1F21155191B2}"/>
            </c:ext>
          </c:extLst>
        </c:ser>
        <c:ser>
          <c:idx val="1"/>
          <c:order val="1"/>
          <c:tx>
            <c:v>rashodi</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Sheet1!$B$2:$M$2</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Sheet1!$B$4:$M$4</c:f>
              <c:numCache>
                <c:formatCode>#,##0.0</c:formatCode>
                <c:ptCount val="12"/>
                <c:pt idx="0">
                  <c:v>252.5</c:v>
                </c:pt>
                <c:pt idx="1">
                  <c:v>316.10000000000002</c:v>
                </c:pt>
                <c:pt idx="2">
                  <c:v>308.39999999999998</c:v>
                </c:pt>
                <c:pt idx="3">
                  <c:v>397</c:v>
                </c:pt>
                <c:pt idx="4">
                  <c:v>337.8</c:v>
                </c:pt>
                <c:pt idx="5">
                  <c:v>672.9</c:v>
                </c:pt>
                <c:pt idx="6">
                  <c:v>421.2</c:v>
                </c:pt>
                <c:pt idx="7">
                  <c:v>441.4</c:v>
                </c:pt>
                <c:pt idx="8">
                  <c:v>444.9</c:v>
                </c:pt>
                <c:pt idx="9">
                  <c:v>403</c:v>
                </c:pt>
                <c:pt idx="10">
                  <c:v>501</c:v>
                </c:pt>
                <c:pt idx="11">
                  <c:v>604.1</c:v>
                </c:pt>
              </c:numCache>
            </c:numRef>
          </c:val>
          <c:smooth val="0"/>
          <c:extLst>
            <c:ext xmlns:c16="http://schemas.microsoft.com/office/drawing/2014/chart" uri="{C3380CC4-5D6E-409C-BE32-E72D297353CC}">
              <c16:uniqueId val="{00000001-2E92-40FD-B09F-1F21155191B2}"/>
            </c:ext>
          </c:extLst>
        </c:ser>
        <c:dLbls>
          <c:showLegendKey val="0"/>
          <c:showVal val="0"/>
          <c:showCatName val="0"/>
          <c:showSerName val="0"/>
          <c:showPercent val="0"/>
          <c:showBubbleSize val="0"/>
        </c:dLbls>
        <c:marker val="1"/>
        <c:smooth val="0"/>
        <c:axId val="275277648"/>
        <c:axId val="275278480"/>
      </c:lineChart>
      <c:catAx>
        <c:axId val="27527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278480"/>
        <c:crossesAt val="0"/>
        <c:auto val="1"/>
        <c:lblAlgn val="ctr"/>
        <c:lblOffset val="100"/>
        <c:noMultiLvlLbl val="0"/>
      </c:catAx>
      <c:valAx>
        <c:axId val="2752784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27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4.5422008199388304E-2"/>
          <c:y val="0"/>
          <c:w val="0.51690175918092873"/>
          <c:h val="0.80026291585346698"/>
        </c:manualLayout>
      </c:layout>
      <c:pie3DChart>
        <c:varyColors val="1"/>
        <c:ser>
          <c:idx val="0"/>
          <c:order val="0"/>
          <c:explosion val="25"/>
          <c:dPt>
            <c:idx val="0"/>
            <c:bubble3D val="0"/>
            <c:extLst>
              <c:ext xmlns:c16="http://schemas.microsoft.com/office/drawing/2014/chart" uri="{C3380CC4-5D6E-409C-BE32-E72D297353CC}">
                <c16:uniqueId val="{00000000-5A7E-4F79-9699-E9BE4EAA00E0}"/>
              </c:ext>
            </c:extLst>
          </c:dPt>
          <c:dPt>
            <c:idx val="1"/>
            <c:bubble3D val="0"/>
            <c:extLst>
              <c:ext xmlns:c16="http://schemas.microsoft.com/office/drawing/2014/chart" uri="{C3380CC4-5D6E-409C-BE32-E72D297353CC}">
                <c16:uniqueId val="{00000001-5A7E-4F79-9699-E9BE4EAA00E0}"/>
              </c:ext>
            </c:extLst>
          </c:dPt>
          <c:dPt>
            <c:idx val="2"/>
            <c:bubble3D val="0"/>
            <c:extLst>
              <c:ext xmlns:c16="http://schemas.microsoft.com/office/drawing/2014/chart" uri="{C3380CC4-5D6E-409C-BE32-E72D297353CC}">
                <c16:uniqueId val="{00000002-5A7E-4F79-9699-E9BE4EAA00E0}"/>
              </c:ext>
            </c:extLst>
          </c:dPt>
          <c:dPt>
            <c:idx val="3"/>
            <c:bubble3D val="0"/>
            <c:extLst>
              <c:ext xmlns:c16="http://schemas.microsoft.com/office/drawing/2014/chart" uri="{C3380CC4-5D6E-409C-BE32-E72D297353CC}">
                <c16:uniqueId val="{00000003-5A7E-4F79-9699-E9BE4EAA00E0}"/>
              </c:ext>
            </c:extLst>
          </c:dPt>
          <c:dPt>
            <c:idx val="4"/>
            <c:bubble3D val="0"/>
            <c:extLst>
              <c:ext xmlns:c16="http://schemas.microsoft.com/office/drawing/2014/chart" uri="{C3380CC4-5D6E-409C-BE32-E72D297353CC}">
                <c16:uniqueId val="{00000004-5A7E-4F79-9699-E9BE4EAA00E0}"/>
              </c:ext>
            </c:extLst>
          </c:dPt>
          <c:dPt>
            <c:idx val="5"/>
            <c:bubble3D val="0"/>
            <c:extLst>
              <c:ext xmlns:c16="http://schemas.microsoft.com/office/drawing/2014/chart" uri="{C3380CC4-5D6E-409C-BE32-E72D297353CC}">
                <c16:uniqueId val="{00000005-5A7E-4F79-9699-E9BE4EAA00E0}"/>
              </c:ext>
            </c:extLst>
          </c:dPt>
          <c:dPt>
            <c:idx val="6"/>
            <c:bubble3D val="0"/>
            <c:extLst>
              <c:ext xmlns:c16="http://schemas.microsoft.com/office/drawing/2014/chart" uri="{C3380CC4-5D6E-409C-BE32-E72D297353CC}">
                <c16:uniqueId val="{00000006-5A7E-4F79-9699-E9BE4EAA00E0}"/>
              </c:ext>
            </c:extLst>
          </c:dPt>
          <c:dPt>
            <c:idx val="7"/>
            <c:bubble3D val="0"/>
            <c:extLst>
              <c:ext xmlns:c16="http://schemas.microsoft.com/office/drawing/2014/chart" uri="{C3380CC4-5D6E-409C-BE32-E72D297353CC}">
                <c16:uniqueId val="{00000007-5A7E-4F79-9699-E9BE4EAA00E0}"/>
              </c:ext>
            </c:extLst>
          </c:dPt>
          <c:dPt>
            <c:idx val="8"/>
            <c:bubble3D val="0"/>
            <c:extLst>
              <c:ext xmlns:c16="http://schemas.microsoft.com/office/drawing/2014/chart" uri="{C3380CC4-5D6E-409C-BE32-E72D297353CC}">
                <c16:uniqueId val="{00000008-5A7E-4F79-9699-E9BE4EAA00E0}"/>
              </c:ext>
            </c:extLst>
          </c:dPt>
          <c:dPt>
            <c:idx val="9"/>
            <c:bubble3D val="0"/>
            <c:extLst>
              <c:ext xmlns:c16="http://schemas.microsoft.com/office/drawing/2014/chart" uri="{C3380CC4-5D6E-409C-BE32-E72D297353CC}">
                <c16:uniqueId val="{00000009-5A7E-4F79-9699-E9BE4EAA00E0}"/>
              </c:ext>
            </c:extLst>
          </c:dPt>
          <c:dPt>
            <c:idx val="10"/>
            <c:bubble3D val="0"/>
            <c:extLst>
              <c:ext xmlns:c16="http://schemas.microsoft.com/office/drawing/2014/chart" uri="{C3380CC4-5D6E-409C-BE32-E72D297353CC}">
                <c16:uniqueId val="{0000000A-5A7E-4F79-9699-E9BE4EAA00E0}"/>
              </c:ext>
            </c:extLst>
          </c:dPt>
          <c:dPt>
            <c:idx val="11"/>
            <c:bubble3D val="0"/>
            <c:extLst>
              <c:ext xmlns:c16="http://schemas.microsoft.com/office/drawing/2014/chart" uri="{C3380CC4-5D6E-409C-BE32-E72D297353CC}">
                <c16:uniqueId val="{0000000B-5A7E-4F79-9699-E9BE4EAA00E0}"/>
              </c:ext>
            </c:extLst>
          </c:dPt>
          <c:dPt>
            <c:idx val="12"/>
            <c:bubble3D val="0"/>
            <c:extLst>
              <c:ext xmlns:c16="http://schemas.microsoft.com/office/drawing/2014/chart" uri="{C3380CC4-5D6E-409C-BE32-E72D297353CC}">
                <c16:uniqueId val="{0000000C-5A7E-4F79-9699-E9BE4EAA00E0}"/>
              </c:ext>
            </c:extLst>
          </c:dPt>
          <c:dLbls>
            <c:spPr>
              <a:noFill/>
              <a:ln w="25400">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Sheet1!$C$28:$C$40</c:f>
              <c:strCache>
                <c:ptCount val="13"/>
                <c:pt idx="0">
                  <c:v>Prihodi od poreza na dobit</c:v>
                </c:pt>
                <c:pt idx="1">
                  <c:v>Doprinosi za mirovinsko i invalidsko osiguranje</c:v>
                </c:pt>
                <c:pt idx="2">
                  <c:v>Prihodi od neizravnih poreza</c:v>
                </c:pt>
                <c:pt idx="3">
                  <c:v>Ostali porezi</c:v>
                </c:pt>
                <c:pt idx="4">
                  <c:v>Neporezni prihodi (osim dividendi i prihoda od povrata anuiteta)</c:v>
                </c:pt>
                <c:pt idx="5">
                  <c:v>Prihodi od dividendi</c:v>
                </c:pt>
                <c:pt idx="6">
                  <c:v>Prihodi od povrata anuiteta</c:v>
                </c:pt>
                <c:pt idx="7">
                  <c:v>Tekući transferi i donacije</c:v>
                </c:pt>
                <c:pt idx="8">
                  <c:v>Zaduženje od IBRD-a</c:v>
                </c:pt>
                <c:pt idx="9">
                  <c:v>Kreditna tranša EU MFA</c:v>
                </c:pt>
                <c:pt idx="10">
                  <c:v>Primici od dugoročnih obveznica</c:v>
                </c:pt>
                <c:pt idx="11">
                  <c:v>Primici od trezorskih zapisa </c:v>
                </c:pt>
                <c:pt idx="12">
                  <c:v>Primici od nefinancijske imovine</c:v>
                </c:pt>
              </c:strCache>
            </c:strRef>
          </c:cat>
          <c:val>
            <c:numRef>
              <c:f>Sheet1!$D$28:$D$40</c:f>
              <c:numCache>
                <c:formatCode>#,##0</c:formatCode>
                <c:ptCount val="13"/>
                <c:pt idx="0">
                  <c:v>89041</c:v>
                </c:pt>
                <c:pt idx="1">
                  <c:v>2458754</c:v>
                </c:pt>
                <c:pt idx="2">
                  <c:v>1820393</c:v>
                </c:pt>
                <c:pt idx="3">
                  <c:v>42</c:v>
                </c:pt>
                <c:pt idx="4">
                  <c:v>172022</c:v>
                </c:pt>
                <c:pt idx="5">
                  <c:v>34093</c:v>
                </c:pt>
                <c:pt idx="6">
                  <c:v>194411</c:v>
                </c:pt>
                <c:pt idx="7">
                  <c:v>27508</c:v>
                </c:pt>
                <c:pt idx="8">
                  <c:v>7621</c:v>
                </c:pt>
                <c:pt idx="9">
                  <c:v>149514</c:v>
                </c:pt>
                <c:pt idx="10">
                  <c:v>129871</c:v>
                </c:pt>
                <c:pt idx="11">
                  <c:v>50000</c:v>
                </c:pt>
                <c:pt idx="12">
                  <c:v>171000</c:v>
                </c:pt>
              </c:numCache>
            </c:numRef>
          </c:val>
          <c:extLst>
            <c:ext xmlns:c16="http://schemas.microsoft.com/office/drawing/2014/chart" uri="{C3380CC4-5D6E-409C-BE32-E72D297353CC}">
              <c16:uniqueId val="{0000000D-5A7E-4F79-9699-E9BE4EAA00E0}"/>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4683198426013233"/>
          <c:y val="3.6773472622852833E-2"/>
          <c:w val="0.33994489413551154"/>
          <c:h val="0.71516104051350016"/>
        </c:manualLayout>
      </c:layout>
      <c:overlay val="0"/>
      <c:txPr>
        <a:bodyPr/>
        <a:lstStyle/>
        <a:p>
          <a:pPr>
            <a:defRPr sz="800" strike="noStrike" baseline="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5.1446172534218335E-2"/>
          <c:y val="0"/>
          <c:w val="0.57699746209409764"/>
          <c:h val="0.89992248632472338"/>
        </c:manualLayout>
      </c:layout>
      <c:pie3DChart>
        <c:varyColors val="1"/>
        <c:ser>
          <c:idx val="0"/>
          <c:order val="0"/>
          <c:explosion val="25"/>
          <c:dPt>
            <c:idx val="0"/>
            <c:bubble3D val="0"/>
            <c:explosion val="13"/>
            <c:extLst>
              <c:ext xmlns:c16="http://schemas.microsoft.com/office/drawing/2014/chart" uri="{C3380CC4-5D6E-409C-BE32-E72D297353CC}">
                <c16:uniqueId val="{00000001-416C-48B8-BB1B-B4E0CEC7984A}"/>
              </c:ext>
            </c:extLst>
          </c:dPt>
          <c:dPt>
            <c:idx val="1"/>
            <c:bubble3D val="0"/>
            <c:explosion val="18"/>
            <c:extLst>
              <c:ext xmlns:c16="http://schemas.microsoft.com/office/drawing/2014/chart" uri="{C3380CC4-5D6E-409C-BE32-E72D297353CC}">
                <c16:uniqueId val="{00000003-416C-48B8-BB1B-B4E0CEC7984A}"/>
              </c:ext>
            </c:extLst>
          </c:dPt>
          <c:dPt>
            <c:idx val="2"/>
            <c:bubble3D val="0"/>
            <c:explosion val="9"/>
            <c:extLst>
              <c:ext xmlns:c16="http://schemas.microsoft.com/office/drawing/2014/chart" uri="{C3380CC4-5D6E-409C-BE32-E72D297353CC}">
                <c16:uniqueId val="{00000005-416C-48B8-BB1B-B4E0CEC7984A}"/>
              </c:ext>
            </c:extLst>
          </c:dPt>
          <c:dLbls>
            <c:dLbl>
              <c:idx val="1"/>
              <c:spPr>
                <a:noFill/>
                <a:ln w="25400">
                  <a:noFill/>
                </a:ln>
              </c:spPr>
              <c:txPr>
                <a:bodyPr wrap="square" lIns="38100" tIns="19050" rIns="38100" bIns="19050" anchor="ctr">
                  <a:spAutoFit/>
                </a:bodyPr>
                <a:lstStyle/>
                <a:p>
                  <a:pPr>
                    <a:defRPr/>
                  </a:pPr>
                  <a:endParaRPr lang="en-US"/>
                </a:p>
              </c:txPr>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16C-48B8-BB1B-B4E0CEC7984A}"/>
                </c:ext>
              </c:extLst>
            </c:dLbl>
            <c:spPr>
              <a:noFill/>
              <a:ln w="25400">
                <a:noFill/>
              </a:ln>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Sheet1!$C$23:$C$25</c:f>
              <c:strCache>
                <c:ptCount val="3"/>
                <c:pt idx="0">
                  <c:v>Porez na dobit</c:v>
                </c:pt>
                <c:pt idx="1">
                  <c:v>Doprinosi za mirovinsko i invalidsko osiguranje</c:v>
                </c:pt>
                <c:pt idx="2">
                  <c:v>Prihodi od neizravnih poreza</c:v>
                </c:pt>
              </c:strCache>
            </c:strRef>
          </c:cat>
          <c:val>
            <c:numRef>
              <c:f>Sheet1!$D$23:$D$25</c:f>
              <c:numCache>
                <c:formatCode>#,##0</c:formatCode>
                <c:ptCount val="3"/>
                <c:pt idx="0">
                  <c:v>89041</c:v>
                </c:pt>
                <c:pt idx="1">
                  <c:v>2458754</c:v>
                </c:pt>
                <c:pt idx="2">
                  <c:v>1820393</c:v>
                </c:pt>
              </c:numCache>
            </c:numRef>
          </c:val>
          <c:extLst>
            <c:ext xmlns:c16="http://schemas.microsoft.com/office/drawing/2014/chart" uri="{C3380CC4-5D6E-409C-BE32-E72D297353CC}">
              <c16:uniqueId val="{00000006-416C-48B8-BB1B-B4E0CEC7984A}"/>
            </c:ext>
          </c:extLst>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v>2022</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Sheet1!$C$3:$C$14</c:f>
              <c:numCache>
                <c:formatCode>#,##0.00</c:formatCode>
                <c:ptCount val="12"/>
                <c:pt idx="0">
                  <c:v>176629720.74000001</c:v>
                </c:pt>
                <c:pt idx="1">
                  <c:v>193201688.13999999</c:v>
                </c:pt>
                <c:pt idx="2">
                  <c:v>195500682.63</c:v>
                </c:pt>
                <c:pt idx="3">
                  <c:v>212650021.88</c:v>
                </c:pt>
                <c:pt idx="4">
                  <c:v>194537321.31</c:v>
                </c:pt>
                <c:pt idx="5">
                  <c:v>208579555.47</c:v>
                </c:pt>
                <c:pt idx="6">
                  <c:v>202647716.55000001</c:v>
                </c:pt>
                <c:pt idx="7">
                  <c:v>203940628.36000001</c:v>
                </c:pt>
                <c:pt idx="8">
                  <c:v>211821594</c:v>
                </c:pt>
                <c:pt idx="9">
                  <c:v>211110719</c:v>
                </c:pt>
                <c:pt idx="10">
                  <c:v>209776895</c:v>
                </c:pt>
                <c:pt idx="11">
                  <c:v>238479446</c:v>
                </c:pt>
              </c:numCache>
            </c:numRef>
          </c:val>
          <c:smooth val="0"/>
          <c:extLst>
            <c:ext xmlns:c16="http://schemas.microsoft.com/office/drawing/2014/chart" uri="{C3380CC4-5D6E-409C-BE32-E72D297353CC}">
              <c16:uniqueId val="{00000000-6893-496B-8152-D742FEAF2BF9}"/>
            </c:ext>
          </c:extLst>
        </c:ser>
        <c:dLbls>
          <c:showLegendKey val="0"/>
          <c:showVal val="0"/>
          <c:showCatName val="0"/>
          <c:showSerName val="0"/>
          <c:showPercent val="0"/>
          <c:showBubbleSize val="0"/>
        </c:dLbls>
        <c:marker val="1"/>
        <c:smooth val="0"/>
        <c:axId val="244744560"/>
        <c:axId val="244743728"/>
      </c:lineChart>
      <c:lineChart>
        <c:grouping val="standard"/>
        <c:varyColors val="0"/>
        <c:ser>
          <c:idx val="0"/>
          <c:order val="0"/>
          <c:tx>
            <c:v>2021</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Sheet1!$B$3:$B$14</c:f>
              <c:numCache>
                <c:formatCode>#,##0.00</c:formatCode>
                <c:ptCount val="12"/>
                <c:pt idx="0">
                  <c:v>159564852.53999999</c:v>
                </c:pt>
                <c:pt idx="1">
                  <c:v>170891679.84999999</c:v>
                </c:pt>
                <c:pt idx="2">
                  <c:v>168775149.88</c:v>
                </c:pt>
                <c:pt idx="3">
                  <c:v>182170186.72</c:v>
                </c:pt>
                <c:pt idx="4">
                  <c:v>171694885.59999999</c:v>
                </c:pt>
                <c:pt idx="5">
                  <c:v>189215976.12</c:v>
                </c:pt>
                <c:pt idx="6">
                  <c:v>183067074.77000001</c:v>
                </c:pt>
                <c:pt idx="7">
                  <c:v>177808491.34999999</c:v>
                </c:pt>
                <c:pt idx="8">
                  <c:v>185091287.90000001</c:v>
                </c:pt>
                <c:pt idx="9">
                  <c:v>179636455.03999999</c:v>
                </c:pt>
                <c:pt idx="10">
                  <c:v>184447509.06999999</c:v>
                </c:pt>
                <c:pt idx="11">
                  <c:v>227666176.59</c:v>
                </c:pt>
              </c:numCache>
            </c:numRef>
          </c:val>
          <c:smooth val="0"/>
          <c:extLst>
            <c:ext xmlns:c16="http://schemas.microsoft.com/office/drawing/2014/chart" uri="{C3380CC4-5D6E-409C-BE32-E72D297353CC}">
              <c16:uniqueId val="{00000001-6893-496B-8152-D742FEAF2BF9}"/>
            </c:ext>
          </c:extLst>
        </c:ser>
        <c:dLbls>
          <c:showLegendKey val="0"/>
          <c:showVal val="0"/>
          <c:showCatName val="0"/>
          <c:showSerName val="0"/>
          <c:showPercent val="0"/>
          <c:showBubbleSize val="0"/>
        </c:dLbls>
        <c:marker val="1"/>
        <c:smooth val="0"/>
        <c:axId val="350356192"/>
        <c:axId val="350356608"/>
      </c:lineChart>
      <c:catAx>
        <c:axId val="24474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743728"/>
        <c:crosses val="autoZero"/>
        <c:auto val="1"/>
        <c:lblAlgn val="ctr"/>
        <c:lblOffset val="100"/>
        <c:noMultiLvlLbl val="0"/>
      </c:catAx>
      <c:valAx>
        <c:axId val="2447437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744560"/>
        <c:crosses val="autoZero"/>
        <c:crossBetween val="between"/>
      </c:valAx>
      <c:valAx>
        <c:axId val="350356608"/>
        <c:scaling>
          <c:orientation val="minMax"/>
        </c:scaling>
        <c:delete val="1"/>
        <c:axPos val="r"/>
        <c:numFmt formatCode="#,##0.00" sourceLinked="1"/>
        <c:majorTickMark val="out"/>
        <c:minorTickMark val="none"/>
        <c:tickLblPos val="nextTo"/>
        <c:crossAx val="350356192"/>
        <c:crosses val="max"/>
        <c:crossBetween val="between"/>
      </c:valAx>
      <c:catAx>
        <c:axId val="350356192"/>
        <c:scaling>
          <c:orientation val="minMax"/>
        </c:scaling>
        <c:delete val="1"/>
        <c:axPos val="b"/>
        <c:numFmt formatCode="General" sourceLinked="1"/>
        <c:majorTickMark val="out"/>
        <c:minorTickMark val="none"/>
        <c:tickLblPos val="nextTo"/>
        <c:crossAx val="3503566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2021</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Sheet1!$G$3:$G$14</c:f>
              <c:numCache>
                <c:formatCode>#,##0.00</c:formatCode>
                <c:ptCount val="12"/>
                <c:pt idx="0">
                  <c:v>71993725.700000003</c:v>
                </c:pt>
                <c:pt idx="1">
                  <c:v>74739450.689999998</c:v>
                </c:pt>
                <c:pt idx="2">
                  <c:v>80912899.599999994</c:v>
                </c:pt>
                <c:pt idx="3">
                  <c:v>87864483.280000001</c:v>
                </c:pt>
                <c:pt idx="4">
                  <c:v>71096662.209999993</c:v>
                </c:pt>
                <c:pt idx="5">
                  <c:v>107588390.04000001</c:v>
                </c:pt>
                <c:pt idx="6">
                  <c:v>108768553.98</c:v>
                </c:pt>
                <c:pt idx="7">
                  <c:v>104036092.45999999</c:v>
                </c:pt>
                <c:pt idx="8">
                  <c:v>99358465.349999994</c:v>
                </c:pt>
                <c:pt idx="9">
                  <c:v>104500057.03</c:v>
                </c:pt>
                <c:pt idx="10">
                  <c:v>95747949.780000001</c:v>
                </c:pt>
                <c:pt idx="11">
                  <c:v>102245599.95</c:v>
                </c:pt>
              </c:numCache>
            </c:numRef>
          </c:val>
          <c:smooth val="0"/>
          <c:extLst>
            <c:ext xmlns:c16="http://schemas.microsoft.com/office/drawing/2014/chart" uri="{C3380CC4-5D6E-409C-BE32-E72D297353CC}">
              <c16:uniqueId val="{00000000-19F9-4174-9F5E-82F7AC134D69}"/>
            </c:ext>
          </c:extLst>
        </c:ser>
        <c:ser>
          <c:idx val="1"/>
          <c:order val="1"/>
          <c:tx>
            <c:v>2022</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Sheet1!$H$3:$H$14</c:f>
              <c:numCache>
                <c:formatCode>#,##0.00</c:formatCode>
                <c:ptCount val="12"/>
                <c:pt idx="0">
                  <c:v>90320833.239999995</c:v>
                </c:pt>
                <c:pt idx="1">
                  <c:v>89786578.840000004</c:v>
                </c:pt>
                <c:pt idx="2">
                  <c:v>104017192.09</c:v>
                </c:pt>
                <c:pt idx="3">
                  <c:v>106901836.75</c:v>
                </c:pt>
                <c:pt idx="4">
                  <c:v>110814476.09</c:v>
                </c:pt>
                <c:pt idx="5">
                  <c:v>121531950.73999999</c:v>
                </c:pt>
                <c:pt idx="6">
                  <c:v>104241430.67</c:v>
                </c:pt>
                <c:pt idx="7">
                  <c:v>113039136.39</c:v>
                </c:pt>
                <c:pt idx="8">
                  <c:v>108850559.40000001</c:v>
                </c:pt>
                <c:pt idx="9">
                  <c:v>112400879</c:v>
                </c:pt>
                <c:pt idx="10">
                  <c:v>111379154.28</c:v>
                </c:pt>
                <c:pt idx="11">
                  <c:v>112259798</c:v>
                </c:pt>
              </c:numCache>
            </c:numRef>
          </c:val>
          <c:smooth val="0"/>
          <c:extLst>
            <c:ext xmlns:c16="http://schemas.microsoft.com/office/drawing/2014/chart" uri="{C3380CC4-5D6E-409C-BE32-E72D297353CC}">
              <c16:uniqueId val="{00000001-19F9-4174-9F5E-82F7AC134D69}"/>
            </c:ext>
          </c:extLst>
        </c:ser>
        <c:dLbls>
          <c:showLegendKey val="0"/>
          <c:showVal val="0"/>
          <c:showCatName val="0"/>
          <c:showSerName val="0"/>
          <c:showPercent val="0"/>
          <c:showBubbleSize val="0"/>
        </c:dLbls>
        <c:marker val="1"/>
        <c:smooth val="0"/>
        <c:axId val="239264272"/>
        <c:axId val="239266352"/>
      </c:lineChart>
      <c:catAx>
        <c:axId val="23926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266352"/>
        <c:crosses val="autoZero"/>
        <c:auto val="1"/>
        <c:lblAlgn val="ctr"/>
        <c:lblOffset val="100"/>
        <c:noMultiLvlLbl val="0"/>
      </c:catAx>
      <c:valAx>
        <c:axId val="2392663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26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6.5256718943189948E-2"/>
          <c:y val="5.1427101024136682E-2"/>
          <c:w val="0.56318275091646597"/>
          <c:h val="0.87016505289779955"/>
        </c:manualLayout>
      </c:layout>
      <c:pie3DChart>
        <c:varyColors val="1"/>
        <c:ser>
          <c:idx val="0"/>
          <c:order val="0"/>
          <c:explosion val="37"/>
          <c:dPt>
            <c:idx val="0"/>
            <c:bubble3D val="0"/>
            <c:explosion val="34"/>
            <c:extLst>
              <c:ext xmlns:c16="http://schemas.microsoft.com/office/drawing/2014/chart" uri="{C3380CC4-5D6E-409C-BE32-E72D297353CC}">
                <c16:uniqueId val="{00000001-BD36-4F13-9F82-04A452CF10E2}"/>
              </c:ext>
            </c:extLst>
          </c:dPt>
          <c:dPt>
            <c:idx val="1"/>
            <c:bubble3D val="0"/>
            <c:extLst>
              <c:ext xmlns:c16="http://schemas.microsoft.com/office/drawing/2014/chart" uri="{C3380CC4-5D6E-409C-BE32-E72D297353CC}">
                <c16:uniqueId val="{00000002-BD36-4F13-9F82-04A452CF10E2}"/>
              </c:ext>
            </c:extLst>
          </c:dPt>
          <c:dPt>
            <c:idx val="2"/>
            <c:bubble3D val="0"/>
            <c:extLst>
              <c:ext xmlns:c16="http://schemas.microsoft.com/office/drawing/2014/chart" uri="{C3380CC4-5D6E-409C-BE32-E72D297353CC}">
                <c16:uniqueId val="{00000003-BD36-4F13-9F82-04A452CF10E2}"/>
              </c:ext>
            </c:extLst>
          </c:dPt>
          <c:dPt>
            <c:idx val="3"/>
            <c:bubble3D val="0"/>
            <c:extLst>
              <c:ext xmlns:c16="http://schemas.microsoft.com/office/drawing/2014/chart" uri="{C3380CC4-5D6E-409C-BE32-E72D297353CC}">
                <c16:uniqueId val="{00000004-BD36-4F13-9F82-04A452CF10E2}"/>
              </c:ext>
            </c:extLst>
          </c:dPt>
          <c:dPt>
            <c:idx val="4"/>
            <c:bubble3D val="0"/>
            <c:extLst>
              <c:ext xmlns:c16="http://schemas.microsoft.com/office/drawing/2014/chart" uri="{C3380CC4-5D6E-409C-BE32-E72D297353CC}">
                <c16:uniqueId val="{00000005-BD36-4F13-9F82-04A452CF10E2}"/>
              </c:ext>
            </c:extLst>
          </c:dPt>
          <c:dPt>
            <c:idx val="5"/>
            <c:bubble3D val="0"/>
            <c:extLst>
              <c:ext xmlns:c16="http://schemas.microsoft.com/office/drawing/2014/chart" uri="{C3380CC4-5D6E-409C-BE32-E72D297353CC}">
                <c16:uniqueId val="{00000006-BD36-4F13-9F82-04A452CF10E2}"/>
              </c:ext>
            </c:extLst>
          </c:dPt>
          <c:dPt>
            <c:idx val="6"/>
            <c:bubble3D val="0"/>
            <c:extLst>
              <c:ext xmlns:c16="http://schemas.microsoft.com/office/drawing/2014/chart" uri="{C3380CC4-5D6E-409C-BE32-E72D297353CC}">
                <c16:uniqueId val="{00000007-BD36-4F13-9F82-04A452CF10E2}"/>
              </c:ext>
            </c:extLst>
          </c:dPt>
          <c:dPt>
            <c:idx val="7"/>
            <c:bubble3D val="0"/>
            <c:extLst>
              <c:ext xmlns:c16="http://schemas.microsoft.com/office/drawing/2014/chart" uri="{C3380CC4-5D6E-409C-BE32-E72D297353CC}">
                <c16:uniqueId val="{00000008-BD36-4F13-9F82-04A452CF10E2}"/>
              </c:ext>
            </c:extLst>
          </c:dPt>
          <c:dPt>
            <c:idx val="8"/>
            <c:bubble3D val="0"/>
            <c:extLst>
              <c:ext xmlns:c16="http://schemas.microsoft.com/office/drawing/2014/chart" uri="{C3380CC4-5D6E-409C-BE32-E72D297353CC}">
                <c16:uniqueId val="{00000009-BD36-4F13-9F82-04A452CF10E2}"/>
              </c:ext>
            </c:extLst>
          </c:dPt>
          <c:dPt>
            <c:idx val="9"/>
            <c:bubble3D val="0"/>
            <c:extLst>
              <c:ext xmlns:c16="http://schemas.microsoft.com/office/drawing/2014/chart" uri="{C3380CC4-5D6E-409C-BE32-E72D297353CC}">
                <c16:uniqueId val="{0000000A-BD36-4F13-9F82-04A452CF10E2}"/>
              </c:ext>
            </c:extLst>
          </c:dPt>
          <c:dPt>
            <c:idx val="10"/>
            <c:bubble3D val="0"/>
            <c:extLst>
              <c:ext xmlns:c16="http://schemas.microsoft.com/office/drawing/2014/chart" uri="{C3380CC4-5D6E-409C-BE32-E72D297353CC}">
                <c16:uniqueId val="{0000000B-BD36-4F13-9F82-04A452CF10E2}"/>
              </c:ext>
            </c:extLst>
          </c:dPt>
          <c:dPt>
            <c:idx val="11"/>
            <c:bubble3D val="0"/>
            <c:extLst>
              <c:ext xmlns:c16="http://schemas.microsoft.com/office/drawing/2014/chart" uri="{C3380CC4-5D6E-409C-BE32-E72D297353CC}">
                <c16:uniqueId val="{0000000C-BD36-4F13-9F82-04A452CF10E2}"/>
              </c:ext>
            </c:extLst>
          </c:dPt>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'[Copy of Neporezni prihodi_hr.xls]Sheet1'!$C$28:$C$39</c:f>
              <c:strCache>
                <c:ptCount val="3"/>
                <c:pt idx="0">
                  <c:v>Prihodi od poduzetničkih aktivnosti i imovine</c:v>
                </c:pt>
                <c:pt idx="1">
                  <c:v>Naknade i pristojbe i prihodi od pružanja javnih usluga</c:v>
                </c:pt>
                <c:pt idx="2">
                  <c:v>Novčane kazne</c:v>
                </c:pt>
              </c:strCache>
            </c:strRef>
          </c:cat>
          <c:val>
            <c:numRef>
              <c:f>'[Copy of Neporezni prihodi_hr.xls]Sheet1'!$D$28:$D$39</c:f>
              <c:numCache>
                <c:formatCode>#,##0.00</c:formatCode>
                <c:ptCount val="12"/>
                <c:pt idx="0">
                  <c:v>237902016</c:v>
                </c:pt>
                <c:pt idx="1">
                  <c:v>148458508</c:v>
                </c:pt>
                <c:pt idx="2">
                  <c:v>14165951</c:v>
                </c:pt>
              </c:numCache>
            </c:numRef>
          </c:val>
          <c:extLst>
            <c:ext xmlns:c16="http://schemas.microsoft.com/office/drawing/2014/chart" uri="{C3380CC4-5D6E-409C-BE32-E72D297353CC}">
              <c16:uniqueId val="{0000000D-BD36-4F13-9F82-04A452CF10E2}"/>
            </c:ext>
          </c:extLst>
        </c:ser>
        <c:dLbls>
          <c:showLegendKey val="0"/>
          <c:showVal val="0"/>
          <c:showCatName val="0"/>
          <c:showSerName val="0"/>
          <c:showPercent val="0"/>
          <c:showBubbleSize val="0"/>
          <c:showLeaderLines val="1"/>
        </c:dLbls>
      </c:pie3DChart>
      <c:spPr>
        <a:noFill/>
        <a:ln w="25400">
          <a:noFill/>
        </a:ln>
      </c:spPr>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Sheet1!$E$6</c:f>
              <c:strCache>
                <c:ptCount val="1"/>
                <c:pt idx="0">
                  <c:v>Rashodi i izdaci za siječanj-prosinac 2021. godine</c:v>
                </c:pt>
              </c:strCache>
            </c:strRef>
          </c:tx>
          <c:spPr>
            <a:solidFill>
              <a:srgbClr val="FF0000"/>
            </a:solidFill>
          </c:spPr>
          <c:invertIfNegative val="0"/>
          <c:dPt>
            <c:idx val="0"/>
            <c:invertIfNegative val="0"/>
            <c:bubble3D val="0"/>
            <c:spPr>
              <a:solidFill>
                <a:schemeClr val="accent6"/>
              </a:solidFill>
            </c:spPr>
            <c:extLst>
              <c:ext xmlns:c16="http://schemas.microsoft.com/office/drawing/2014/chart" uri="{C3380CC4-5D6E-409C-BE32-E72D297353CC}">
                <c16:uniqueId val="{00000001-0C95-454A-B265-23D78D0E2F0D}"/>
              </c:ext>
            </c:extLst>
          </c:dPt>
          <c:dPt>
            <c:idx val="1"/>
            <c:invertIfNegative val="0"/>
            <c:bubble3D val="0"/>
            <c:spPr>
              <a:solidFill>
                <a:schemeClr val="accent1"/>
              </a:solidFill>
            </c:spPr>
            <c:extLst>
              <c:ext xmlns:c16="http://schemas.microsoft.com/office/drawing/2014/chart" uri="{C3380CC4-5D6E-409C-BE32-E72D297353CC}">
                <c16:uniqueId val="{00000003-0C95-454A-B265-23D78D0E2F0D}"/>
              </c:ext>
            </c:extLst>
          </c:dPt>
          <c:val>
            <c:numRef>
              <c:f>Sheet1!$C$7:$E$7</c:f>
              <c:numCache>
                <c:formatCode>#,##0</c:formatCode>
                <c:ptCount val="3"/>
                <c:pt idx="0">
                  <c:v>5597618777</c:v>
                </c:pt>
                <c:pt idx="1">
                  <c:v>5100615233</c:v>
                </c:pt>
                <c:pt idx="2">
                  <c:v>4765580590</c:v>
                </c:pt>
              </c:numCache>
            </c:numRef>
          </c:val>
          <c:extLst>
            <c:ext xmlns:c16="http://schemas.microsoft.com/office/drawing/2014/chart" uri="{C3380CC4-5D6E-409C-BE32-E72D297353CC}">
              <c16:uniqueId val="{00000004-0C95-454A-B265-23D78D0E2F0D}"/>
            </c:ext>
          </c:extLst>
        </c:ser>
        <c:ser>
          <c:idx val="1"/>
          <c:order val="1"/>
          <c:tx>
            <c:strRef>
              <c:f>Sheet1!$D$6</c:f>
              <c:strCache>
                <c:ptCount val="1"/>
                <c:pt idx="0">
                  <c:v>Rashodi i izdaci za siječanj-prosinac 2022. godine</c:v>
                </c:pt>
              </c:strCache>
            </c:strRef>
          </c:tx>
          <c:spPr>
            <a:solidFill>
              <a:schemeClr val="tx2">
                <a:lumMod val="60000"/>
                <a:lumOff val="40000"/>
              </a:schemeClr>
            </a:solidFill>
          </c:spPr>
          <c:invertIfNegative val="0"/>
          <c:val>
            <c:numLit>
              <c:formatCode>General</c:formatCode>
              <c:ptCount val="1"/>
              <c:pt idx="0">
                <c:v>1</c:v>
              </c:pt>
            </c:numLit>
          </c:val>
          <c:extLst>
            <c:ext xmlns:c16="http://schemas.microsoft.com/office/drawing/2014/chart" uri="{C3380CC4-5D6E-409C-BE32-E72D297353CC}">
              <c16:uniqueId val="{00000005-0C95-454A-B265-23D78D0E2F0D}"/>
            </c:ext>
          </c:extLst>
        </c:ser>
        <c:ser>
          <c:idx val="2"/>
          <c:order val="2"/>
          <c:tx>
            <c:strRef>
              <c:f>Sheet1!$C$6</c:f>
              <c:strCache>
                <c:ptCount val="1"/>
                <c:pt idx="0">
                  <c:v>Proračun Federacije BiH za 2022. godinu</c:v>
                </c:pt>
              </c:strCache>
            </c:strRef>
          </c:tx>
          <c:spPr>
            <a:solidFill>
              <a:schemeClr val="accent6"/>
            </a:solidFill>
          </c:spPr>
          <c:invertIfNegative val="0"/>
          <c:val>
            <c:numLit>
              <c:formatCode>General</c:formatCode>
              <c:ptCount val="1"/>
              <c:pt idx="0">
                <c:v>1</c:v>
              </c:pt>
            </c:numLit>
          </c:val>
          <c:extLst>
            <c:ext xmlns:c16="http://schemas.microsoft.com/office/drawing/2014/chart" uri="{C3380CC4-5D6E-409C-BE32-E72D297353CC}">
              <c16:uniqueId val="{00000006-0C95-454A-B265-23D78D0E2F0D}"/>
            </c:ext>
          </c:extLst>
        </c:ser>
        <c:dLbls>
          <c:showLegendKey val="0"/>
          <c:showVal val="0"/>
          <c:showCatName val="0"/>
          <c:showSerName val="0"/>
          <c:showPercent val="0"/>
          <c:showBubbleSize val="0"/>
        </c:dLbls>
        <c:gapWidth val="55"/>
        <c:gapDepth val="55"/>
        <c:shape val="box"/>
        <c:axId val="160140192"/>
        <c:axId val="1"/>
        <c:axId val="0"/>
      </c:bar3DChart>
      <c:catAx>
        <c:axId val="160140192"/>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min val="0"/>
        </c:scaling>
        <c:delete val="0"/>
        <c:axPos val="l"/>
        <c:majorGridlines/>
        <c:numFmt formatCode="#,##0" sourceLinked="1"/>
        <c:majorTickMark val="none"/>
        <c:minorTickMark val="none"/>
        <c:tickLblPos val="nextTo"/>
        <c:txPr>
          <a:bodyPr/>
          <a:lstStyle/>
          <a:p>
            <a:pPr>
              <a:defRPr b="1"/>
            </a:pPr>
            <a:endParaRPr lang="en-US"/>
          </a:p>
        </c:txPr>
        <c:crossAx val="160140192"/>
        <c:crosses val="autoZero"/>
        <c:crossBetween val="between"/>
      </c:valAx>
      <c:spPr>
        <a:noFill/>
        <a:ln w="25400">
          <a:noFill/>
        </a:ln>
      </c:spPr>
    </c:plotArea>
    <c:legend>
      <c:legendPos val="r"/>
      <c:overlay val="0"/>
      <c:txPr>
        <a:bodyPr/>
        <a:lstStyle/>
        <a:p>
          <a:pPr rtl="0">
            <a:defRPr sz="1100" b="1"/>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5.0742492286800008E-2"/>
          <c:y val="1.5158788912069752E-3"/>
          <c:w val="0.58331486930245668"/>
          <c:h val="0.88007364766837193"/>
        </c:manualLayout>
      </c:layout>
      <c:pie3DChart>
        <c:varyColors val="1"/>
        <c:ser>
          <c:idx val="0"/>
          <c:order val="0"/>
          <c:explosion val="25"/>
          <c:dPt>
            <c:idx val="0"/>
            <c:bubble3D val="0"/>
            <c:extLst>
              <c:ext xmlns:c16="http://schemas.microsoft.com/office/drawing/2014/chart" uri="{C3380CC4-5D6E-409C-BE32-E72D297353CC}">
                <c16:uniqueId val="{00000000-E856-4DBD-8F66-F271BDED01F5}"/>
              </c:ext>
            </c:extLst>
          </c:dPt>
          <c:dPt>
            <c:idx val="1"/>
            <c:bubble3D val="0"/>
            <c:extLst>
              <c:ext xmlns:c16="http://schemas.microsoft.com/office/drawing/2014/chart" uri="{C3380CC4-5D6E-409C-BE32-E72D297353CC}">
                <c16:uniqueId val="{00000001-E856-4DBD-8F66-F271BDED01F5}"/>
              </c:ext>
            </c:extLst>
          </c:dPt>
          <c:dPt>
            <c:idx val="2"/>
            <c:bubble3D val="0"/>
            <c:extLst>
              <c:ext xmlns:c16="http://schemas.microsoft.com/office/drawing/2014/chart" uri="{C3380CC4-5D6E-409C-BE32-E72D297353CC}">
                <c16:uniqueId val="{00000002-E856-4DBD-8F66-F271BDED01F5}"/>
              </c:ext>
            </c:extLst>
          </c:dPt>
          <c:dPt>
            <c:idx val="3"/>
            <c:bubble3D val="0"/>
            <c:spPr>
              <a:solidFill>
                <a:srgbClr val="FFC000"/>
              </a:solidFill>
            </c:spPr>
            <c:extLst>
              <c:ext xmlns:c16="http://schemas.microsoft.com/office/drawing/2014/chart" uri="{C3380CC4-5D6E-409C-BE32-E72D297353CC}">
                <c16:uniqueId val="{00000004-E856-4DBD-8F66-F271BDED01F5}"/>
              </c:ext>
            </c:extLst>
          </c:dPt>
          <c:dPt>
            <c:idx val="4"/>
            <c:bubble3D val="0"/>
            <c:extLst>
              <c:ext xmlns:c16="http://schemas.microsoft.com/office/drawing/2014/chart" uri="{C3380CC4-5D6E-409C-BE32-E72D297353CC}">
                <c16:uniqueId val="{00000005-E856-4DBD-8F66-F271BDED01F5}"/>
              </c:ext>
            </c:extLst>
          </c:dPt>
          <c:dPt>
            <c:idx val="5"/>
            <c:bubble3D val="0"/>
            <c:extLst>
              <c:ext xmlns:c16="http://schemas.microsoft.com/office/drawing/2014/chart" uri="{C3380CC4-5D6E-409C-BE32-E72D297353CC}">
                <c16:uniqueId val="{00000006-E856-4DBD-8F66-F271BDED01F5}"/>
              </c:ext>
            </c:extLst>
          </c:dPt>
          <c:dPt>
            <c:idx val="6"/>
            <c:bubble3D val="0"/>
            <c:extLst>
              <c:ext xmlns:c16="http://schemas.microsoft.com/office/drawing/2014/chart" uri="{C3380CC4-5D6E-409C-BE32-E72D297353CC}">
                <c16:uniqueId val="{00000007-E856-4DBD-8F66-F271BDED01F5}"/>
              </c:ext>
            </c:extLst>
          </c:dPt>
          <c:dPt>
            <c:idx val="7"/>
            <c:bubble3D val="0"/>
            <c:extLst>
              <c:ext xmlns:c16="http://schemas.microsoft.com/office/drawing/2014/chart" uri="{C3380CC4-5D6E-409C-BE32-E72D297353CC}">
                <c16:uniqueId val="{00000008-E856-4DBD-8F66-F271BDED01F5}"/>
              </c:ext>
            </c:extLst>
          </c:dPt>
          <c:dPt>
            <c:idx val="8"/>
            <c:bubble3D val="0"/>
            <c:extLst>
              <c:ext xmlns:c16="http://schemas.microsoft.com/office/drawing/2014/chart" uri="{C3380CC4-5D6E-409C-BE32-E72D297353CC}">
                <c16:uniqueId val="{00000009-E856-4DBD-8F66-F271BDED01F5}"/>
              </c:ext>
            </c:extLst>
          </c:dPt>
          <c:dLbls>
            <c:spPr>
              <a:noFill/>
              <a:ln w="25400">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Sheet1!$E$11:$E$19</c:f>
              <c:strCache>
                <c:ptCount val="9"/>
                <c:pt idx="0">
                  <c:v>Plaće i naknade troškova zaposlenih</c:v>
                </c:pt>
                <c:pt idx="1">
                  <c:v>Doprinosi poslodavca i ostali doprinosi</c:v>
                </c:pt>
                <c:pt idx="2">
                  <c:v>Izdaci za materijal, sitan inventar i usluge</c:v>
                </c:pt>
                <c:pt idx="3">
                  <c:v>Tekući transferi i drugi tekući rashodi</c:v>
                </c:pt>
                <c:pt idx="4">
                  <c:v>Izdaci za kamate i ostale naknade</c:v>
                </c:pt>
                <c:pt idx="5">
                  <c:v>Nabava stalnih sredstava</c:v>
                </c:pt>
                <c:pt idx="6">
                  <c:v>Kapitalni transferi</c:v>
                </c:pt>
                <c:pt idx="7">
                  <c:v>Izdaci za financijsku imovinu</c:v>
                </c:pt>
                <c:pt idx="8">
                  <c:v>Otplate dugova</c:v>
                </c:pt>
              </c:strCache>
            </c:strRef>
          </c:cat>
          <c:val>
            <c:numRef>
              <c:f>Sheet1!$F$11:$F$19</c:f>
              <c:numCache>
                <c:formatCode>General</c:formatCode>
                <c:ptCount val="9"/>
                <c:pt idx="0">
                  <c:v>260897</c:v>
                </c:pt>
                <c:pt idx="1">
                  <c:v>26714</c:v>
                </c:pt>
                <c:pt idx="2">
                  <c:v>96844</c:v>
                </c:pt>
                <c:pt idx="3" formatCode="#,##0">
                  <c:v>3729544</c:v>
                </c:pt>
                <c:pt idx="4">
                  <c:v>86154</c:v>
                </c:pt>
                <c:pt idx="5">
                  <c:v>42226</c:v>
                </c:pt>
                <c:pt idx="6">
                  <c:v>109119</c:v>
                </c:pt>
                <c:pt idx="7">
                  <c:v>18500</c:v>
                </c:pt>
                <c:pt idx="8">
                  <c:v>730517</c:v>
                </c:pt>
              </c:numCache>
            </c:numRef>
          </c:val>
          <c:extLst>
            <c:ext xmlns:c16="http://schemas.microsoft.com/office/drawing/2014/chart" uri="{C3380CC4-5D6E-409C-BE32-E72D297353CC}">
              <c16:uniqueId val="{0000000A-E856-4DBD-8F66-F271BDED01F5}"/>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4849123057802338"/>
          <c:y val="1.6940925862528053E-3"/>
          <c:w val="0.33738874925051909"/>
          <c:h val="0.75072950663775728"/>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1.6451014727546349E-2"/>
          <c:y val="9.3539709405483169E-5"/>
          <c:w val="0.59340059799635481"/>
          <c:h val="0.89668833451893282"/>
        </c:manualLayout>
      </c:layout>
      <c:pie3DChart>
        <c:varyColors val="1"/>
        <c:ser>
          <c:idx val="0"/>
          <c:order val="0"/>
          <c:explosion val="25"/>
          <c:dPt>
            <c:idx val="0"/>
            <c:bubble3D val="0"/>
            <c:extLst>
              <c:ext xmlns:c16="http://schemas.microsoft.com/office/drawing/2014/chart" uri="{C3380CC4-5D6E-409C-BE32-E72D297353CC}">
                <c16:uniqueId val="{00000000-9173-41DF-A3F5-7463E8DEC488}"/>
              </c:ext>
            </c:extLst>
          </c:dPt>
          <c:dPt>
            <c:idx val="1"/>
            <c:bubble3D val="0"/>
            <c:extLst>
              <c:ext xmlns:c16="http://schemas.microsoft.com/office/drawing/2014/chart" uri="{C3380CC4-5D6E-409C-BE32-E72D297353CC}">
                <c16:uniqueId val="{00000001-9173-41DF-A3F5-7463E8DEC488}"/>
              </c:ext>
            </c:extLst>
          </c:dPt>
          <c:dPt>
            <c:idx val="2"/>
            <c:bubble3D val="0"/>
            <c:extLst>
              <c:ext xmlns:c16="http://schemas.microsoft.com/office/drawing/2014/chart" uri="{C3380CC4-5D6E-409C-BE32-E72D297353CC}">
                <c16:uniqueId val="{00000002-9173-41DF-A3F5-7463E8DEC488}"/>
              </c:ext>
            </c:extLst>
          </c:dPt>
          <c:dPt>
            <c:idx val="3"/>
            <c:bubble3D val="0"/>
            <c:spPr>
              <a:solidFill>
                <a:srgbClr val="FFC000"/>
              </a:solidFill>
            </c:spPr>
            <c:extLst>
              <c:ext xmlns:c16="http://schemas.microsoft.com/office/drawing/2014/chart" uri="{C3380CC4-5D6E-409C-BE32-E72D297353CC}">
                <c16:uniqueId val="{00000004-9173-41DF-A3F5-7463E8DEC488}"/>
              </c:ext>
            </c:extLst>
          </c:dPt>
          <c:dPt>
            <c:idx val="4"/>
            <c:bubble3D val="0"/>
            <c:extLst>
              <c:ext xmlns:c16="http://schemas.microsoft.com/office/drawing/2014/chart" uri="{C3380CC4-5D6E-409C-BE32-E72D297353CC}">
                <c16:uniqueId val="{00000005-9173-41DF-A3F5-7463E8DEC488}"/>
              </c:ext>
            </c:extLst>
          </c:dPt>
          <c:dLbls>
            <c:spPr>
              <a:noFill/>
              <a:ln w="25400">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Sheet1!$E$11:$E$15</c:f>
              <c:strCache>
                <c:ptCount val="5"/>
                <c:pt idx="0">
                  <c:v>Plaće i naknade troškova zaposlenih</c:v>
                </c:pt>
                <c:pt idx="1">
                  <c:v>Doprinosi poslodavca i ostali doprinosi</c:v>
                </c:pt>
                <c:pt idx="2">
                  <c:v>Izdaci za materijal, sitan inventar i usluge</c:v>
                </c:pt>
                <c:pt idx="3">
                  <c:v>Tekući transferi i drugi tekući rashodi</c:v>
                </c:pt>
                <c:pt idx="4">
                  <c:v>Izdaci za kamate i ostale naknade</c:v>
                </c:pt>
              </c:strCache>
            </c:strRef>
          </c:cat>
          <c:val>
            <c:numRef>
              <c:f>Sheet1!$F$11:$F$15</c:f>
              <c:numCache>
                <c:formatCode>#,##0</c:formatCode>
                <c:ptCount val="5"/>
                <c:pt idx="0">
                  <c:v>260897</c:v>
                </c:pt>
                <c:pt idx="1">
                  <c:v>26714</c:v>
                </c:pt>
                <c:pt idx="2">
                  <c:v>96844</c:v>
                </c:pt>
                <c:pt idx="3">
                  <c:v>3729544</c:v>
                </c:pt>
                <c:pt idx="4">
                  <c:v>86154</c:v>
                </c:pt>
              </c:numCache>
            </c:numRef>
          </c:val>
          <c:extLst>
            <c:ext xmlns:c16="http://schemas.microsoft.com/office/drawing/2014/chart" uri="{C3380CC4-5D6E-409C-BE32-E72D297353CC}">
              <c16:uniqueId val="{00000006-9173-41DF-A3F5-7463E8DEC488}"/>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5050837631680303"/>
          <c:y val="4.7278435989893793E-2"/>
          <c:w val="0.33738874925051909"/>
          <c:h val="0.71108756265279927"/>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D75B-3788-4EFA-96B2-627DC907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13823</Words>
  <Characters>78793</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raguz</dc:creator>
  <cp:keywords/>
  <dc:description/>
  <cp:lastModifiedBy>Almira Ibisevic</cp:lastModifiedBy>
  <cp:revision>60</cp:revision>
  <cp:lastPrinted>2023-04-13T09:37:00Z</cp:lastPrinted>
  <dcterms:created xsi:type="dcterms:W3CDTF">2023-04-11T10:31:00Z</dcterms:created>
  <dcterms:modified xsi:type="dcterms:W3CDTF">2024-01-26T06:44:00Z</dcterms:modified>
</cp:coreProperties>
</file>