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BAB" w:rsidRPr="00027BAB" w:rsidRDefault="00027BAB" w:rsidP="00027B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en-GB"/>
        </w:rPr>
      </w:pPr>
      <w:r w:rsidRPr="00027BAB">
        <w:rPr>
          <w:rFonts w:ascii="Arial" w:eastAsia="Times New Roman" w:hAnsi="Arial" w:cs="Arial"/>
          <w:color w:val="000000"/>
          <w:sz w:val="21"/>
          <w:szCs w:val="21"/>
          <w:lang w:eastAsia="en-GB"/>
        </w:rPr>
        <w:t> 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str_1"/>
      <w:bookmarkEnd w:id="0"/>
      <w:r w:rsidRPr="009E47A3">
        <w:rPr>
          <w:rFonts w:ascii="Arial" w:hAnsi="Arial" w:cs="Arial"/>
          <w:b/>
          <w:bCs/>
          <w:sz w:val="24"/>
          <w:szCs w:val="24"/>
        </w:rPr>
        <w:t>PRAVILNIK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O SADRŽAJU I FORMI FINANSIJSKIH IZVJEŠTAJA ZA PRIVREDNA DRUŠTVA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("Službene novine Federacije BiH", br. 81/21, 102/22 i 99/23)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- prečišćena neslužbena verzija –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E47A3" w:rsidRPr="009E47A3" w:rsidRDefault="009E47A3" w:rsidP="009E47A3">
      <w:pPr>
        <w:jc w:val="both"/>
        <w:rPr>
          <w:rFonts w:ascii="Arial" w:hAnsi="Arial" w:cs="Arial"/>
          <w:b/>
          <w:sz w:val="24"/>
          <w:szCs w:val="24"/>
        </w:rPr>
      </w:pPr>
      <w:r w:rsidRPr="009E47A3">
        <w:rPr>
          <w:rFonts w:ascii="Arial" w:hAnsi="Arial" w:cs="Arial"/>
          <w:b/>
          <w:sz w:val="24"/>
          <w:szCs w:val="24"/>
        </w:rPr>
        <w:t>Poglavlje I. Opće odredbe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1" w:name="clan_1"/>
      <w:bookmarkEnd w:id="1"/>
      <w:r w:rsidRPr="009E47A3">
        <w:rPr>
          <w:rFonts w:ascii="Arial" w:hAnsi="Arial" w:cs="Arial"/>
          <w:b/>
          <w:bCs/>
          <w:sz w:val="24"/>
          <w:szCs w:val="24"/>
        </w:rPr>
        <w:t>Član 1.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(Predmet)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(1) Ovim pravilnikom propisuju se obrasci i sadržaj pozicija u obrascima za privredna društva i druga pravna lica koja poslovne knjige vode po Kontnom okviru za privredna društva: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a) Izvještaj o finansijskom položaju na kraju perioda (Bilans stanja),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b) Izvještaj o ukupnom rezultatu za period (Bilans uspjeha), i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c) Izvještaj o tokovima gotovine (Izvještaj o gotovinskim tokovima) (direktna i indirektna metoda), (u daljem tekstu zajedno: "obrasci"),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kao i bilješke uz finansijske izvještaje.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(2) U skladu sa članom 37. stav (2) Zakona o računovodstvu i reviziji u Federaciji Bosne i Hercegovine ("Službene novine Federacije BiH, broj 15/21 - u daljem tekstu: Zakon), mikro i mala privredna društva finansijske izvještaje prezentiraju kroz: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a) Izvještaj o finansijskom položaju na kraju perioda (Bilans stanja),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b) Izvještaj o ukupnom rezultatu za period (Bilans uspjeha), (u daljem tekstu zajedno: "obrasci"),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kao i bilješke uz finansijske izvještaje.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(3) Srednja i velika privredna društva trebaju koristiti obrasce koje se nalaze u prilozima 1., 2., 3a. i 3b. ovog pravilnika koji sadrže jednodimenzionalni bar kod i čine njegov sastavni dio. Mikro i mala privredna društva trebaju koristiti samo obrasce koji se nalaze u prilozima 1. i 2.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(4) </w:t>
      </w:r>
      <w:r w:rsidRPr="009E47A3">
        <w:rPr>
          <w:rFonts w:ascii="Arial" w:hAnsi="Arial" w:cs="Arial"/>
          <w:i/>
          <w:iCs/>
          <w:sz w:val="24"/>
          <w:szCs w:val="24"/>
        </w:rPr>
        <w:t>(brisano)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clan_2"/>
      <w:bookmarkEnd w:id="2"/>
      <w:r w:rsidRPr="009E47A3">
        <w:rPr>
          <w:rFonts w:ascii="Arial" w:hAnsi="Arial" w:cs="Arial"/>
          <w:b/>
          <w:bCs/>
          <w:sz w:val="24"/>
          <w:szCs w:val="24"/>
        </w:rPr>
        <w:t>Član 2.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(Sadržaj pozicija)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(1) Sadržaj pozicija navedenih obrazaca je definiran uputstvima u čl. 5., 7., 10. i 11. ovog pravilnika.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(2) U obrasce se upisuju iznosi u konvertibilnim markama, bez decimalnih mjesta.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3" w:name="clan_3"/>
      <w:bookmarkEnd w:id="3"/>
      <w:r w:rsidRPr="009E47A3">
        <w:rPr>
          <w:rFonts w:ascii="Arial" w:hAnsi="Arial" w:cs="Arial"/>
          <w:b/>
          <w:bCs/>
          <w:sz w:val="24"/>
          <w:szCs w:val="24"/>
        </w:rPr>
        <w:lastRenderedPageBreak/>
        <w:t>Član 3.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(Statusna promjena)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(1) Privredno društvo kod kojeg je nastala statusna promjena, sastavlja finansijske izvještaje sa datumom statusne promjene.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(2) Privredno društvo nad kojim je otvoren postupak stečaja, odnosno likvidacije, sastavlja finansijske izvještaje na datum otvaranja, odnosno zaključivanja stečaja, odnosno likvidacije.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(3) U slučajevima iz st. (1) i (2) ovog člana, na svim obrascima stavlja se oznaka iz koje je vidljivo da se radi o statusnoj promjeni, stečaju ili likvidaciji privrednog društva.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bookmarkStart w:id="4" w:name="str_2"/>
      <w:bookmarkEnd w:id="4"/>
      <w:r w:rsidRPr="009E47A3">
        <w:rPr>
          <w:rFonts w:ascii="Arial" w:hAnsi="Arial" w:cs="Arial"/>
          <w:sz w:val="24"/>
          <w:szCs w:val="24"/>
        </w:rPr>
        <w:t>Poglavlje II. Mikro, mala, srednja i velika privredna društva</w:t>
      </w:r>
    </w:p>
    <w:p w:rsidR="009E47A3" w:rsidRPr="009E47A3" w:rsidRDefault="009E47A3" w:rsidP="009E47A3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5" w:name="str_3"/>
      <w:bookmarkEnd w:id="5"/>
      <w:r w:rsidRPr="009E47A3">
        <w:rPr>
          <w:rFonts w:ascii="Arial" w:hAnsi="Arial" w:cs="Arial"/>
          <w:b/>
          <w:bCs/>
          <w:sz w:val="24"/>
          <w:szCs w:val="24"/>
        </w:rPr>
        <w:t>Odjeljak A. Izvještaj o finansijskom položaju na kraju perioda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6" w:name="clan_4"/>
      <w:bookmarkEnd w:id="6"/>
      <w:r w:rsidRPr="009E47A3">
        <w:rPr>
          <w:rFonts w:ascii="Arial" w:hAnsi="Arial" w:cs="Arial"/>
          <w:b/>
          <w:bCs/>
          <w:sz w:val="24"/>
          <w:szCs w:val="24"/>
        </w:rPr>
        <w:t>Član 4.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(Unos podataka u obrazac Izvještaj o finansijskom položaju na kraju perioda)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(1) Prilikom izrade finansijskog izvještaja, u obrazac Izvještaj o finansijskom položaju na kraju perioda privredno društvo unosi podatke, u kolone 5 i 6, pod oznakom AOP 001 do AOP 062 za imovinu i AOP 101 do AOP 151 za kapital i obaveze (kolona 4), a prema sadržaju pozicija kolone 2 definiranim u članu 5. ovog pravilnika.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(2) U kolonu 6 obrasca unose se podaci iz kolone 5 iz obrasca za prethodni obračunski period (početno stanje), dok se podaci u koloni 5 unose preuzimanjem zatvorenih salda sa konta na kraju tekuće godine, odnosno na kraju obračunskog perioda za koji se priprema finansijski izvještaj.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(3) Ako su podaci u koloni 5 iz prethodne godine korigovani u skladu sa računovodstvenim i drugim propisima, u kolonu 6 unose se tako korigovani podaci.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7" w:name="clan_5"/>
      <w:bookmarkEnd w:id="7"/>
      <w:r w:rsidRPr="009E47A3">
        <w:rPr>
          <w:rFonts w:ascii="Arial" w:hAnsi="Arial" w:cs="Arial"/>
          <w:b/>
          <w:bCs/>
          <w:sz w:val="24"/>
          <w:szCs w:val="24"/>
        </w:rPr>
        <w:t>Član 5.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(Sadržaj pozicija u Izvještaju o finansijskom položaju na kraju perioda)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Prilikom popunjavanja obrasca Izvještaj o finansijskom položaju, privredno društvo unosi podatke u kolone 5 i 6 u skladu sa sljedećim sadržajem pozicija kolone 2:</w:t>
      </w:r>
    </w:p>
    <w:tbl>
      <w:tblPr>
        <w:tblW w:w="0" w:type="dxa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1"/>
        <w:gridCol w:w="3547"/>
        <w:gridCol w:w="1295"/>
        <w:gridCol w:w="3547"/>
      </w:tblGrid>
      <w:tr w:rsidR="009E47A3" w:rsidRPr="009E47A3" w:rsidTr="000D7C9B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Redni broj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Pozicija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Oznaka za AOP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Grupa / konto koje treba uključiti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Dugoročna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Nekretnine, postrojenja i oprema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Zemljište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020, 028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Građevinski objekti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021, 028 (dio), 029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Postrojenja, oprema i namještaj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022, 023, 028 (dio), 029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Transportna sredstva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024, 028 (dio), 029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Ostala dugoročna materijalna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026, 028 (dio), 029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Nekretnine, postrojenja i oprema u pripremi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025, 027, 028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Imovina s pravom korištenja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Zemljište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050, 059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Građevinski objekti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051, 059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Postrojenja i oprema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052, 059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Nematerijalna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053, 059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Ulaganja u investicijske nekretnine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Grupa: 03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Nematerijalna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Kapitalizirana ulaganja u razvoj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010, 018 (dio), 019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Koncesije, patenti, licence i druga prava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011, 018 (dio), 019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Ostala nematerijalna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014, 018 (dio), 019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Nematerijalna imovina u pripremi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015, 017, 018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Biološka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Grupa: 04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Ulaganja u zavisne subjekte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0601, 0609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Ulaganja u pridružene subjekte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0602, 0609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Ulaganja u zajedničke poduhvate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0603, 0609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Goodwill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012</w:t>
            </w:r>
            <w:r w:rsidRPr="009E47A3">
              <w:rPr>
                <w:rFonts w:ascii="Arial" w:hAnsi="Arial" w:cs="Arial"/>
                <w:sz w:val="18"/>
                <w:szCs w:val="18"/>
              </w:rPr>
              <w:br/>
              <w:t>Dodatno: efekti pripreme konsolidovanih finansijskih izvještaja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Finansijska imovina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10.1.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Ulaganja u instrumente kapitala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0651, 0658 (dio),</w:t>
            </w:r>
            <w:r w:rsidRPr="009E47A3">
              <w:rPr>
                <w:rFonts w:ascii="Arial" w:hAnsi="Arial" w:cs="Arial"/>
                <w:sz w:val="18"/>
                <w:szCs w:val="18"/>
              </w:rPr>
              <w:br/>
              <w:t>0659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10.2.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Obveznice, dati krediti i ostali dužnički instrumenti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0652, 0654, 0658 (dio), 0659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Finansijska imovina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11.1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Depoziti kod banaka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0661, 0669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Dati krediti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0662, 0669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Obveznice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0663, 0669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Ostala finansijska imovina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0664, 0669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Potraživanja po finansijskim najmovima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067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Ostala imovina i potraživanja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Grupa: 07</w:t>
            </w:r>
            <w:r w:rsidRPr="009E47A3">
              <w:rPr>
                <w:rFonts w:ascii="Arial" w:hAnsi="Arial" w:cs="Arial"/>
                <w:sz w:val="18"/>
                <w:szCs w:val="18"/>
              </w:rPr>
              <w:br/>
              <w:t>Konto: 091, 098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Odgođena porezna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090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Kratkoročna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Zalihe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Sirovine, materijal, rezervni dijelovi i sitan inventar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Grupa: 10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Proizvodnja u toku, poluproizvodi i nedovršene usluge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Grupa: 11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Gotovi proizvodi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Grupa: 12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Roba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Grupa: 13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Dati avansi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Grupa: 15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Dugoročna imovina namijenjena prodaji i imovina poslovanja koje se obustavlja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Grupa: 14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Ugovorna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281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Potraživanja od kupaca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Kupci - povezane strane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210, 219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Kupci u zemlji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211, 219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Kupci u inostranstvu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212, 219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Ostala finansijska imovina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Depoziti kod banaka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2310, 2390 (dio), 2401, 2409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Dati krediti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2311, 2390 (dio), 2402, 2409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Obveznice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2312, 2390 (dio), 2403, 2409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5.4.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Ostala finansijska imovina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2313, 2315, 2404,</w:t>
            </w:r>
            <w:r w:rsidRPr="009E47A3">
              <w:rPr>
                <w:rFonts w:ascii="Arial" w:hAnsi="Arial" w:cs="Arial"/>
                <w:sz w:val="18"/>
                <w:szCs w:val="18"/>
              </w:rPr>
              <w:br/>
              <w:t>2409 (dio), 2392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Potraživanja po finansijskim najmovima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247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Finansijska imovina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245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Derivatni finansijski instrumenti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Grupa: 22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Gotovina i gotovinski ekvivalenti (isključujući prekoračenja po bankovnim računima)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Grupa: 20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Akontacije poreza na dobit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234, 481 -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Ostala imovina i potraživanja, uključujući i razgraničenja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Grupa: 27, 28</w:t>
            </w:r>
            <w:r w:rsidRPr="009E47A3">
              <w:rPr>
                <w:rFonts w:ascii="Arial" w:hAnsi="Arial" w:cs="Arial"/>
                <w:sz w:val="18"/>
                <w:szCs w:val="18"/>
              </w:rPr>
              <w:br/>
              <w:t>Konto: 230, 232, 233, 235, 237, 238, 2391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UKUPNO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VANBILANSNA EVIDENCIJA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UKUPNO IMOVINA I VANBILANSNA EVIDENCIJA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062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KAPITAL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Vlasnički kapital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Dionički kapital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300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Otkupljene vlastite dionice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360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Udjeli članova društva sa ograničenom odgovornošću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302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Državni kapital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305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oblici vlasničkog kapitala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309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Dionička premija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320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Rezerve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Statutarne rezerve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321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Ostale rezerve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322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Revalorizacione rezerve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Revalorizacione rezerve za nekretnine, postrojenja i opremu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330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Revalorizacione rezerve za finansijsku imovinu mjerenu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332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Ostale revalorizacione rezerve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331, 339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Dobit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Akumulirana, neraspoređena dobit iz prethodnih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340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Dobit tekućeg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341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Gubitak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6.1.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Akumulirani, nepokriveni gubici iz prethodnih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350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6.2.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Gubitak tekućeg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351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Kapital koji pripada vlasnicima matičnog društva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Kapital koji pripada vlasnicima manjinskih interesa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Kod pripreme konsolidovanih finansijskih izvještaja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UKUPNO KAPITAL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Dugoročne 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Finansijske obaveze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Obaveze po uzetim kreditima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413, 414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Obaveze po osnovu najmova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415, 416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Obaveze po izdatim dužničkim instrumentima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412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Ostale finansijske obaveze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418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Odgođeni prihod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407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Rezervisanja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400, 401, 403, 404, 405, 406, 409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Ostale obaveze, uključujući i razgraničenja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402, 409 (dio), 410, 419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Odgođene porezne 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408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Kratkoročne 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Finansijske obaveze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Obaveze prema dobavljačima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431, 432, 433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Ugovorne 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434, 435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Obaveze po uzetim kreditima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422, 423, 424, 4600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Obaveze po osnovu najmova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425, 426, 4601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Obaveze po izdatim dužničkim instrumentima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421, 4602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Ostale finansijske obaveze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428, 4603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Finansijske obaveze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427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Derivatni finansijski instrumenti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Grupa: 44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Odgođeni prihod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491, 493, 499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Rezervisanja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492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Obaveze za porez na dobit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234, 481 -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Ostale obaveze, uključujući i razgraničenja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Grupa: 45, 47</w:t>
            </w:r>
            <w:r w:rsidRPr="009E47A3">
              <w:rPr>
                <w:rFonts w:ascii="Arial" w:hAnsi="Arial" w:cs="Arial"/>
                <w:sz w:val="18"/>
                <w:szCs w:val="18"/>
              </w:rPr>
              <w:br/>
              <w:t>Konto: 430, 437, 439, 461, 462, 463, 464, 465, 466, 467, 468, 469, 480, 482, 483, 484, 489, 490, 499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UKUPNO 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F.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UKUPNO KAPITAL I OBAVEZE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VANBILANSNA EVIDENCIJA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UKUPNO KAPITAL, OBAVEZE I VANBILANSNA EVIDENCIJA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9E47A3" w:rsidRPr="009E47A3" w:rsidRDefault="009E47A3" w:rsidP="009E47A3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8" w:name="str_4"/>
      <w:bookmarkEnd w:id="8"/>
    </w:p>
    <w:p w:rsidR="009E47A3" w:rsidRPr="009E47A3" w:rsidRDefault="009E47A3" w:rsidP="009E47A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Odjeljak B. Izvještaj o ukupnom rezultatu za period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9" w:name="clan_6"/>
      <w:bookmarkEnd w:id="9"/>
      <w:r w:rsidRPr="009E47A3">
        <w:rPr>
          <w:rFonts w:ascii="Arial" w:hAnsi="Arial" w:cs="Arial"/>
          <w:b/>
          <w:bCs/>
          <w:sz w:val="24"/>
          <w:szCs w:val="24"/>
        </w:rPr>
        <w:t>Član 6.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(Unos podataka u obrazac Izvještaj o ukupnom rezultatu za period)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 xml:space="preserve">(1) Prilikom izrade finansijskog izvještaja, u obrazac Izvještaj o ukupnom rezultatu za period, privredno društvo unosi podatke, u kolone 5 i 6, pod oznakom AOP 201 do AOP 339, a prema sadržaju pozicija kolone 2 definiranim u članu 7. ovog pravilnika. Nadalje, ako je primjenjivo, u kolone 5 i 6, pod oznakom AOP 340 do AOP 345, unose </w:t>
      </w:r>
      <w:r w:rsidRPr="009E47A3">
        <w:rPr>
          <w:rFonts w:ascii="Arial" w:hAnsi="Arial" w:cs="Arial"/>
          <w:sz w:val="24"/>
          <w:szCs w:val="24"/>
        </w:rPr>
        <w:lastRenderedPageBreak/>
        <w:t>se podaci o zaradi po dionici, te podaci o dobiti (ili gubitku) i ukupnom rezultatu koji pripada vlasnicima matičnog društva i vlasnicima manjinskih interesa.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(2) U kolonu 6 obrasca unose se podaci iz kolone 5 iz obrasca za prethodni obračunski period, dok se podaci u koloni 5 unose preuzimanjem zatvorenih salda sa konta na kraju tekuće godine, odnosno na kraju obračunskog perioda za koji se priprema finansijski izvještaj.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(3) Ako su podaci u koloni 5 iz prethodne godine korigovani u skladu sa računovodstvenim i drugim propisima, u kolonu 6 unose se tako korigovani podaci.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10" w:name="clan_7"/>
      <w:bookmarkEnd w:id="10"/>
      <w:r w:rsidRPr="009E47A3">
        <w:rPr>
          <w:rFonts w:ascii="Arial" w:hAnsi="Arial" w:cs="Arial"/>
          <w:b/>
          <w:bCs/>
          <w:sz w:val="24"/>
          <w:szCs w:val="24"/>
        </w:rPr>
        <w:t>Član 7.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(Sadržaj pozicija u Izvještaju o ukupnom rezultatu za period)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Prilikom popunjavanja obrasca Izvještaj o ukupnom rezultatu za period, privredno društvo unosi podatke u kolone 5 i 6 u skladu sa sljedećim sadržajem pozicija kolone 2:</w:t>
      </w:r>
    </w:p>
    <w:tbl>
      <w:tblPr>
        <w:tblW w:w="0" w:type="dxa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1"/>
        <w:gridCol w:w="3547"/>
        <w:gridCol w:w="1295"/>
        <w:gridCol w:w="3547"/>
      </w:tblGrid>
      <w:tr w:rsidR="009E47A3" w:rsidRPr="009E47A3" w:rsidTr="000D7C9B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Redni broj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Pozicija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Oznaka za AOP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Grupa / konto koje treba uključiti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Prihodi iz ugovora s kupcima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iz ugovora sa povezanim stranama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od prodaje robe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6001, 6002, 603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od prodaje gotovih proizvoda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6101, 6102, 613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od pruženih usluga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6201, 6202, 623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iz ugovora sa nepovezanim stranama na domaćem tržištu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od prodaje robe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6011, 6012, 603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od prodaje gotovih proizvoda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6111, 6112, 613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od pruženih usluga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6211, 6212, 623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iz ugovora sa nepovezanim stranama na inostranom tržištu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od prodaje robe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6021, 6022, 603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od prodaje gotovih proizvoda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6121, 6122, 613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od pruženih usluga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6221, 6222, 623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B.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Ostali prihodi i dobici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Dobici od dugoročne nefinansijske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višak prihoda/dobitaka nad rashodima/gubicima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otuđenja nekretnina, postrojenja i opreme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570 (dio), 670 (dio)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otpuštanja ranije priznatih gubitaka od umanjenja vrijednosti nekretnina, postrojenja i opreme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5810, 6810 -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otpuštanja ranije priznatih gubitaka od promjene revalorizovane vrijednosti nekretnina, postrojenja i opreme za koje nije bilo postojećih revalorizacionih rezervi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5811, 6811 -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otuđenja ulaganja u investicijske nekretnine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571, 671 -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povećanja vrijednosti ulaganja u investicijske nekretnine koja se vode po fer vrijednosti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640, 643 -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otpuštanja ranije priznatih gubitaka od umanjenja vrijednosti investicijskih nekretnina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582, 682 -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otuđenja nematerijalne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570 (dio), 670 (dio)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otpuštanja ranije priznatih gubitaka od umanjenja vrijednosti nematerijalne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580, 680 -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prestanka priznavanja imovine s pravom korištenja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587, 687 -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otuđenja biološke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572, 672 -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povećanja vrijednosti biološke imovine koja se vodi po fer vrijednosti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641, 644 -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otpuštanja ranije priznatih gubitaka od umanjenja vrijednosti biološke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583, 683 -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dugoročne imovine namijenjene prodaji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5730, 5880, 6730, 6880 -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neto dobici od otpuštanja ranije priznatih gubitaka od umanjenja vrijednosti dugoročne nefinansijske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589 (dio), 689 (dio)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Dobici od finansijske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višak prihoda/dobitaka nad rashodima/gubicima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otpuštanja ranije priznatih kreditnih gubitaka od finansijske imovine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5780, 5841, 5860, 5861, 6860, 6841, 6861 -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otpuštanja ranije priznatih kreditnih gubitaka od finansijske imovine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5842, 5862, 6842, 6862 -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prestanka priznavanja finansijske imovine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5843, 6843 -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modifikacija finansijske imovine po amortizovanom trošku koje nisu rezultirale prestankom priznavanja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5844, 6844 -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otuđenja finansijske imovine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5740, 6740 -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povećanja vrijednosti finansijske imovine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5863, 6863 -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otuđenja finansijske imovine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5741, 6741 -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otuđenja finansijske imovine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5742, 6742 -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reklasifikacija finansijske imovine između poslovnih modela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5845, 6845 -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neto dobici od finansijske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589 (dio), 689 (dio)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Troškovi rezervisanja, neto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543, 544, 545, 546, 547, 548, 549, 679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od trgovanja derivatima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577, 678 -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od prodaje materijala, neto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575, 675 -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Viškovi i ostala pozitivna usklađenja zaliha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676, 685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od dividendi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656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Udio u dobiti pridruženog društva i zajedničkog poduhvata primjenom metode udjela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Kod konsolidovanih finansijskih izvještaja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Finansijski prihodi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9.1.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od kamata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660, 661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9.2.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pozitivne kursne razlike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562, 662 -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9.3.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finansijski prihodi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663, 669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Ostali prihodi i dobici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650, 651, 652, 653, 654, 655, 659, 677, 679 (dio), 690, 691, 6743, 6744, 6745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Ukupno prihodi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Poslovni rashodi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Nabavna vrijednost prodate robe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Grupa: 50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Promjene u zalihama gotovih proizvoda, poluproizvoda i proizvodnje u toku, neto (+) / (-)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595, 596 -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Troškovi sirovina i materijala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510, 511, 513, 514, 519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Troškovi energije i goriva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257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512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Troškovi plaća i ostalih ličnih primanja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258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Bruto plaće zaposlenih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520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Ostale naknade zaposlenih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521, 523, 524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Troškovi ostalih angažovanih fizičkih lica, uključujući članove odbora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527, 529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Amortizacija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6.1.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Nekretnine, postrojenja i oprema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540 (dio), 541 (dio), 542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6.2.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Investicijske nekretnine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540 (dio), 541 (dio), 542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6.3.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Imovina s pravom korištenja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540 (dio), 541 (dio), 542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6.4.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Nematerijalna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266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540 (dio), 541 (dio), 542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6.5.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Biološka imovina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540 (dio), 541 (dio), 542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6.6.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Ostala dugoročna imovina po osnovu ugovora sa kupcima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540 (dio), 541 (dio), 542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Troškovi primljenih usluga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Grupa: 53 Konto: 550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poslovni rashodi i troškovi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551, 552, 553, 554, 555, 556, 559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E.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Ostali rashodi i gubici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Gubici od dugoročne nefinansijske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višak rashoda/gubitaka nad prihodima/dobicima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otuđenja nekretnina, postrojenja i opreme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570 (dio), 670 (dio)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umanjenja vrijednosti nekretnina, postrojenja i opreme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5810, 6810 -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promjene revalorizovane vrijednosti nekretnina, postrojenja i opreme za koje nema postojećih revalorizacionih rezervi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5811, 6811 -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otuđenja ulaganja u investicijske nekretnine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571, 671 -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smanjenja vrijednosti ulaganja u investicijske nekretnine koja se vode po fer vrijednosti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640, 643 -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umanjenja vrijednosti investicijskih nekretnina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582, 682 -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otuđenja nematerijalne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570 (dio), 670 (dio)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umanjenja vrijednosti nematerijalne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580, 680 -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prestanka priznavanja imovine s pravom korištenja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281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587, 687 -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otuđenja biološke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282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572, 672 -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smanjenja vrijednosti biološke imovine koja se vodi po fer vrijednosti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641, 644 -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umanjenja vrijednosti biološke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583, 683 -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dugoročne imovine namijenjene prodaji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5730, 5880, 6730, 6880 -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neto gubici od umanjenja vrijednosti dugoročne nefinansijske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589 (dio), 689 (dio)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Gubici od finansijske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287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višak rashoda/gubitaka nad prihodima/dobicima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kreditni gubici od finansijske imovine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288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5780, 5841, 5860, 5861, 6860, 6841, 6861 -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kreditni gubici od finansijske imovine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289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5842, 6842 -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prestanka priznavanja finansijske imovine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5843, 6843 -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modifikacija finansijske imovine po amortizovanom trošku koje nisu rezultirale prestankom priznavanja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5844, 6844 -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2.5.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otuđenja finansijske imovine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5740, 6740 -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smanjenja vrijednosti finansijske imovine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5862, 6862 -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otuđenja finansijske imovine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5741, 6741 -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otuđenja finansijske imovine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5742, 6742 -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reklasifikacija finansijske imovine između poslovnih modela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5845, 6845 -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neto gubici od finansijske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297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589 (dio), 689 (dio)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Troškovi rezervisanja, neto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298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543, 544, 545, 546, 547, 548, 549, 679 (dio)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gubici od trgovanja derivatima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299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577, 678 -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Rashodi od prodaje materijala, neto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575, 675 -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Manjkovi i ostala negativna usklađenja zaliha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576, 579 (dio), 585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Udio u gubitku pridruženog društva i zajedničkog poduhvata primjenom metode udjela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Kod konsolidovanih finansijskih izvještaja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Umanjenje vrijednosti goodwilla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579 (dio)</w:t>
            </w:r>
            <w:r w:rsidRPr="009E47A3">
              <w:rPr>
                <w:rFonts w:ascii="Arial" w:hAnsi="Arial" w:cs="Arial"/>
                <w:sz w:val="18"/>
                <w:szCs w:val="18"/>
              </w:rPr>
              <w:br/>
              <w:t>Dodatno: efekti pripreme konsolidovanih finansijskih izvještaja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Finansijski rashodi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9.1.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Rashodi od kamata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560, 561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9.2.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negativne kursne razlike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562, 662 -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9.3.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finansijski rashodi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563, 569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rashodi i gubici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579 (dio), 590, 591, 5743, 5744, 5745, 5781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Ukupno rashodi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Dobit iz redovnog poslovanja prije oporezivanja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Gubitak iz redovnog poslovanja prije oporezivanja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I.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Porez na dobit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Tekući porez na dobit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721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Odgođeni porez na dobit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Efekat smanjenja odgođene porezne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722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Efekat povećanja odgođene porezne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723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Efekat povećanja odgođenih poreznih obaveza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724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Efekat smanjenja odgođenih poreznih obaveza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725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J.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Dobit iz redovnog poslovanja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K.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Gubitak iz redovnog poslovanja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L.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Dobit ili gubitak od obustavljenog poslovanja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Konto: 5731, 5881, 6731, 6881 - neto prikaz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Dobit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N.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Gubitak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IZVJEŠTAJ O OSTALOM UKUPNOM REZULTATU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Stavke koje mogu biti reklasifikovane u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Povećanje/(smanjenje) fer vrijednosti dužničkih instrumenata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Promjena priznata na kontu 332 (analitička konta koja se odnose na ove efekte) tokom finansijske godine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Efekti proistekli iz transakcija zaštite ("hedging")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Promjena priznata na kontu 339 (analitička konta koja se odnose na ove efekte) tokom finansijske godine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Udio u ostalom ukupnom rezultatu pridruženog društva i zajedničkog poduhvata primjenom metode udjela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Kod konsolidovanih finansijskih izvještaja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Ostale stavke koje mogu biti reklasifikovane u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Promjena priznata na kontu 339 (analitička konta koja se odnose na ove stavke) tokom finansijske godine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Porez na dobit koji se odnosi na ove stavke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Odgođeni porez, bez uticaja na tačku I.2. gore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Stavke koje neće biti reklasifikovane u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Revalorizacija zemljišta i građevina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Promjena priznata na kontu 330 tokom finansijske godine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Povećanje/(smanjenje) fer vrijednosti instrumenata kapitala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Promjena priznata na kontu 332 (analitička konta koja se odnose na ove efekte) tokom finansijske godine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Aktuarski dobici/(gubici) od planova definiranih primanja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Promjena priznata na kontu 339 (analitička konta koja se odnose na ove efekte) tokom finansijske godine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Dobici ili gubici po osnovu preračunavanja finansijskih izvještaja inostranog poslovanja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Promjena koja je rezultat preračunavanja finansijskih izvještaja inostranog poslovanja, pri konsolidaciji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Udio u ostalom ukupnom rezultatu pridruženog društva i zajedničkog poduhvata primjenom metode udjela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Kod konsolidovanih finansijskih izvještaja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Ostale stavke koje neće biti reklasifikovane u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Promjena priznata na kontu 339 (analitička konta koja se odnose na ove stavke) tokom finansijske godine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Porez na dobit koji se odnosi na ove stavke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Odgođeni porez, bez uticaja na tačku I.2. gore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P.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Zarada po dionici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a) Osnovna zarada po dionici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Osnovna zarada po dionici se računa dijeljenjem:</w:t>
            </w:r>
            <w:r w:rsidRPr="009E47A3">
              <w:rPr>
                <w:rFonts w:ascii="Arial" w:hAnsi="Arial" w:cs="Arial"/>
                <w:sz w:val="18"/>
                <w:szCs w:val="18"/>
              </w:rPr>
              <w:br/>
              <w:t>- dobiti ili gubitka koja pripada dioničarima privrednog društva, i</w:t>
            </w:r>
            <w:r w:rsidRPr="009E47A3">
              <w:rPr>
                <w:rFonts w:ascii="Arial" w:hAnsi="Arial" w:cs="Arial"/>
                <w:sz w:val="18"/>
                <w:szCs w:val="18"/>
              </w:rPr>
              <w:br/>
              <w:t>- ponderisanog prosječnog broja običnih dionica u opticaju tokom finansijske godine, isključujući otkupljene vlastite dionice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b) Razrijeđena zarada po dionici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0D7C9B">
            <w:pPr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 izračunu razrijeđene zarade po dionici, koriguju se cifre korištene u izračunu osnovne zarade po dionici, uzimajući u obzir:</w:t>
            </w:r>
            <w:r w:rsidRPr="009E47A3">
              <w:rPr>
                <w:rFonts w:ascii="Arial" w:hAnsi="Arial" w:cs="Arial"/>
                <w:sz w:val="18"/>
                <w:szCs w:val="18"/>
              </w:rPr>
              <w:br/>
              <w:t>- efekat oporezivanja, kamata i ostalih troškova finansiranja koji bi mogao proizaći iz konverzije razrjeđujućih potencijalnih običnih dionica i</w:t>
            </w:r>
            <w:r w:rsidRPr="009E47A3">
              <w:rPr>
                <w:rFonts w:ascii="Arial" w:hAnsi="Arial" w:cs="Arial"/>
                <w:sz w:val="18"/>
                <w:szCs w:val="18"/>
              </w:rPr>
              <w:br/>
              <w:t>- ponderisani prosječni broj dodatnih običnih dionica koje bi bile u opticaju pod pretpostavkom konverzije svih razrjeđujućih potencijalnih običnih dionica.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Dobit/(gubitak) koja pripada: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a) Vlasnicima matičnog društva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Kod konsolidovanih finansijskih izvještaja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b) Vlasnicima manjinskih interesa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Kod konsolidovanih finansijskih izvještaja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Ukupni rezultat koji pripada: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a) Vlasnicima matičnog društva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Kod konsolidovanih finansijskih izvještaja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b) Vlasnicima manjinskih interesa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Kod konsolidovanih finansijskih izvještaja</w:t>
            </w:r>
          </w:p>
        </w:tc>
      </w:tr>
    </w:tbl>
    <w:p w:rsidR="009E47A3" w:rsidRPr="009E47A3" w:rsidRDefault="009E47A3" w:rsidP="009E47A3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11" w:name="str_5"/>
      <w:bookmarkEnd w:id="11"/>
    </w:p>
    <w:p w:rsidR="009E47A3" w:rsidRPr="009E47A3" w:rsidRDefault="009E47A3" w:rsidP="009E47A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Odjeljak C. Izvještaj o tokovima gotovine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12" w:name="clan_8"/>
      <w:bookmarkEnd w:id="12"/>
      <w:r w:rsidRPr="009E47A3">
        <w:rPr>
          <w:rFonts w:ascii="Arial" w:hAnsi="Arial" w:cs="Arial"/>
          <w:b/>
          <w:bCs/>
          <w:sz w:val="24"/>
          <w:szCs w:val="24"/>
        </w:rPr>
        <w:t>Član 8.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(Tokovi gotovine)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(1) Pod tokovima gotovine, u smislu ovog pravilnika, podrazumijevaju se naplate i isplate u gotovini i gotovinskim ekvivalentima u smislu MRS 7 preko blagajne, transakcijskih i drugih računa, isključujući kompenzacije, asignacije, cesije i druge slične načine bezgotovinskih naplata, odnosno plaćanja.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(2) Prijenos između pojedinih konta gotovine i gotovinskih ekvivalenata u okviru istog privrednog društva ne smatra se gotovinskim tokom.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(3) Iznos gotovinskih priliva i odliva utvrđuje se na osnovu evidencije o prilivima i odlivima gotovine i gotovinskih ekvivalenata preko blagajne, transakcijskih i drugih računa ili na osnovu podataka sa odgovarajućih konta i grupa konta iz knjigovodstva privrednog društva.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13" w:name="clan_9"/>
      <w:bookmarkEnd w:id="13"/>
      <w:r w:rsidRPr="009E47A3">
        <w:rPr>
          <w:rFonts w:ascii="Arial" w:hAnsi="Arial" w:cs="Arial"/>
          <w:b/>
          <w:bCs/>
          <w:sz w:val="24"/>
          <w:szCs w:val="24"/>
        </w:rPr>
        <w:t>Član 9.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(Metode sastavljanja Izvještaja o tokovima gotovine)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(1) Izvještaj o tokovima gotovine, privredno društvo može pripremiti i prezentirati: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a) direktnom metodom, na obrascu Izvještaj o tokovima gotovine (Direktna metoda), koji je dat u Prilogu 3a. ovog pravilnika; ili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b) indirektnom metodom, na obrascu Izvještaj o tokovima gotovine (Indirektna metoda), koji je dat u Prilogu 3b. ovog pravilnika.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(2) U obrazac Izvještaj o tokovima gotovine privredno društvo unosi podatke, u kolone 6 i 7, a prema sadržaju pozicija kolone 2 definiranim u čl. 10. i 11. ovog pravilnika.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(3) U kolonu 7 obrasca unose se podaci iz kolone 6 iz obrasca za prethodni obračunski period, dok se podaci u koloni 6 unose gotovinski tokovi i promjene nastale tokom tekuće godine, odnosno tokom obračunskog perioda za koji se priprema finansijski izvještaj.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(4) Ako su podaci u koloni 6 iz prethodne godine korigovani u skladu sa računovodstvenim i drugim propisima, u kolonu 7 unose se tako korigovani podaci.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14" w:name="clan_10"/>
      <w:bookmarkEnd w:id="14"/>
      <w:r w:rsidRPr="009E47A3">
        <w:rPr>
          <w:rFonts w:ascii="Arial" w:hAnsi="Arial" w:cs="Arial"/>
          <w:b/>
          <w:bCs/>
          <w:sz w:val="24"/>
          <w:szCs w:val="24"/>
        </w:rPr>
        <w:lastRenderedPageBreak/>
        <w:t>Član 10.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(Direktna metoda)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U obrascu Izvještaj o tokovima gotovine (Direktna metoda), AOP pozicije 401 do 456, prema nazivima pozicija, unose se gotovinski prilivi i odlivi privrednog društva kako slijedi:</w:t>
      </w:r>
    </w:p>
    <w:tbl>
      <w:tblPr>
        <w:tblW w:w="0" w:type="dxa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21"/>
        <w:gridCol w:w="3547"/>
        <w:gridCol w:w="1295"/>
        <w:gridCol w:w="3547"/>
      </w:tblGrid>
      <w:tr w:rsidR="009E47A3" w:rsidRPr="009E47A3" w:rsidTr="000D7C9B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Redni broj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Pozicija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Oznaka za AOP</w:t>
            </w:r>
          </w:p>
        </w:tc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Opis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GOTOVINSKI TOKOVI IZ POSLOVNIH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kupaca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kupaca po osnovu prodatih dobara i pruženih usluga, proisteklih isključivo iz obavljanja poslovnih aktivnosti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plaćanja zaposlenima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na osnovu isplaćenih bruto plaća, naknada plaća i ostalih poreza i doprinosa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plaćanja dobavljačima, po osnovu poslovnih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plaćanja dobavljačima za primljene usluge i dobra, koji su isključivo vezani za obavljanje poslovnih aktivnosti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ostalih troškova, nastalih po osnovu poslovnih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ostalih primljenih usluga i dobara, i plaćenih dažbina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plaćanja poreza na dobit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plaćenog poreza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prilivi iz poslovnih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Svi ostali prilivi, koji nisu uključeni u prethodno spomenute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odlivi iz poslovnih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Svi ostali odlivi, koji nisu uključeni u prethodno spomenute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Neto gotovinski tok koji je generisan/(korišten) u poslovnim aktivnostima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GOTOVINSKI TOKOVI IZ ULAGAČKIH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nekretnina, postrojenja i opreme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nekretnina, postrojenja i opreme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investicijskih nekretnina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investicijskih nekretnina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2.5.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nematerijalne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nematerijalne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biološke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biološke imovine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dugoročne imovine namijenjene prodaji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Ulaganja u finansijsku imovinu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finansijske imovine po fer vrijednosti kroz ostali ukupni rezultat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prodaje/naplate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Ulaganja u finansijsku imovinu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finansijske imovine po fer vrijednosti kroz bilans uspjeha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prodaje/naplate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Ulaganja u ostalu finansijsku imovinu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ostale finansijske imovine po amortizovanom trošku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prodaje/naplate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Primljena kamata i prihod od finansijskog najma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kamata od finansijske imovine i finansijskog najma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Naplaćena potraživanja od finansijskog podnajma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naplaćene glavnice po osnovu imovine date u finansijski najam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Naplaćena potraživanja od finansijskog podnajma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naplaćene glavnice po osnovu imovine date u finansijski podnajam (imovina s pravom korištenja)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Kupovina udjela u zavisnim društvima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otuđenja udjela u zavisnim društvima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Kupovina udjela u pridruženim društvima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otuđenja udjela u pridruženim društvima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Kupovina udjela u zajedničkim poduhvatima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2.24.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otuđenja udjela u zajedničkim poduhvatima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Primljene dividende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dividendi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trgovanja derivatnim finansijskim instrumentima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ovih finansijskih instrumenata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trgovanja derivatnim finansijskim instrumentima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ovih finansijskih instrumenata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prilivi iz ulagačkih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Svi ostali prilivi, koji nisu uključeni u prethodno spomenute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odlivi iz ulagačkih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Svi ostali odlivi, koji nisu uključeni u prethodno spomenute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Neto gotovinski tok koji je generisan/(korišten) u ulagačkim aktivnostima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438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GOTOVINSKI TOKOVI IZ FINANSIJSKIH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emisije dionica / uplaćeni vlasnički kapital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emisije dionica / uplate vlasničkih udjela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Sticanje vlastitih dionica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vlastitih dionica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prodaje stečenih vlastitih dionica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prethodno stečenih vlastitih dionica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Isplaćene dividende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isplate dividendi dioničarima / vlasnicima udjela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uzetih kredita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443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uzetih kredita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Otplata glavnice uzetih kredita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otplate glavnice uzetih kredita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Otplata kamate po uzetim kreditima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plaćanja kamate na uzete kredite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Otplata glavnice po najmovima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otplate glavnice obaveza po najmova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Otplata kamate po najmovima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plaćanja kamate na najmove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izdatih dužničkih instrumenata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izdatih dužničkih instrumenata (obveznica i sl.)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otplate izdatih dužničkih instrumenata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otplate glavnice izdatih dužničkih instrumenata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3.12.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prilivi iz finansijskih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Svi ostali prilivi, koji nisu uključeni u prethodno spomenute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odlivi iz finansijskih aktivnosti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Svi ostali odlivi, koji nisu uključeni u prethodno spomenute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Neto gotovinski tok koji je generisan/(korišten) u finansijskim aktivnostima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NETO POVEĆANJE / (SMANJENJE) GOTOVINE I GOTOVINSKIH EKVIVALENATA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GOTOVINA I GOTOVINSKI EKVIVALENTI NA POČETKU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Stanje gotovine i gotovinskih ekvivalenata umanjeno za iznose obaveza po osnovu prekoračenja po tekućim bankovnim računima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EFEKTI PROMJENE DEVIZNIH KURSEVA GOTOVINE I GOTOVINSKIH EKVIVALENATA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GOTOVINA I GOTOVINSKI EKVIVALENTI NA KRAJU PERIODA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456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Stanje gotovine i gotovinskih ekvivalenata umanjeno za iznose obaveza po osnovu prekoračenja po tekućim bankovnim računima</w:t>
            </w:r>
          </w:p>
        </w:tc>
      </w:tr>
    </w:tbl>
    <w:p w:rsidR="009E47A3" w:rsidRPr="009E47A3" w:rsidRDefault="009E47A3" w:rsidP="009E47A3">
      <w:pPr>
        <w:jc w:val="both"/>
        <w:rPr>
          <w:rFonts w:ascii="Arial" w:hAnsi="Arial" w:cs="Arial"/>
          <w:b/>
          <w:bCs/>
          <w:sz w:val="18"/>
          <w:szCs w:val="18"/>
        </w:rPr>
      </w:pPr>
      <w:bookmarkStart w:id="15" w:name="clan_11"/>
      <w:bookmarkEnd w:id="15"/>
      <w:r w:rsidRPr="009E47A3">
        <w:rPr>
          <w:rFonts w:ascii="Arial" w:hAnsi="Arial" w:cs="Arial"/>
          <w:b/>
          <w:bCs/>
          <w:sz w:val="18"/>
          <w:szCs w:val="18"/>
        </w:rPr>
        <w:t>Član 11</w:t>
      </w:r>
    </w:p>
    <w:p w:rsidR="009E47A3" w:rsidRPr="009E47A3" w:rsidRDefault="009E47A3" w:rsidP="009E47A3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9E47A3">
        <w:rPr>
          <w:rFonts w:ascii="Arial" w:hAnsi="Arial" w:cs="Arial"/>
          <w:b/>
          <w:bCs/>
          <w:sz w:val="18"/>
          <w:szCs w:val="18"/>
        </w:rPr>
        <w:t>(Indirektna metoda)</w:t>
      </w:r>
    </w:p>
    <w:p w:rsidR="009E47A3" w:rsidRPr="009E47A3" w:rsidRDefault="009E47A3" w:rsidP="009E47A3">
      <w:pPr>
        <w:jc w:val="both"/>
        <w:rPr>
          <w:rFonts w:ascii="Arial" w:hAnsi="Arial" w:cs="Arial"/>
          <w:sz w:val="18"/>
          <w:szCs w:val="18"/>
        </w:rPr>
      </w:pPr>
      <w:r w:rsidRPr="009E47A3">
        <w:rPr>
          <w:rFonts w:ascii="Arial" w:hAnsi="Arial" w:cs="Arial"/>
          <w:sz w:val="18"/>
          <w:szCs w:val="18"/>
        </w:rPr>
        <w:t>U obrascu Izvještaj o tokovima gotovine (Indirektna metoda), AOP pozicije 501 do 582, prema nazivima pozicija, unose se gotovinski prilivi i odlivi privrednog društva kako slijedi:</w:t>
      </w:r>
    </w:p>
    <w:tbl>
      <w:tblPr>
        <w:tblW w:w="9047" w:type="dxa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00"/>
        <w:gridCol w:w="3545"/>
        <w:gridCol w:w="1134"/>
        <w:gridCol w:w="3668"/>
      </w:tblGrid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Redni broj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Pozicija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Oznaka za AOP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Opis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GOTOVINSKI TOKOVI IZ POSLOVNIH AKTIVNOSTI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Dobit/(gubitak) prije oporezivanja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501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Dobit ili gubitak prije poreza na dobit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Usklađenja: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1.2.1.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Amortizacija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502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Troškovi amortizacije priznati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1.2.2.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(Dobit)/gubitak od otuđenja nekretnina, postrojenja i opreme, neto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503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ili gubici proistekli iz prodaje ili rashodovanja ove imovine, priznati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1.2.3.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(Dobit)/gubitak od otuđenja ulaganja u investicijske nekretnine, neto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504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ili gubici proistekli iz prodaje ili rashodovanja ove imovine, priznati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1.2.4.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(Dobit)/gubitak od otuđenja nematerijalne imovine, neto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505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ili gubici proistekli iz prodaje ili rashodovanja ove imovine, priznati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1.2.5.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(Dobit)/gubitak od dugoročne imovine namijenjene prodaji, neto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506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ili gubici proistekli iz prodaje ove imovine, priznati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1.2.6.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Umanjenje vrijednosti nekretnina, postrojenja i opreme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507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Gubici proistekli od umanjenja vrijednosti ove imovine, priznati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1.2.7.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Umanjenje vrijednosti investicijskih nekretnina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508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Gubici proistekli od umanjenja vrijednosti ove imovine, priznati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1.2.8.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Umanjenje vrijednosti nematerijalne imovine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509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Gubici proistekli od umanjenja vrijednosti ove imovine, priznati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1.2.9.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Efekti promjene fer vrijednosti ulaganja u investicijske nekretnine, neto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510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ili gubici proistekli iz promjene fer vrijednosti ove imovine, priznati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1.2.10.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Efekti promjene fer vrijednosti biološke imovine, neto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511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ili gubici proistekli iz promjene fer vrijednosti ove imovine, priznati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1.2.11.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Efekti promjene vrijednosti instrumenata kapitala po fer vrijednosti kroz bilans uspjeha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512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ili gubici proistekli iz promjene fer vrijednosti ove imovine, priznati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1.2.12.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(Dobit)/gubitak od prodaje dužničkih instrumenata po fer vrijednosti kroz ostali ukupni rezultat, neto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513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dobici ili gubici proistekli iz prodaje ove imovine, priznati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1.2.13.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(Otpuštanje)/Ispravka vrijednosti za gubitke od dužničkih instrumenata po fer vrijednosti kroz ostali ukupni rezultat, neto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514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promjene na ispravci vrijednosti dužničkih instrumenata po fer vrijednosti kroz ostali ukupni rezultat, priznate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1.2.14.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(Otpuštanje)/Ispravka vrijednosti za gubitke od potraživanja od kupaca, neto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promjene na ispravci vrijednosti potraživanja od kupaca, priznate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1.2.15.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(Otpuštanje)/Ispravka vrijednosti za gubitke od ugovorne imovine, neto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516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promjene na ispravci vrijednosti ugovorne imovine, priznate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1.2.16.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(Otpuštanje)/Ispravka vrijednosti za gubitke od ostale finansijske imovine po amortizovanom trošku, neto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517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promjene na ispravci vrijednosti ostale finansijske imovine po amortizovanom trošku, priznate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1.2.17.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Viškovi, manjkovi, otpisi i prilagođavanje vrijednosti zaliha, neto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518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promjene na zalihama, priznate tokom perioda, a koje nisu rezultat kupovine, proizvodnje ili prodaje istih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1.2.18.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Otpisane obaveze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519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Iznosi obaveza otpisani od strane povjerilaca/kreditora,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1.2.19.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(Otpuštanje)/ dodatno priznata rezervisanja, neto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520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promjene na rezervisanjima, priznate tokom perioda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1.2.20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Udio u rezultatu pridruženog društva i zajedničkog poduhvata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521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Iznosi priznati u konsolidovanom bilansu uspjeha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1.2.21.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Umanjenje vrijednosti goodwill-a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522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Iznosi priznati u zasebnom i konsolidovanom bilansu uspjeha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1.2.22.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 od dividendi priznat u bilansu uspjeha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523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 od dividendi priznat u bilansu uspjeha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1.2.23.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od kamata i finansijskog najma priznati u bilansu uspjeha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524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Prihodi od kamata i finansijskog najma priznati u bilansu uspjeha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1.2.24.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Finansijski rashodi priznati u bilansu uspjeha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525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Finansijski rashodi priznati u bilansu uspjeha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Promjene u obrtnom kapitalu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1.3.1.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Smanjenje/(povećanje) zaliha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526</w:t>
            </w:r>
          </w:p>
        </w:tc>
        <w:tc>
          <w:tcPr>
            <w:tcW w:w="2027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Neto promjena pozicija (isključivo glavnice imovine i obaveza) između dva izvještajna perioda, isključujući nenovčane transakcije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1.3.2.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Smanjenje/(povećanje) potraživanja od kupaca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527</w:t>
            </w:r>
          </w:p>
        </w:tc>
        <w:tc>
          <w:tcPr>
            <w:tcW w:w="20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1.3.3.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Smanjenje/(povećanje) ostale imovine i potraživanja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528</w:t>
            </w:r>
          </w:p>
        </w:tc>
        <w:tc>
          <w:tcPr>
            <w:tcW w:w="20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1.3.4.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Smanjenje/(povećanje) ugovorne imovine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529</w:t>
            </w:r>
          </w:p>
        </w:tc>
        <w:tc>
          <w:tcPr>
            <w:tcW w:w="20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1.3.5.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Povećanje/(smanjenje) obaveza prema dobavljačima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530</w:t>
            </w:r>
          </w:p>
        </w:tc>
        <w:tc>
          <w:tcPr>
            <w:tcW w:w="20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1.3.6.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Povećanje/(smanjenje) ostalih obaveza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531</w:t>
            </w:r>
          </w:p>
        </w:tc>
        <w:tc>
          <w:tcPr>
            <w:tcW w:w="20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1.3.7.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Povećanje/(smanjenje) ugovornih obaveza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532</w:t>
            </w:r>
          </w:p>
        </w:tc>
        <w:tc>
          <w:tcPr>
            <w:tcW w:w="2027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Plaćeni porez na dobit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533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A.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Neto gotovinski tok koji je generisan/(korišten) u poslovnim aktivnostima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534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GOTOVINSKI TOKOVI IZ ULAGAČKIH AKTIVNOSTI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nekretnina, postrojenja i opreme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535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nekretnina, postrojenja i opreme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536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2.3.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investicijskih nekretnina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537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2.4.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investicijskih nekretnina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538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2.5.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nematerijalne imovine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539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2.6.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nematerijalne imovine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540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2.7.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biološke imovine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541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2.8.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biološke imovine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542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2.9.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dugoročne imovine namijenjene prodaji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543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2.10.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Ulaganja u finansijsku imovinu po fer vrijednosti kroz ostali ukupni rezultat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544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2.11.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finansijske imovine po fer vrijednosti kroz ostali ukupni rezultat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545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prodaje/naplate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2.12.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Ulaganja u finansijsku imovinu po fer vrijednosti kroz bilans uspjeha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546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2.13.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finansijske imovine po fer vrijednosti kroz bilans uspjeha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547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prodaje/naplate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2.14.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Ulaganja u ostalu finansijsku imovinu po amortizovanom trošku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548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2.15.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ostale finansijske imovine po amortizovanom trošku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549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prodaje/naplate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2.16.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Primljena kamata i prihod od finansijskog najma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550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kamata od finansijske imovine i finansijskog najma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2.17.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Naplaćena potraživanja od finansijskog najma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551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naplaćene glavnice po osnovu imovine date u finansijski najam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2.18.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Naplaćena potraživanja od finansijskog podnajma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552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naplaćene glavnice po osnovu imovine date u finansijski podnajam (imovina s pravom korištenja)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2.19.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Kupovina udjela u zavisnim društvima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553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2.20.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otuđenja udjela u zavisnim društvima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554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2.21.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Kupovina udjela u pridruženim društvima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555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2.22.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otuđenja udjela u pridruženim društvima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556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2.23.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Kupovina udjela u zajedničkim poduhvatima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557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/ nabavke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2.24.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otuđenja udjela u zajedničkim poduhvatima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558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ove imovine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2.25.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Primljene dividende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559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dividendi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2.26.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trgovanja derivatnim finansijskim instrumentima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560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ovih finansijskih instrumenata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2.27.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trgovanja derivatnim finansijskim instrumentima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561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ovih finansijskih instrumenata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2.28.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prilivi iz ulagačkih aktivnosti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562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Svi ostali prilivi, koji nisu uključeni u prethodno spomenute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2.29.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odlivi iz ulagačkih aktivnosti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563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Svi ostali odlivi, koji nisu uključeni u prethodno spomenute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Neto gotovinski tok koji je generisan/(korišten) u ulagačkim aktivnostima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564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GOTOVINSKI TOKOVI IZ FINANSIJSKIH AKTIVNOSTI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3.1.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emisije dionica / uplaćeni vlasnički kapital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565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emisije dionica / uplate vlasničkih udjela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3.2.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Sticanje vlastitih dionica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566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vlastitih dionica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3.3.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prodaje stečenih vlastitih dionica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567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prethodno stečenih vlastitih dionica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3.4.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od uzetih kredita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568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kupovine vlastitih dionica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3.5.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Otplata glavnice uzetih kredita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569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prodaje prethodno stečenih vlastitih dionica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3.6.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Otplata kamate po uzetim kreditima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570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isplate dividendi dioničarima / vlasnicima udjela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3.7.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Otplata glavnice po najmovima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571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uzetih kredita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3.8.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Otplata kamate po najmovima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572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otplate glavnice uzetih kredita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3.9.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Isplaćene dividende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573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plaćanja kamate na uzete kredite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3.10.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izdatih dužničkih instrumenata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574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otplate glavnice obaveza po najmova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3.11.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otplate izdatih dužničkih instrumenata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575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plaćanja kamate na najmove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3.12.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prilivi iz finansijskih aktivnosti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576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Prilivi po osnovu izdatih dužničkih instrumenata (obveznica i sl.)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lastRenderedPageBreak/>
              <w:t>2.13.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Ostali odlivi iz finansijskih aktivnosti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577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Odlivi po osnovu otplate glavnice izdatih dužničkih instrumenata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Neto gotovinski tok koji je generisan/(korišten) u finansijskim aktivnostima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578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NETO POVEĆANJE / (SMANJENJE) GOTOVINE I GOTOVINSKIH EKVIVALENATA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579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GOTOVINA I GOTOVINSKI EKVIVALENTI NA POČETKU PERIODA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580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Stanje gotovine i gotovinskih ekvivalenata umanjeno za iznose obaveza po osnovu prekoračenja po tekućim bankovnim računima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EFEKTI PROMJENE DEVIZNIH KURSEVA GOTOVINE I GOTOVINSKIH EKVIVALENATA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581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E47A3" w:rsidRPr="009E47A3" w:rsidTr="000D7C9B">
        <w:trPr>
          <w:tblCellSpacing w:w="0" w:type="dxa"/>
        </w:trPr>
        <w:tc>
          <w:tcPr>
            <w:tcW w:w="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19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b/>
                <w:bCs/>
                <w:sz w:val="18"/>
                <w:szCs w:val="18"/>
              </w:rPr>
              <w:t>GOTOVINA I GOTOVINSKI EKVIVALENTI NA KRAJU PERIODA</w:t>
            </w:r>
          </w:p>
        </w:tc>
        <w:tc>
          <w:tcPr>
            <w:tcW w:w="6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582</w:t>
            </w:r>
          </w:p>
        </w:tc>
        <w:tc>
          <w:tcPr>
            <w:tcW w:w="2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47A3" w:rsidRPr="009E47A3" w:rsidRDefault="009E47A3" w:rsidP="009E47A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E47A3">
              <w:rPr>
                <w:rFonts w:ascii="Arial" w:hAnsi="Arial" w:cs="Arial"/>
                <w:sz w:val="18"/>
                <w:szCs w:val="18"/>
              </w:rPr>
              <w:t>Stanje gotovine i gotovinskih ekvivalenata umanjeno za iznose obaveza po osnovu prekoračenja po tekućim bankovnim računima</w:t>
            </w:r>
          </w:p>
        </w:tc>
      </w:tr>
    </w:tbl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Čl. 12 - 15</w:t>
      </w:r>
    </w:p>
    <w:p w:rsidR="009E47A3" w:rsidRPr="009E47A3" w:rsidRDefault="009E47A3" w:rsidP="009E47A3">
      <w:pPr>
        <w:jc w:val="center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i/>
          <w:iCs/>
          <w:sz w:val="24"/>
          <w:szCs w:val="24"/>
        </w:rPr>
        <w:t>(brisano)</w:t>
      </w:r>
    </w:p>
    <w:p w:rsidR="009E47A3" w:rsidRPr="009E47A3" w:rsidRDefault="009E47A3" w:rsidP="009E47A3">
      <w:pPr>
        <w:jc w:val="both"/>
        <w:rPr>
          <w:rFonts w:ascii="Arial" w:hAnsi="Arial" w:cs="Arial"/>
          <w:b/>
          <w:sz w:val="24"/>
          <w:szCs w:val="24"/>
        </w:rPr>
      </w:pPr>
      <w:bookmarkStart w:id="16" w:name="str_6"/>
      <w:bookmarkEnd w:id="16"/>
      <w:r w:rsidRPr="009E47A3">
        <w:rPr>
          <w:rFonts w:ascii="Arial" w:hAnsi="Arial" w:cs="Arial"/>
          <w:b/>
          <w:sz w:val="24"/>
          <w:szCs w:val="24"/>
        </w:rPr>
        <w:t>Poglavlje IV. Bilješke uz finansijske izvještaje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17" w:name="clan_16"/>
      <w:bookmarkEnd w:id="17"/>
      <w:r w:rsidRPr="009E47A3">
        <w:rPr>
          <w:rFonts w:ascii="Arial" w:hAnsi="Arial" w:cs="Arial"/>
          <w:b/>
          <w:bCs/>
          <w:sz w:val="24"/>
          <w:szCs w:val="24"/>
        </w:rPr>
        <w:t>Član 16.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(Bilješke)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(1) Pored obrazaca (uključujući i Izvještaj o promjenama na kapitalu koji je propisan posebnim pravilnikom), privredna društva trebaju pripremiti i bilješke uz obrasce.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(2) Bilješke sadrže dopunske informacije (tekstualni opis ili raščlanjivanje) za materijalno značajne stavke prezentirane u Izvještaju o finansijskom položaju na kraju perioda, Izvještaju o ukupnom rezultatu za period, Izvještaju o tokovima gotovine i Izvještaju o promjenama na kapitalu.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(3) U bilješkama se, uz zahtjeve propisane članom 37. st. (3) i (4) Zakona: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a) prezentiraju informacije o osnovi za sastavljanje obrazaca i primijenjenim računovodstvenim politikama,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b) objavljuju informacije koje zahtijevaju MSFI u vezi pozicija koje privredna društva imaju u svojim obrascima, a koje nisu detaljno prikazane na obrascima i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c) pružaju dodatne informacije koje nisu prezentirane u obrascima, ali su relevantne za njihovo razumijevanje.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lastRenderedPageBreak/>
        <w:t>(4) U obrascima Izvještaj o finansijskom položaju na kraju perioda, Izvještaj o ukupnom rezultatu za period i Izvještaj o tokovima gotovine, u koloni 3, unose se brojevi bilješki za materijalno značajne stavke iz obrazaca na koje se te bilješke i odnose.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(5) Bilješke se moraju prezentirati sistematski, koliko god je to moguće.</w:t>
      </w:r>
    </w:p>
    <w:p w:rsidR="009E47A3" w:rsidRPr="009E47A3" w:rsidRDefault="009E47A3" w:rsidP="009E47A3">
      <w:pPr>
        <w:jc w:val="both"/>
        <w:rPr>
          <w:rFonts w:ascii="Arial" w:hAnsi="Arial" w:cs="Arial"/>
          <w:b/>
          <w:sz w:val="24"/>
          <w:szCs w:val="24"/>
        </w:rPr>
      </w:pPr>
      <w:bookmarkStart w:id="18" w:name="str_7"/>
      <w:bookmarkEnd w:id="18"/>
      <w:r w:rsidRPr="009E47A3">
        <w:rPr>
          <w:rFonts w:ascii="Arial" w:hAnsi="Arial" w:cs="Arial"/>
          <w:b/>
          <w:sz w:val="24"/>
          <w:szCs w:val="24"/>
        </w:rPr>
        <w:t>Poglavlje V. Prijelazne i završne odredbe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19" w:name="clan_20"/>
      <w:bookmarkEnd w:id="19"/>
      <w:r w:rsidRPr="009E47A3">
        <w:rPr>
          <w:rFonts w:ascii="Arial" w:hAnsi="Arial" w:cs="Arial"/>
          <w:b/>
          <w:bCs/>
          <w:sz w:val="24"/>
          <w:szCs w:val="24"/>
        </w:rPr>
        <w:t>Član 20.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(Primjena izvještaja)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Danom početka primjene ovog pravilnik prestaje da važi Pravilnik o sadržaju i formi obrazaca finansijskih izvještaja za privredna društva ("Službene novine Federacije BiH", br. 82/10 i 3/21).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20" w:name="clan_21"/>
      <w:bookmarkEnd w:id="20"/>
      <w:r w:rsidRPr="009E47A3">
        <w:rPr>
          <w:rFonts w:ascii="Arial" w:hAnsi="Arial" w:cs="Arial"/>
          <w:b/>
          <w:bCs/>
          <w:sz w:val="24"/>
          <w:szCs w:val="24"/>
        </w:rPr>
        <w:t>Član 21.</w:t>
      </w:r>
    </w:p>
    <w:p w:rsidR="009E47A3" w:rsidRPr="009E47A3" w:rsidRDefault="009E47A3" w:rsidP="009E47A3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47A3">
        <w:rPr>
          <w:rFonts w:ascii="Arial" w:hAnsi="Arial" w:cs="Arial"/>
          <w:b/>
          <w:bCs/>
          <w:sz w:val="24"/>
          <w:szCs w:val="24"/>
        </w:rPr>
        <w:t>(Stupanje na snagu)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Ovaj pravilnik stupa na snagu narednog dana od dana objavljivanja u "Službenim novinama Federacije BiH", a primjenjivat će se počev od finansijskih izvještaja za periode koji počinju 01.01.2022. godine i nakon toga.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  <w:r w:rsidRPr="009E47A3">
        <w:rPr>
          <w:rFonts w:ascii="Arial" w:hAnsi="Arial" w:cs="Arial"/>
          <w:sz w:val="24"/>
          <w:szCs w:val="24"/>
        </w:rPr>
        <w:t> </w:t>
      </w: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</w:p>
    <w:p w:rsidR="009E47A3" w:rsidRPr="009E47A3" w:rsidRDefault="009E47A3" w:rsidP="009E47A3">
      <w:pPr>
        <w:jc w:val="both"/>
        <w:rPr>
          <w:rFonts w:ascii="Arial" w:hAnsi="Arial" w:cs="Arial"/>
          <w:sz w:val="24"/>
          <w:szCs w:val="24"/>
        </w:rPr>
      </w:pPr>
    </w:p>
    <w:p w:rsidR="00224AD1" w:rsidRDefault="00224AD1">
      <w:pPr>
        <w:rPr>
          <w:rFonts w:ascii="Arial" w:hAnsi="Arial" w:cs="Arial"/>
        </w:rPr>
      </w:pPr>
      <w:r w:rsidRPr="00224AD1">
        <w:rPr>
          <w:rFonts w:ascii="Arial" w:hAnsi="Arial" w:cs="Arial"/>
          <w:noProof/>
        </w:rPr>
        <w:lastRenderedPageBreak/>
        <w:drawing>
          <wp:inline distT="0" distB="0" distL="0" distR="0">
            <wp:extent cx="5727101" cy="8101449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AD1" w:rsidRDefault="00224AD1" w:rsidP="00224AD1">
      <w:pPr>
        <w:rPr>
          <w:rFonts w:ascii="Arial" w:hAnsi="Arial" w:cs="Arial"/>
        </w:rPr>
      </w:pPr>
    </w:p>
    <w:p w:rsidR="00224AD1" w:rsidRDefault="00224AD1" w:rsidP="00224AD1">
      <w:pPr>
        <w:jc w:val="center"/>
        <w:rPr>
          <w:rFonts w:ascii="Arial" w:hAnsi="Arial" w:cs="Arial"/>
        </w:rPr>
      </w:pPr>
    </w:p>
    <w:p w:rsidR="00D75BFA" w:rsidRDefault="00224AD1" w:rsidP="00224AD1">
      <w:pPr>
        <w:jc w:val="center"/>
        <w:rPr>
          <w:rFonts w:ascii="Arial" w:hAnsi="Arial" w:cs="Arial"/>
        </w:rPr>
      </w:pPr>
      <w:r w:rsidRPr="00224AD1">
        <w:rPr>
          <w:rFonts w:ascii="Arial" w:hAnsi="Arial" w:cs="Arial"/>
          <w:noProof/>
        </w:rPr>
        <w:lastRenderedPageBreak/>
        <w:drawing>
          <wp:inline distT="0" distB="0" distL="0" distR="0">
            <wp:extent cx="5727101" cy="8101449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AD1" w:rsidRDefault="00224AD1" w:rsidP="00D75BFA">
      <w:pPr>
        <w:jc w:val="center"/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  <w:r w:rsidRPr="00D75BFA">
        <w:rPr>
          <w:rFonts w:ascii="Arial" w:hAnsi="Arial" w:cs="Arial"/>
          <w:noProof/>
        </w:rPr>
        <w:lastRenderedPageBreak/>
        <w:drawing>
          <wp:inline distT="0" distB="0" distL="0" distR="0">
            <wp:extent cx="5727101" cy="8101449"/>
            <wp:effectExtent l="0" t="0" r="698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FA" w:rsidRDefault="00D75BFA" w:rsidP="00D75BFA">
      <w:pPr>
        <w:jc w:val="center"/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  <w:r w:rsidRPr="00D75BFA">
        <w:rPr>
          <w:rFonts w:ascii="Arial" w:hAnsi="Arial" w:cs="Arial"/>
          <w:noProof/>
        </w:rPr>
        <w:lastRenderedPageBreak/>
        <w:drawing>
          <wp:inline distT="0" distB="0" distL="0" distR="0">
            <wp:extent cx="5727101" cy="8101449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FA" w:rsidRDefault="00D75BFA" w:rsidP="00D75BFA">
      <w:pPr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  <w:r w:rsidRPr="00D75BFA">
        <w:rPr>
          <w:rFonts w:ascii="Arial" w:hAnsi="Arial" w:cs="Arial"/>
          <w:noProof/>
        </w:rPr>
        <w:lastRenderedPageBreak/>
        <w:drawing>
          <wp:inline distT="0" distB="0" distL="0" distR="0">
            <wp:extent cx="5727101" cy="8101449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FA" w:rsidRDefault="00D75BFA" w:rsidP="00D75BFA">
      <w:pPr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  <w:r w:rsidRPr="00D75BFA">
        <w:rPr>
          <w:rFonts w:ascii="Arial" w:hAnsi="Arial" w:cs="Arial"/>
          <w:noProof/>
        </w:rPr>
        <w:lastRenderedPageBreak/>
        <w:drawing>
          <wp:inline distT="0" distB="0" distL="0" distR="0">
            <wp:extent cx="5727101" cy="8101449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FA" w:rsidRDefault="00D75BFA" w:rsidP="00D75BFA">
      <w:pPr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  <w:r w:rsidRPr="00D75BFA">
        <w:rPr>
          <w:rFonts w:ascii="Arial" w:hAnsi="Arial" w:cs="Arial"/>
          <w:noProof/>
        </w:rPr>
        <w:lastRenderedPageBreak/>
        <w:drawing>
          <wp:inline distT="0" distB="0" distL="0" distR="0">
            <wp:extent cx="5727101" cy="8101449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FA" w:rsidRDefault="00D75BFA" w:rsidP="00D75BFA">
      <w:pPr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  <w:r w:rsidRPr="00D75BFA">
        <w:rPr>
          <w:rFonts w:ascii="Arial" w:hAnsi="Arial" w:cs="Arial"/>
          <w:noProof/>
        </w:rPr>
        <w:lastRenderedPageBreak/>
        <w:drawing>
          <wp:inline distT="0" distB="0" distL="0" distR="0">
            <wp:extent cx="5727101" cy="8101449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FA" w:rsidRDefault="00D75BFA" w:rsidP="00D75BFA">
      <w:pPr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  <w:r w:rsidRPr="00D75BFA">
        <w:rPr>
          <w:rFonts w:ascii="Arial" w:hAnsi="Arial" w:cs="Arial"/>
          <w:noProof/>
        </w:rPr>
        <w:lastRenderedPageBreak/>
        <w:drawing>
          <wp:inline distT="0" distB="0" distL="0" distR="0">
            <wp:extent cx="5727101" cy="8101449"/>
            <wp:effectExtent l="0" t="0" r="698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FA" w:rsidRDefault="00D75BFA" w:rsidP="00D75BFA">
      <w:pPr>
        <w:jc w:val="center"/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  <w:r w:rsidRPr="00D75BFA">
        <w:rPr>
          <w:rFonts w:ascii="Arial" w:hAnsi="Arial" w:cs="Arial"/>
          <w:noProof/>
        </w:rPr>
        <w:lastRenderedPageBreak/>
        <w:drawing>
          <wp:inline distT="0" distB="0" distL="0" distR="0">
            <wp:extent cx="5727101" cy="8101449"/>
            <wp:effectExtent l="0" t="0" r="698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FA" w:rsidRDefault="00D75BFA" w:rsidP="00D75BFA">
      <w:pPr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  <w:r w:rsidRPr="00D75BFA">
        <w:rPr>
          <w:rFonts w:ascii="Arial" w:hAnsi="Arial" w:cs="Arial"/>
          <w:noProof/>
        </w:rPr>
        <w:lastRenderedPageBreak/>
        <w:drawing>
          <wp:inline distT="0" distB="0" distL="0" distR="0">
            <wp:extent cx="5727101" cy="8101449"/>
            <wp:effectExtent l="0" t="0" r="698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FA" w:rsidRDefault="00D75BFA" w:rsidP="00D75BFA">
      <w:pPr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  <w:r w:rsidRPr="00D75BFA">
        <w:rPr>
          <w:rFonts w:ascii="Arial" w:hAnsi="Arial" w:cs="Arial"/>
          <w:noProof/>
        </w:rPr>
        <w:lastRenderedPageBreak/>
        <w:drawing>
          <wp:inline distT="0" distB="0" distL="0" distR="0">
            <wp:extent cx="5727101" cy="8101449"/>
            <wp:effectExtent l="0" t="0" r="698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FA" w:rsidRPr="00D75BFA" w:rsidRDefault="00D75BFA" w:rsidP="00D75BFA">
      <w:pPr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  <w:r w:rsidRPr="00D75BFA">
        <w:rPr>
          <w:rFonts w:ascii="Arial" w:hAnsi="Arial" w:cs="Arial"/>
          <w:noProof/>
        </w:rPr>
        <w:lastRenderedPageBreak/>
        <w:drawing>
          <wp:inline distT="0" distB="0" distL="0" distR="0">
            <wp:extent cx="5727101" cy="8101449"/>
            <wp:effectExtent l="0" t="0" r="698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FA" w:rsidRDefault="00D75BFA" w:rsidP="00D75BFA">
      <w:pPr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  <w:r w:rsidRPr="00D75BFA">
        <w:rPr>
          <w:rFonts w:ascii="Arial" w:hAnsi="Arial" w:cs="Arial"/>
          <w:noProof/>
        </w:rPr>
        <w:lastRenderedPageBreak/>
        <w:drawing>
          <wp:inline distT="0" distB="0" distL="0" distR="0">
            <wp:extent cx="5727101" cy="8101449"/>
            <wp:effectExtent l="0" t="0" r="698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FA" w:rsidRDefault="00D75BFA" w:rsidP="00D75BFA">
      <w:pPr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</w:p>
    <w:p w:rsidR="00D75BFA" w:rsidRDefault="00D75BFA" w:rsidP="00D75BFA">
      <w:pPr>
        <w:jc w:val="center"/>
        <w:rPr>
          <w:rFonts w:ascii="Arial" w:hAnsi="Arial" w:cs="Arial"/>
        </w:rPr>
      </w:pPr>
      <w:r w:rsidRPr="00D75BFA">
        <w:rPr>
          <w:rFonts w:ascii="Arial" w:hAnsi="Arial" w:cs="Arial"/>
          <w:noProof/>
        </w:rPr>
        <w:lastRenderedPageBreak/>
        <w:drawing>
          <wp:inline distT="0" distB="0" distL="0" distR="0">
            <wp:extent cx="5727101" cy="8101449"/>
            <wp:effectExtent l="0" t="0" r="698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101" cy="810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BFA" w:rsidRDefault="00D75BFA" w:rsidP="00D75BFA">
      <w:pPr>
        <w:rPr>
          <w:rFonts w:ascii="Arial" w:hAnsi="Arial" w:cs="Arial"/>
        </w:rPr>
      </w:pPr>
    </w:p>
    <w:p w:rsidR="00D75BFA" w:rsidRPr="00D75BFA" w:rsidRDefault="00D75BFA" w:rsidP="000D7C9B">
      <w:pPr>
        <w:rPr>
          <w:rFonts w:ascii="Arial" w:hAnsi="Arial" w:cs="Arial"/>
        </w:rPr>
      </w:pPr>
      <w:bookmarkStart w:id="21" w:name="_GoBack"/>
      <w:bookmarkEnd w:id="21"/>
    </w:p>
    <w:sectPr w:rsidR="00D75BFA" w:rsidRPr="00D75B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4B34" w:rsidRDefault="00A44B34" w:rsidP="00224AD1">
      <w:pPr>
        <w:spacing w:after="0" w:line="240" w:lineRule="auto"/>
      </w:pPr>
      <w:r>
        <w:separator/>
      </w:r>
    </w:p>
  </w:endnote>
  <w:endnote w:type="continuationSeparator" w:id="0">
    <w:p w:rsidR="00A44B34" w:rsidRDefault="00A44B34" w:rsidP="00224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4B34" w:rsidRDefault="00A44B34" w:rsidP="00224AD1">
      <w:pPr>
        <w:spacing w:after="0" w:line="240" w:lineRule="auto"/>
      </w:pPr>
      <w:r>
        <w:separator/>
      </w:r>
    </w:p>
  </w:footnote>
  <w:footnote w:type="continuationSeparator" w:id="0">
    <w:p w:rsidR="00A44B34" w:rsidRDefault="00A44B34" w:rsidP="00224A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AB"/>
    <w:rsid w:val="000047DC"/>
    <w:rsid w:val="00027BAB"/>
    <w:rsid w:val="000D7C9B"/>
    <w:rsid w:val="00224AD1"/>
    <w:rsid w:val="00230473"/>
    <w:rsid w:val="002B1610"/>
    <w:rsid w:val="00573812"/>
    <w:rsid w:val="006055FA"/>
    <w:rsid w:val="0068514F"/>
    <w:rsid w:val="007A0EF9"/>
    <w:rsid w:val="00987D8E"/>
    <w:rsid w:val="009E47A3"/>
    <w:rsid w:val="00A05834"/>
    <w:rsid w:val="00A44B34"/>
    <w:rsid w:val="00B04A32"/>
    <w:rsid w:val="00CA742A"/>
    <w:rsid w:val="00CF29D3"/>
    <w:rsid w:val="00D75BFA"/>
    <w:rsid w:val="00E607EB"/>
    <w:rsid w:val="00FE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9D53E"/>
  <w15:chartTrackingRefBased/>
  <w15:docId w15:val="{D4E05AAC-191B-4D17-9829-0C79C7156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027B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27BAB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numbering" w:customStyle="1" w:styleId="NoList1">
    <w:name w:val="No List1"/>
    <w:next w:val="NoList"/>
    <w:uiPriority w:val="99"/>
    <w:semiHidden/>
    <w:unhideWhenUsed/>
    <w:rsid w:val="00027BAB"/>
  </w:style>
  <w:style w:type="paragraph" w:customStyle="1" w:styleId="msonormal0">
    <w:name w:val="msonormal"/>
    <w:basedOn w:val="Normal"/>
    <w:rsid w:val="00027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odnaslovpropisa">
    <w:name w:val="podnaslovpropisa"/>
    <w:basedOn w:val="Normal"/>
    <w:rsid w:val="00027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alprored">
    <w:name w:val="normalprored"/>
    <w:basedOn w:val="Normal"/>
    <w:rsid w:val="00027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yq060---pododeljak">
    <w:name w:val="wyq060---pododeljak"/>
    <w:basedOn w:val="Normal"/>
    <w:rsid w:val="00027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lan">
    <w:name w:val="clan"/>
    <w:basedOn w:val="Normal"/>
    <w:rsid w:val="00027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alboldcentar">
    <w:name w:val="normalboldcentar"/>
    <w:basedOn w:val="Normal"/>
    <w:rsid w:val="00027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ormal1">
    <w:name w:val="Normal1"/>
    <w:basedOn w:val="Normal"/>
    <w:rsid w:val="00027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wyq110---naslov-clana">
    <w:name w:val="wyq110---naslov-clana"/>
    <w:basedOn w:val="Normal"/>
    <w:rsid w:val="00027B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027BA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7BAB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4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AD1"/>
  </w:style>
  <w:style w:type="paragraph" w:styleId="Footer">
    <w:name w:val="footer"/>
    <w:basedOn w:val="Normal"/>
    <w:link w:val="FooterChar"/>
    <w:uiPriority w:val="99"/>
    <w:unhideWhenUsed/>
    <w:rsid w:val="00224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AD1"/>
  </w:style>
  <w:style w:type="paragraph" w:customStyle="1" w:styleId="Normal2">
    <w:name w:val="Normal2"/>
    <w:basedOn w:val="Normal"/>
    <w:rsid w:val="009E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E47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8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6913</Words>
  <Characters>39410</Characters>
  <Application>Microsoft Office Word</Application>
  <DocSecurity>0</DocSecurity>
  <Lines>328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Jasmin Rustemi</cp:lastModifiedBy>
  <cp:revision>2</cp:revision>
  <dcterms:created xsi:type="dcterms:W3CDTF">2024-01-08T12:50:00Z</dcterms:created>
  <dcterms:modified xsi:type="dcterms:W3CDTF">2024-01-08T12:50:00Z</dcterms:modified>
</cp:coreProperties>
</file>