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31E" w:rsidRPr="002C231E" w:rsidRDefault="002C231E" w:rsidP="002C2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7C1021" w:rsidRPr="007C1021" w:rsidRDefault="007C1021" w:rsidP="009816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0" w:name="str_1"/>
      <w:bookmarkEnd w:id="0"/>
      <w:r w:rsidRPr="007C102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PRAVILNIK</w:t>
      </w:r>
    </w:p>
    <w:p w:rsidR="007C1021" w:rsidRPr="007C1021" w:rsidRDefault="007C1021" w:rsidP="009816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7C102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O SADRŽAJU I FORMI FINANSIJSKIH IZVJEŠTAJA ZA INVESTICIJSKE FONDOVE</w:t>
      </w:r>
    </w:p>
    <w:p w:rsidR="0098169D" w:rsidRDefault="0098169D" w:rsidP="009816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</w:pPr>
    </w:p>
    <w:p w:rsidR="007C1021" w:rsidRPr="0098169D" w:rsidRDefault="007C1021" w:rsidP="009816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98169D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  <w:t>("Sl</w:t>
      </w:r>
      <w:r w:rsidR="0098169D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  <w:t>užbene</w:t>
      </w:r>
      <w:r w:rsidRPr="0098169D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  <w:t xml:space="preserve"> novine F</w:t>
      </w:r>
      <w:r w:rsidR="0098169D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  <w:t xml:space="preserve">ederacije </w:t>
      </w:r>
      <w:r w:rsidRPr="0098169D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  <w:t>BiH", br</w:t>
      </w:r>
      <w:r w:rsidR="003D758F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  <w:t xml:space="preserve">oj: </w:t>
      </w:r>
      <w:bookmarkStart w:id="1" w:name="_GoBack"/>
      <w:bookmarkEnd w:id="1"/>
      <w:r w:rsidRPr="0098169D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en-GB"/>
        </w:rPr>
        <w:t>81/21)</w:t>
      </w:r>
    </w:p>
    <w:p w:rsidR="0098169D" w:rsidRDefault="0098169D" w:rsidP="002C23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:rsidR="002C231E" w:rsidRPr="002C231E" w:rsidRDefault="002C231E" w:rsidP="002C23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Poglavlje I. Opće odredbe</w:t>
      </w:r>
    </w:p>
    <w:p w:rsidR="002C231E" w:rsidRPr="002C231E" w:rsidRDefault="002C231E" w:rsidP="0098169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" w:name="clan_1"/>
      <w:bookmarkEnd w:id="2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</w:t>
      </w:r>
      <w:r w:rsidR="0098169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231E" w:rsidRPr="002C231E" w:rsidRDefault="002C231E" w:rsidP="0098169D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(Predmet Pravilnika)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(1) Ovim pravilnikom propisuju se obrasci i sadržaj pozicija u obrascima za investicijske fondove: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- Izvještaj o finansijskom položaju na kraju perioda (Bilans stanja),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- Izvještaj o ukupnom rezultatu za period (Bilans uspjeha),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- Izvještaj o promjenama neto imovine, i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- Izvještaj o tokovima gotovine (Izvještaj o gotovinskim tokovima, u daljem tekstu zajedno: "obrasci"),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kao i bilješke uz finansijske izvještaje.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(2) Investicijski fondovi trebaju koristiti obrasce koje se nalaze u prilozima 1., 2., 3. i 4. ovog pravilnika, koji sadrže jednodimenzionalni bar kod i čine njegov sastavni dio.</w:t>
      </w:r>
    </w:p>
    <w:p w:rsidR="002C231E" w:rsidRPr="002C231E" w:rsidRDefault="002C231E" w:rsidP="0098169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3" w:name="clan_2"/>
      <w:bookmarkEnd w:id="3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2</w:t>
      </w:r>
      <w:r w:rsidR="0098169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231E" w:rsidRPr="002C231E" w:rsidRDefault="002C231E" w:rsidP="0098169D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(Sadržaj Pravilnika)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(1) Sadržaj pozicija navedenih obrazaca je definiran uputstvima u čl. 4., 6., 8. i 11. ovog Pravilnika.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(2) U obrasce se upisuju iznosi u konvertibilnim markama, bez decimalnih mjesta.</w:t>
      </w:r>
    </w:p>
    <w:p w:rsidR="002C231E" w:rsidRPr="002C231E" w:rsidRDefault="002C231E" w:rsidP="002C23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4" w:name="str_2"/>
      <w:bookmarkEnd w:id="4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Poglavlje II. Obrasci</w:t>
      </w:r>
    </w:p>
    <w:p w:rsidR="002C231E" w:rsidRPr="002C231E" w:rsidRDefault="002C231E" w:rsidP="0098169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5" w:name="str_3"/>
      <w:bookmarkEnd w:id="5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Odjeljak A. Izvještaj o finansijskom položaju na kraju perioda</w:t>
      </w:r>
    </w:p>
    <w:p w:rsidR="002C231E" w:rsidRPr="002C231E" w:rsidRDefault="002C231E" w:rsidP="0098169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6" w:name="clan_3"/>
      <w:bookmarkEnd w:id="6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3</w:t>
      </w:r>
      <w:r w:rsidR="0098169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231E" w:rsidRPr="002C231E" w:rsidRDefault="002C231E" w:rsidP="0098169D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(Obrazac Izvještaj o finansijskom položaju na kraju perioda)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(1) Prilikom izrade finansijskog izvještaja, u obrazac Izvještaj o finansijskom položaju na kraju perioda investicijski fond unosi podatke, u kolone 5 i 6, pod oznakom AOP 001 do AOP 059 (kolona 4), a prema sadržaju pozicija kolone 2 definisanim u članu 4. ovog pravilnika.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(2) U kolonu 6 obrasca unose se podaci iz kolone 5 iz obrasca za prethodni obračunski period (početno stanje), dok se podaci u koloni 5 unose preuzimanjem zatvorenih salda sa konta na kraju tekuće godine, odnosno na kraju obračunskog perioda za koji se priprema finansijski izvještaj.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(3) Ako su podaci u koloni 5 iz prethodne godine korigovani u skladu sa računovodstvenim i drugim propisima, u kolonu 6 unose se tako korigovani podaci.</w:t>
      </w:r>
    </w:p>
    <w:p w:rsidR="002C231E" w:rsidRPr="002C231E" w:rsidRDefault="002C231E" w:rsidP="0098169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7" w:name="clan_4"/>
      <w:bookmarkEnd w:id="7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4</w:t>
      </w:r>
      <w:r w:rsidR="0098169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231E" w:rsidRPr="002C231E" w:rsidRDefault="002C231E" w:rsidP="0098169D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(Sadržaj pozicija)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Prilikom popunjavanja obrasca Izvještaj o finansijskom položaju na kraju perioda, investicijski fond unosi podatke u kolone 5 i 6 u skladu sa sljedećim sadržajem pozicija kolone 2: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1"/>
        <w:gridCol w:w="4899"/>
        <w:gridCol w:w="844"/>
        <w:gridCol w:w="2646"/>
      </w:tblGrid>
      <w:tr w:rsidR="002C231E" w:rsidRPr="002C231E" w:rsidTr="002C231E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Redni broj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Pozicija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Oznaka za AOP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Grupa / konto koje treba uključiti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Gotovina i gotovinski ekvivalenti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Grupa 10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Finansijska imovina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Ulaganja u instrumente kapitala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200, 201, 204 (dio), 209 (dio)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Ulaganja u dužničke instrumente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202, 203, 204 (dio), 209 (dio)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Finansijska imovina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Ulaganja u instrumente kapitala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210, 211, 216 (dio), 218 (dio)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Ulaganja u dužničke instrumente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212, 213, 215, 216 (dio), 217, 218 (dio), 219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Finansijska imovina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Potraživanja iz poslovanja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300, 301, 302, 308, 309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Obveznice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222 (dio), 223 (dio), 229 (dio)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Depoziti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220, 221, 229 (dio)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Obračunati, nefakturisani prihodi (ugovorna imovina)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331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Ostala finansijska imovina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222 (dio), 223 (dio), 224, 229 (dio)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Ulaganja u nekretnine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Grupa: 24, 25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Akontacije poreza na dobit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332, 415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Odgođena porezna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Grupa: 32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Ostala imovina i potraživanja, uključujući i razgraničenja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Potraživanja po osnovu dividendi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304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Potraživanja od društva za upravljanje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Grupa: 31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Razgraničenja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330, 339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Ostala imovina i potraživanja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Grupa: 34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UKUPNO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OBAVEZE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Finansijske obaveze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Grupa: 43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Finansijske obaveze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Obaveze iz poslovanja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Grupa: 40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Ostale finansijske obaveze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440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Obaveze za tekući porez na dobit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415, 332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Odgođene porezne obaveze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Grupa: 46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Rezervisanja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Grupa: 48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Ostale obaveze, uključujući i razgraničenja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Obaveze za dividende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414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Obaveze prema društvu za upravljanje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Grupa: 42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Obaveze prema banci depozitaru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410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Razgraničenja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Grupa: 47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Ostale obaveze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Grupa: 45</w:t>
            </w: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br/>
              <w:t>Konto: 411, 412, 413, 419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UKUPNO OBAVEZE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Grupa: 10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NETO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Vlasnički kapital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Dionički kapital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500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Udjeli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501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Dionička premija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Grupa: 51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Rezerve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Statutarne rezerve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530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Ostale rezerve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531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Revalorizacijske rezerve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Revalorizacijske rezerve za finansijsku imovinu mjerenu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520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Revalorizacijske rezerve za instrumente zaštite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521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Ostale revalorizacijske rezerve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529, 560, 561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Dobit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Akumulirana, neraspoređena dobit iz prethodnih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540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Dobit tekućeg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541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Gubitak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Akumulirani, nepokriveni gubici iz prethodnih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550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6.2.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Gubitak tekućeg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551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UKUPNO NETO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BROJ EMITOVANIH DIONICA/UDJELA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NETO IMOVINA PO DIONICI/UDJELU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F.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VANBILANSNA EVIDENCIJA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Vanbilansna aktiva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Grupa: 98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Vanbilansna pasiva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Grupa: 99</w:t>
            </w:r>
          </w:p>
        </w:tc>
      </w:tr>
    </w:tbl>
    <w:p w:rsidR="002C231E" w:rsidRPr="002C231E" w:rsidRDefault="002C231E" w:rsidP="002C231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8" w:name="str_4"/>
      <w:bookmarkEnd w:id="8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Odjeljak B. Izvještaj o ukupnom rezultatu za period</w:t>
      </w:r>
    </w:p>
    <w:p w:rsidR="002C231E" w:rsidRPr="002C231E" w:rsidRDefault="002C231E" w:rsidP="0098169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9" w:name="clan_5"/>
      <w:bookmarkEnd w:id="9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5</w:t>
      </w:r>
      <w:r w:rsidR="0098169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231E" w:rsidRPr="002C231E" w:rsidRDefault="002C231E" w:rsidP="0098169D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(Obrazac Izvještaj o ukupnom rezultatu za period)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(1) Prilikom izrade finansijskog izvještaja, u obrazac Izvještaj o ukupnom rezultatu za period investicijski fond unosi podatke, u kolone 5 i 6, pod oznakom AOP 201 do AOP 255 (kolona 4), a prema sadržaju pozicija kolone 2 definiranim u članu 6. ovog pravilnika. Nadalje, ako je primjenjivo, u kolone 5 i 6, pod oznakom AOP 256 i AOP 257, unose se podaci o zaradi po dionici.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(2) U kolonu 6 obrasca unose se podaci iz kolone 5 iz obrasca za prethodni obračunski period, dok se podaci u koloni 5 unose preuzimanjem zatvorenih salda sa konta na kraju tekuće godine, odnosno na kraju obračunskog perioda za koji se priprema finansijski izvještaj.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(3) Ako su podaci u koloni 5 iz prethodne godine korigovani u skladu sa računovodstvenim i drugim propisima, u kolonu 6 unose se tako korigovani podaci.</w:t>
      </w:r>
    </w:p>
    <w:p w:rsidR="002C231E" w:rsidRPr="002C231E" w:rsidRDefault="002C231E" w:rsidP="0098169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0" w:name="clan_6"/>
      <w:bookmarkEnd w:id="10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6</w:t>
      </w:r>
      <w:r w:rsidR="0098169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231E" w:rsidRPr="002C231E" w:rsidRDefault="002C231E" w:rsidP="0098169D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(Sadržaj pozicija)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Prilikom popunjavanja obrasca Izvještaj o ukupnom rezultatu za period, investicijski fond unosi podatke u kolone 5 i 6 u skladu sa sljedećim sadržajem pozicija kolone 2: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1"/>
        <w:gridCol w:w="4899"/>
        <w:gridCol w:w="844"/>
        <w:gridCol w:w="2646"/>
      </w:tblGrid>
      <w:tr w:rsidR="002C231E" w:rsidRPr="002C231E" w:rsidTr="002C231E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Redni broj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Pozicija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Oznaka za AOP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Grupa / konto koje treba uključiti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Prihodi od kamata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Prihodi od kamata od finansijske imovine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7010, 7020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Prihodi od kamata od finansijske imovine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7011, 7021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Prihodi od kamata od finansijske imovine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7012, 7022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Prihodi od dividendi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700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Realizovani neto dobici od prodaje ulaganja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Neto dobici od prodaje finansijske imovine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7101, 6101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Neto dobici od prodaje finansijske imovine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7102, 6102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Neto dobici od prodaje finansijske imovine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7103, 6103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Neto dobici od prodaje nekretnina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712, 612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Nerealizovani neto dobici po osnovu promjene fer vrijednosti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Neto dobici od finansijske imovine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720, 723 (dio), 620, 623 (dio)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Neto dobici od finansijskih obaveza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721, 723 (dio), 621, 623 (dio)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Neto dobici od ulaganja u nekretnine koje se vode po fer vrijednosti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725, 625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Neto pozitivne kursne razlike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711, 722, 611, 622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Ostali prihodi i dobici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703, 709, 719, 724, 726, 727, 728, 729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Rashodi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Naknada društvu za upravljanje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600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Transakcijski troškovi pri kupovini i prodaji ulaganja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601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Ulazne i izlazne naknade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602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Naknada banci depozitaru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605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Naknade članovima nadzornog odbora i direktoru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603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Naknade Registru vrijednosnih papira u FBiH i Komisiji za vrijednosne papire FBiH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608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Realizovani neto gubici od prodaje ulaganja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Neto gubici od prodaje finansijske imovine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6101, 7101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Neto gubici od prodaje finansijske imovine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6102, 7102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Neto gubici od prodaje finansijske imovine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6103, 7103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Neto gubici od prodaje nekretnina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612, 712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Nerealizovani neto gubici po osnovu promjene fer vrijednosti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Neto gubici od finansijske imovine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620, 623 (dio), 720, 723 (dio)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8.2.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Neto gubici od finansijskih obaveza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621, 623 (dio), 721, 723 (dio)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Neto gubici od ulaganja u nekretnine koje se vode po fer vrijednosti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625, 725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Finansijski rashodi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Grupa 63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Neto negativne kursne razlike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611, 622, 711, 722 (neto)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Ostali rashodi i gubici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604, 606, 607, 609, 613, 619, 624, 626, 627, 628, 629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Dobit prije oporezivanja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Gubitak prije oporezivanja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Porez na dobit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Tekući porez na dobit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821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Odgođeni porez na dobit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Konto: 822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F.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Dobit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Gubitak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IZVJEŠTAJ O OSTALOM UKUPNOM REZULTATU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Stavke koje mogu biti reklasifikovane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Povećanje/(smanjenje) fer vrijednosti dužničkih instrumenata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Promjena priznata na kontu 520 (analitička konta koja se odnose na ove efekte) tokom finansijske godine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Efekti proistekli iz transakcija zaštite ("hedging")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Promjena priznata na kontu 521 (analitička konta koja se odnose na ove efekte) tokom finansijske godine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Ostale stavke koje mogu biti reklasifikovane u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Promjena priznata na kontu 529 (analitička konta koja se odnose na ove efekte) tokom finansijske godine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Porez na dobit koji se odnosi na ove stavke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Stavke koje neće biti reklasifikovane u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Povećanje/(smanjenje) fer vrijednosti instrumenata kapitala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Promjena priznata na kontu 520 (analitička konta koja se odnose na ove efekte) tokom finansijske godine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Ostale stavke koje neće biti reklasifikovane u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Promjena priznata na kontu 529 (analitička konta koja se odnose na ove efekte) tokom finansijske godine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Porez na dobit koji se odnosi na ove stavke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POVEĆANJE / (SMANJENJE) NETO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Povećanje neto imovine fonda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J.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Smanjenje neto imovine fonda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Zarada po dionici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a) Osnovna zarada po dionici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Osnovna zarada po dionici se računa dijeljenjem:</w:t>
            </w: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br/>
              <w:t>• dobiti ili gubitka koja pripada dioničarima zatvorenog investicijskog fonda, i</w:t>
            </w: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br/>
              <w:t>• ponderisanog prosječnog broja običnih dionica u opticaju tokom finansijske godine, isključujući otkupljene vlastite dionice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b) Razrijeđena zarada po dionici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 izračunu razrijeđene zarade po dionici, koriguju se cifre korištene u izračunu osnovne zarade po dionici, uzimajući u obzir:</w:t>
            </w: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br/>
              <w:t>• efekat oporezivanja, kamata i ostalih troškova finansiranja koji bi mogao proizaći iz konverzije razrjeđujućih potencijalnih običnih dionica, i</w:t>
            </w: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br/>
              <w:t>• ponderisani prosječni broj dodatnih običnih dionica koje bi bile u opticaju pod pretpostavkom konverzije svih razrjeđujućih potencijalnih običnih dionica.</w:t>
            </w:r>
          </w:p>
        </w:tc>
      </w:tr>
    </w:tbl>
    <w:p w:rsidR="002C231E" w:rsidRPr="002C231E" w:rsidRDefault="002C231E" w:rsidP="002C231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1" w:name="str_5"/>
      <w:bookmarkEnd w:id="11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Odjeljak C. Izvještaj o promjenama neto imovine (kapitala)</w:t>
      </w:r>
    </w:p>
    <w:p w:rsidR="002C231E" w:rsidRPr="002C231E" w:rsidRDefault="002C231E" w:rsidP="0098169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2" w:name="clan_7"/>
      <w:bookmarkEnd w:id="12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7</w:t>
      </w:r>
      <w:r w:rsidR="0098169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231E" w:rsidRPr="002C231E" w:rsidRDefault="002C231E" w:rsidP="0098169D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(Obrazac Izvještaj o promjenama neto imovine)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(1) Prilikom popunjavanja obrasca Izvještaj o promjenama neto imovine koriste se podaci iz propisanih obrazaca Izvještaja o finansijskom položaju na kraju perioda i Izvještaja o ukupnom rezultatu za period, podaci navedeni u bilješkama uz finansijske izvještaje i drugi podaci iz poslovnih knjiga.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(2) U Izvještaj se obavezno unose podaci za prethodnu izvještajnu godinu i podaci za tekuću izvještajnu godinu.</w:t>
      </w:r>
    </w:p>
    <w:p w:rsidR="002C231E" w:rsidRPr="002C231E" w:rsidRDefault="002C231E" w:rsidP="0098169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3" w:name="clan_8"/>
      <w:bookmarkEnd w:id="13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8</w:t>
      </w:r>
      <w:r w:rsidR="0098169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231E" w:rsidRPr="002C231E" w:rsidRDefault="002C231E" w:rsidP="0098169D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(Sadržaj pozicija)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Prilikom popunjavanja obrasca Izvještaj o promjenama neto imovine, investicijski fond unosi podatke u kolone 3 i 4 u skladu sa sljedećim sadržajem pozicija kolone 1: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03"/>
        <w:gridCol w:w="901"/>
        <w:gridCol w:w="2703"/>
        <w:gridCol w:w="2703"/>
      </w:tblGrid>
      <w:tr w:rsidR="002C231E" w:rsidRPr="002C231E" w:rsidTr="002C231E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Pozicija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Oznaka za AOP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Tekuća godina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Prethodna godina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1. Stanje na dan 31.12. prethodnog obračunskog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 Efekti retroaktivne primjene promjene računovodstvenih politika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Efekti promjena računovodstvenih politika, odnosno efekti ispravljanja grešaka iz prethodnih perioda, isključivo ukoliko je tako propisano određenim MSFI ili ukoliko je neizvodljivo utvrditi efekte koji se unose na AOP 302 i 303 za prethodnu godinu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Efekti promjena računovodstveni h politika, odnosno efekti ispravljanja grešaka iz prethodnih perioda, u skladu sa MRS 8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 Efekti retroaktivnog prepravljanja iznosa priznatih u skladu sa MRS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4. Ponovo iskazano stanje na dan 01.01. tekućeg obračunskog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 Dobit/(gubitak) za period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Iznosi iskazani pod AOP 242 ili 243 u Izvještaju o ukupnom rezultatu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6. Ostali ukupni rezultat za period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Iznosi iskazani pod AOP 244 u Izvještaju o ukupnom rezultatu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7.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Iznosi iskazani pod AOP 254 ili 255 u Izvještaju o ukupnom rezultatu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8. Povećanje po osnovu izdatih udjela/dionica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Vrijednost udjela/dionica uplaćenih/emitovanih tokom perioda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9. Smanjenje po osnovu povlačenja udjela/dionica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Vrijednost udjela/dionica povučenih tokom perioda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10. Ostale promjene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Vrijednost eventualnih ostalih promjena na neto imovini tokom perioda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11. Stanje na dan 31.12. tekućeg obračunskog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Broj udjela/dionica fonda u periodu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12. Broj udjela/dionica fonda na početku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Broj udjela/dionica na početku perioda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13. Izdati udjeli/dionice u toku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Broj udjela/dionica uplaćenih/emitovanih tokom perioda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14. Povučeni udjeli/dionice u toku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Broj udjela/dionica povučenih tokom perioda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15. Broj udjela/dionica fonda na kraju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Broj udjela/dionica na kraju perioda</w:t>
            </w:r>
          </w:p>
        </w:tc>
      </w:tr>
    </w:tbl>
    <w:p w:rsidR="002C231E" w:rsidRPr="002C231E" w:rsidRDefault="002C231E" w:rsidP="002C231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4" w:name="str_6"/>
      <w:bookmarkEnd w:id="14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Odjeljak D. Izvještaj o tokovima gotovine</w:t>
      </w:r>
    </w:p>
    <w:p w:rsidR="002C231E" w:rsidRPr="002C231E" w:rsidRDefault="002C231E" w:rsidP="0098169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5" w:name="clan_9"/>
      <w:bookmarkEnd w:id="15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9</w:t>
      </w:r>
      <w:r w:rsidR="0098169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231E" w:rsidRPr="002C231E" w:rsidRDefault="002C231E" w:rsidP="0098169D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(Obrazac Izvještaj o tokovima gotovine)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(1) Pod tokovima gotovine, u smislu ovog pravilnika, podrazumijevaju se naplate i isplate u gotovini i gotovinskim ekvivalentima u smislu MRS 7 preko blagajne, transakcijskih i drugih računa, isključujući kompenzacije, asignacije, cesije i druge slične načine bezgotovinskih naplata, odnosno plaćanja.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(2) Prijenos između pojedinih konta gotovine i gotovinskih ekvivalenata u okviru istog investicijskog fonda ne smatra se gotovinskim tokom.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(3) Iznos gotovinskih priliva i odliva utvrđuje se na osnovu evidencije o prilivima i odlivima gotovine i gotovinskih ekvivalenata preko blagajne, transakcijskih i drugih računa ili na osnovu podataka sa odgovarajućih konta i grupa konta iz knjigovodstva investicijskog fonda.</w:t>
      </w:r>
    </w:p>
    <w:p w:rsidR="002C231E" w:rsidRPr="002C231E" w:rsidRDefault="002C231E" w:rsidP="0098169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6" w:name="clan_10"/>
      <w:bookmarkEnd w:id="16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10</w:t>
      </w:r>
      <w:r w:rsidR="0098169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231E" w:rsidRPr="002C231E" w:rsidRDefault="002C231E" w:rsidP="0098169D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(Unos podataka)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(1) U obrazac Izvještaj o tokovima gotovine investicijski fond unosi podatke, u kolone 6 i 7, a prema sadržaju pozicija kolone 2 definiranim u čl. 10. i 11. ovog pravilnika.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(2) U kolonu 7 obrasca unose se podaci iz kolone 6 iz obrasca za prethodni obračunski period, dok se u kolonu 6 unose gotovinski tokovi i promjene nastale tokom tekuće godine, odnosno tokom obračunskog perioda za koji se priprema finansijski izvještaj.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(3) Ako su podaci u koloni 6 iz prethodne godine korigovani u skladu sa računovodstvenim i drugim propisima, u kolonu 7 unose se tako korigovani podaci.</w:t>
      </w:r>
    </w:p>
    <w:p w:rsidR="002C231E" w:rsidRPr="002C231E" w:rsidRDefault="002C231E" w:rsidP="0098169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7" w:name="clan_11"/>
      <w:bookmarkEnd w:id="17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11</w:t>
      </w:r>
      <w:r w:rsidR="0098169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231E" w:rsidRPr="002C231E" w:rsidRDefault="002C231E" w:rsidP="0098169D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(Obrazac Izvještaj o tokovima gotovine)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 obrascu Izvještaj o tokovima gotovine, AOP pozicije 401 do 431, prema nazivima pozicija, unose se gotovinski prilivi i odlivi investicijskog fonda kako slijedi: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1"/>
        <w:gridCol w:w="4448"/>
        <w:gridCol w:w="844"/>
        <w:gridCol w:w="3097"/>
      </w:tblGrid>
      <w:tr w:rsidR="002C231E" w:rsidRPr="002C231E" w:rsidTr="002C231E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Redni broj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Pozicija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Oznaka za AOP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Opis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GOTOVINSKI TOKOVI IZ POSLOVNIH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Prilivi od kamata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Prilivi po osnovu kamata na dužničke instrumente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Prilivi od dividendi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Prilivi po osnovu dividendi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ulaganja u finansijsku imovinu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kupovine ove imovine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Prilivi od prodaje finansijske imovine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Prilivi po osnovu prodaje ove imovine ili naplate glavnice dužničkih instrumenata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ulaganja u finansijsku imovinu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kupovine ove imovine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Prilivi od prodaje finansijske imovine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Prilivi po osnovu prodaje ove imovine ili naplate glavnice dužničkih instrumenata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ulaganja u finansijsku imovinu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kupovine ove imovine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Prilivi od prodaje finansijske imovine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Prilivi po osnovu prodaje ove imovine ili naplate glavnice dužničkih instrumenata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1.9.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ulaganja u nekretnine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kupovine nekretnina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Prilivi od prodaje nekretnina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Prilivi po osnovu prodaje nekretnina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plaćenih naknada društvu za upravljanje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plaćenih naknada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plaćenih transakcijskih troškova pri kupovini i prodaji ulaganja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plaćenih troškova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plaćenih naknada Registru vrijednosnih papira FBiH i Komisiji za vrijednosne papire FBiH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plaćenih naknada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plaćenih naknada depozitaru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plaćenih naknada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plaćenih naknada berzi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plaćenih naknada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plaćenih naknada članovima Nadzornog odbora i direktoru fonda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plaćenih naknada i primanja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plaćenog poreza na dobit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plaćenog poreza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Ostali prilivi iz poslovnih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Svi ostali prilivi, koji nisu uključeni u prethodno spomenute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Ostali odlivi iz poslovnih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Svi ostali odlivi, koji nisu uključeni u prethodno spomenute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Neto gotovinski tok koji je generisan/(korišten) u poslovnim aktivnostima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GOTOVINSKI TOKOVI IZ FINANSIJSKIH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Prilivi po osnovu izdatih udjela/dionica Fonda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Prilivi od uplaćenih udjela / emitovanih dionica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povlačenja udjela/dionica Fonda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od isplaćenih udjela / dionica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Sticanje vlastitih dionica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kupovine vlastitih dionica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isplaćenih dividendi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Odlivi po osnovu dividendi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Ostali prilivi iz finansijskih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Svi ostali prilivi, koji nisu uključeni u prethodno spomenute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Ostali odlivi iz finansijskih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Svi ostali odlivi, koji nisu uključeni u prethodno spomenute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Neto gotovinski tok koji je generisan/(korišten) u finansijskim aktivnostima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NETO POVEĆANJE / (SMANJENJE) GOTOVINE I GOTOVINSKIH EKVIVALENATA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GOTOVINA I GOTOVINSKI EKVIVALENTI NA POČETKU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EFEKTI PROMJENE DEVIZNIH KURSEVA GOTOVINE I GOTOVINSKIH EKVIVALENATA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C231E" w:rsidRPr="002C231E" w:rsidTr="002C2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F.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GOTOVINA I GOTOVINSKI EKVIVALENTI NA KRAJU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31E" w:rsidRPr="002C231E" w:rsidRDefault="002C231E" w:rsidP="002C231E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C231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</w:tbl>
    <w:p w:rsidR="002C231E" w:rsidRPr="002C231E" w:rsidRDefault="002C231E" w:rsidP="002C231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8" w:name="str_7"/>
      <w:bookmarkEnd w:id="18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Odjeljak E. Bilješke uz finansijske izvještaje</w:t>
      </w:r>
    </w:p>
    <w:p w:rsidR="002C231E" w:rsidRPr="002C231E" w:rsidRDefault="002C231E" w:rsidP="0098169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19" w:name="clan_12"/>
      <w:bookmarkEnd w:id="19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12</w:t>
      </w:r>
      <w:r w:rsidR="0098169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231E" w:rsidRPr="002C231E" w:rsidRDefault="002C231E" w:rsidP="0098169D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(Sadržaj bilješki)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(1) Pored obrazaca, (uključujući i Izvještaj o promjenama na kapitalu koji je propisan posebnim pravilnikom) investicijski fondovi trebaju pripremiti i bilješke uz obrasce.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(2) Bilješke sadrže dopunske informacije (tekstualni opis ili raščlanjivanje) za materijalno značajne stavke prezentirane u Izvještaju o finansijskom položaju na kraju perioda, Izvještaju o ukupnom rezultatu za period, Izvještaju o promjenama neto imovine i Izvještaju o tokovima gotovine.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(3) U bilješkama se, uz zahtjeve propisane članom 37. st. (3) i (4) Zakona o računovodstvu i reviziji u Federaciji Bosne i Hercegovine ("Službene novine Federacije BiH", broj 15/21) prezentiraju: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a) informacije o osnovi za sastavljanje obrazaca i primijenjenim računovodstvenim politikama,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b) objavljuju informacije koje zahtijevaju MSFI u vezi s pozicijama koje investicijski fondovi imaju u svojim obrascima, a koje nisu detaljno prikazane na obrascima i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c) pružaju dodatne informacije koje nisu prezentirane u obrascima, ali su relevantne za njihovo razumijevanje.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(4) U obrascima Izvještaj o finansijskom položaju na kraju perioda, Izvještaj o ukupnom rezultatu za period i Izvještaj o tokovima gotovine, u koloni 3, unose se brojevi napomena za materijalno značajne stavke iz obrazaca na koje se te bilješke i odnose.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(5) Bilješke se moraju prezentirati sistematski, koliko god je to moguće.</w:t>
      </w:r>
    </w:p>
    <w:p w:rsidR="002C231E" w:rsidRPr="002C231E" w:rsidRDefault="002C231E" w:rsidP="002C23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0" w:name="str_8"/>
      <w:bookmarkEnd w:id="20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Poglavlje III. Prijelazne i završne odredbe</w:t>
      </w:r>
    </w:p>
    <w:p w:rsidR="002C231E" w:rsidRPr="002C231E" w:rsidRDefault="002C231E" w:rsidP="0098169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1" w:name="clan_13"/>
      <w:bookmarkEnd w:id="21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13</w:t>
      </w:r>
      <w:r w:rsidR="0098169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231E" w:rsidRPr="002C231E" w:rsidRDefault="002C231E" w:rsidP="0098169D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(Primjena Izvještaja)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Danom početka primjene ovog pravilnika prestaje primjena odgovarajućih obrazaca iz Pravilnika o kontnom okviru, sadržaju računa u kontnom okviru i sadržaju i formi finansijskih izvještaja za investicione fondove ("Službene novine Federacije BiH", br. 82/10 i 3/21).</w:t>
      </w:r>
    </w:p>
    <w:p w:rsidR="002C231E" w:rsidRPr="002C231E" w:rsidRDefault="002C231E" w:rsidP="0098169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22" w:name="clan_14"/>
      <w:bookmarkEnd w:id="22"/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Član 14</w:t>
      </w:r>
      <w:r w:rsidR="0098169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</w:t>
      </w:r>
    </w:p>
    <w:p w:rsidR="002C231E" w:rsidRPr="002C231E" w:rsidRDefault="002C231E" w:rsidP="0098169D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(Stupanje na snagu)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Ovaj pravilnik stupa na snagu narednog dana od dana objavljivanja u "Službenim novinama Federacije BiH", a primjenjivat će se počev od finansijskih izvještaja za periode koji počinju 01. januara 2022. godine i nakon toga.</w:t>
      </w:r>
    </w:p>
    <w:p w:rsidR="002C231E" w:rsidRPr="002C231E" w:rsidRDefault="002C231E" w:rsidP="002C231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C231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</w:p>
    <w:p w:rsidR="002B0971" w:rsidRDefault="002B0971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  <w:r w:rsidRPr="0098169D">
        <w:rPr>
          <w:noProof/>
          <w:sz w:val="24"/>
          <w:szCs w:val="24"/>
        </w:rPr>
        <w:lastRenderedPageBreak/>
        <w:drawing>
          <wp:inline distT="0" distB="0" distL="0" distR="0">
            <wp:extent cx="5727101" cy="8101449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  <w:r w:rsidRPr="0098169D">
        <w:rPr>
          <w:noProof/>
          <w:sz w:val="24"/>
          <w:szCs w:val="24"/>
        </w:rPr>
        <w:lastRenderedPageBreak/>
        <w:drawing>
          <wp:inline distT="0" distB="0" distL="0" distR="0">
            <wp:extent cx="5727101" cy="8101449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  <w:r w:rsidRPr="0098169D">
        <w:rPr>
          <w:noProof/>
          <w:sz w:val="24"/>
          <w:szCs w:val="24"/>
        </w:rPr>
        <w:lastRenderedPageBreak/>
        <w:drawing>
          <wp:inline distT="0" distB="0" distL="0" distR="0">
            <wp:extent cx="5727101" cy="8101449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  <w:r w:rsidRPr="0098169D">
        <w:rPr>
          <w:noProof/>
          <w:sz w:val="24"/>
          <w:szCs w:val="24"/>
        </w:rPr>
        <w:lastRenderedPageBreak/>
        <w:drawing>
          <wp:inline distT="0" distB="0" distL="0" distR="0">
            <wp:extent cx="5727101" cy="8101449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  <w:r w:rsidRPr="0098169D">
        <w:rPr>
          <w:noProof/>
          <w:sz w:val="24"/>
          <w:szCs w:val="24"/>
        </w:rPr>
        <w:lastRenderedPageBreak/>
        <w:drawing>
          <wp:inline distT="0" distB="0" distL="0" distR="0">
            <wp:extent cx="5727101" cy="8101449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  <w:r w:rsidRPr="0098169D">
        <w:rPr>
          <w:noProof/>
          <w:sz w:val="24"/>
          <w:szCs w:val="24"/>
        </w:rPr>
        <w:lastRenderedPageBreak/>
        <w:drawing>
          <wp:inline distT="0" distB="0" distL="0" distR="0">
            <wp:extent cx="5727101" cy="8101449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  <w:r w:rsidRPr="0098169D">
        <w:rPr>
          <w:noProof/>
          <w:sz w:val="24"/>
          <w:szCs w:val="24"/>
        </w:rPr>
        <w:lastRenderedPageBreak/>
        <w:drawing>
          <wp:inline distT="0" distB="0" distL="0" distR="0">
            <wp:extent cx="5727101" cy="8101449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  <w:r w:rsidRPr="0098169D">
        <w:rPr>
          <w:noProof/>
          <w:sz w:val="24"/>
          <w:szCs w:val="24"/>
        </w:rPr>
        <w:lastRenderedPageBreak/>
        <w:drawing>
          <wp:inline distT="0" distB="0" distL="0" distR="0">
            <wp:extent cx="5727101" cy="8101449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</w:p>
    <w:p w:rsidR="0098169D" w:rsidRDefault="0098169D" w:rsidP="002C231E">
      <w:pPr>
        <w:jc w:val="both"/>
        <w:rPr>
          <w:sz w:val="24"/>
          <w:szCs w:val="24"/>
        </w:rPr>
      </w:pPr>
      <w:r w:rsidRPr="0098169D">
        <w:rPr>
          <w:noProof/>
          <w:sz w:val="24"/>
          <w:szCs w:val="24"/>
        </w:rPr>
        <w:lastRenderedPageBreak/>
        <w:drawing>
          <wp:inline distT="0" distB="0" distL="0" distR="0">
            <wp:extent cx="5727101" cy="8101449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69D" w:rsidRPr="002C231E" w:rsidRDefault="0098169D" w:rsidP="002C231E">
      <w:pPr>
        <w:jc w:val="both"/>
        <w:rPr>
          <w:sz w:val="24"/>
          <w:szCs w:val="24"/>
        </w:rPr>
      </w:pPr>
    </w:p>
    <w:sectPr w:rsidR="0098169D" w:rsidRPr="002C23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1E"/>
    <w:rsid w:val="002B0971"/>
    <w:rsid w:val="002C231E"/>
    <w:rsid w:val="003D758F"/>
    <w:rsid w:val="007C1021"/>
    <w:rsid w:val="0098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8BB3F"/>
  <w15:chartTrackingRefBased/>
  <w15:docId w15:val="{BAD22CC6-564B-47AA-A90C-BF32BABD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C23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C231E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2C231E"/>
  </w:style>
  <w:style w:type="paragraph" w:customStyle="1" w:styleId="msonormal0">
    <w:name w:val="msonormal"/>
    <w:basedOn w:val="Normal"/>
    <w:rsid w:val="002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odnaslovpropisa">
    <w:name w:val="podnaslovpropisa"/>
    <w:basedOn w:val="Normal"/>
    <w:rsid w:val="002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alprored">
    <w:name w:val="normalprored"/>
    <w:basedOn w:val="Normal"/>
    <w:rsid w:val="002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yq080---odsek">
    <w:name w:val="wyq080---odsek"/>
    <w:basedOn w:val="Normal"/>
    <w:rsid w:val="002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lan">
    <w:name w:val="clan"/>
    <w:basedOn w:val="Normal"/>
    <w:rsid w:val="002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alboldcentar">
    <w:name w:val="normalboldcentar"/>
    <w:basedOn w:val="Normal"/>
    <w:rsid w:val="002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al1">
    <w:name w:val="Normal1"/>
    <w:basedOn w:val="Normal"/>
    <w:rsid w:val="002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yq110---naslov-clana">
    <w:name w:val="wyq110---naslov-clana"/>
    <w:basedOn w:val="Normal"/>
    <w:rsid w:val="002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C23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231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9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7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9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69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203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6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9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4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32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1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6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3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42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4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5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7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7669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834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7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87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1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3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7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1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39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5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8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6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3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14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79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7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6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3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4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1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32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0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6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9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4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9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4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9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5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68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20</Pages>
  <Words>3203</Words>
  <Characters>18261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Lejla Begic</cp:lastModifiedBy>
  <cp:revision>2</cp:revision>
  <dcterms:created xsi:type="dcterms:W3CDTF">2023-11-17T08:43:00Z</dcterms:created>
  <dcterms:modified xsi:type="dcterms:W3CDTF">2023-11-24T13:07:00Z</dcterms:modified>
</cp:coreProperties>
</file>