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34A" w:rsidRPr="0071634A" w:rsidRDefault="0071634A" w:rsidP="0071634A">
      <w:pPr>
        <w:shd w:val="clear" w:color="auto" w:fill="FFFFFF"/>
        <w:spacing w:after="0" w:line="240" w:lineRule="auto"/>
        <w:rPr>
          <w:rFonts w:ascii="Arial" w:eastAsia="Times New Roman" w:hAnsi="Arial" w:cs="Arial"/>
          <w:color w:val="000000"/>
          <w:sz w:val="21"/>
          <w:szCs w:val="21"/>
          <w:lang w:eastAsia="en-GB"/>
        </w:rPr>
      </w:pPr>
      <w:r w:rsidRPr="0071634A">
        <w:rPr>
          <w:rFonts w:ascii="Arial" w:eastAsia="Times New Roman" w:hAnsi="Arial" w:cs="Arial"/>
          <w:color w:val="000000"/>
          <w:sz w:val="21"/>
          <w:szCs w:val="21"/>
          <w:lang w:eastAsia="en-GB"/>
        </w:rPr>
        <w:t> </w:t>
      </w:r>
    </w:p>
    <w:p w:rsidR="00D1040C" w:rsidRPr="00D1040C" w:rsidRDefault="00D1040C" w:rsidP="00D1040C">
      <w:pPr>
        <w:jc w:val="center"/>
        <w:rPr>
          <w:rFonts w:ascii="Arial" w:hAnsi="Arial" w:cs="Arial"/>
          <w:b/>
          <w:bCs/>
          <w:sz w:val="24"/>
          <w:szCs w:val="24"/>
        </w:rPr>
      </w:pPr>
      <w:bookmarkStart w:id="0" w:name="str_1"/>
      <w:bookmarkEnd w:id="0"/>
      <w:r w:rsidRPr="00D1040C">
        <w:rPr>
          <w:rFonts w:ascii="Arial" w:hAnsi="Arial" w:cs="Arial"/>
          <w:b/>
          <w:bCs/>
          <w:sz w:val="24"/>
          <w:szCs w:val="24"/>
        </w:rPr>
        <w:t>PRAVILNIK</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O SADRŽAJU I FORMI FINANSIJSKIH IZVJEŠTAJA ZA BANKE I DRUGE FINANSIJSKE ORGANIZACIJE</w:t>
      </w:r>
    </w:p>
    <w:p w:rsidR="00D1040C" w:rsidRPr="00D1040C" w:rsidRDefault="00D1040C" w:rsidP="00D1040C">
      <w:pPr>
        <w:jc w:val="center"/>
        <w:rPr>
          <w:rFonts w:ascii="Arial" w:hAnsi="Arial" w:cs="Arial"/>
          <w:b/>
          <w:bCs/>
          <w:i/>
          <w:iCs/>
          <w:sz w:val="24"/>
          <w:szCs w:val="24"/>
        </w:rPr>
      </w:pPr>
      <w:r w:rsidRPr="00D1040C">
        <w:rPr>
          <w:rFonts w:ascii="Arial" w:hAnsi="Arial" w:cs="Arial"/>
          <w:b/>
          <w:bCs/>
          <w:i/>
          <w:iCs/>
          <w:sz w:val="24"/>
          <w:szCs w:val="24"/>
        </w:rPr>
        <w:t>("Sl. novine FBiH", br. 81/2021, 102/2022 i 99/2023)</w:t>
      </w:r>
    </w:p>
    <w:p w:rsidR="00D1040C" w:rsidRPr="00D1040C" w:rsidRDefault="00D1040C" w:rsidP="00D1040C">
      <w:pPr>
        <w:numPr>
          <w:ilvl w:val="0"/>
          <w:numId w:val="2"/>
        </w:numPr>
        <w:contextualSpacing/>
        <w:jc w:val="center"/>
        <w:rPr>
          <w:rFonts w:ascii="Arial" w:hAnsi="Arial" w:cs="Arial"/>
          <w:b/>
          <w:sz w:val="24"/>
          <w:szCs w:val="24"/>
        </w:rPr>
      </w:pPr>
      <w:r w:rsidRPr="00D1040C">
        <w:rPr>
          <w:rFonts w:ascii="Arial" w:hAnsi="Arial" w:cs="Arial"/>
          <w:b/>
          <w:sz w:val="24"/>
          <w:szCs w:val="24"/>
        </w:rPr>
        <w:t>prečišćena neslužbena verzija -</w:t>
      </w:r>
    </w:p>
    <w:p w:rsidR="00D1040C" w:rsidRPr="00D1040C" w:rsidRDefault="00D1040C" w:rsidP="00D1040C">
      <w:pPr>
        <w:jc w:val="both"/>
        <w:rPr>
          <w:rFonts w:ascii="Arial" w:hAnsi="Arial" w:cs="Arial"/>
          <w:b/>
          <w:sz w:val="24"/>
          <w:szCs w:val="24"/>
        </w:rPr>
      </w:pPr>
    </w:p>
    <w:p w:rsidR="00D1040C" w:rsidRPr="00D1040C" w:rsidRDefault="00D1040C" w:rsidP="00D1040C">
      <w:pPr>
        <w:jc w:val="both"/>
        <w:rPr>
          <w:rFonts w:ascii="Arial" w:hAnsi="Arial" w:cs="Arial"/>
          <w:b/>
          <w:sz w:val="24"/>
          <w:szCs w:val="24"/>
        </w:rPr>
      </w:pPr>
      <w:r w:rsidRPr="00D1040C">
        <w:rPr>
          <w:rFonts w:ascii="Arial" w:hAnsi="Arial" w:cs="Arial"/>
          <w:b/>
          <w:sz w:val="24"/>
          <w:szCs w:val="24"/>
        </w:rPr>
        <w:t>Poglavlje I. Opće odredbe</w:t>
      </w:r>
    </w:p>
    <w:p w:rsidR="00D1040C" w:rsidRPr="00D1040C" w:rsidRDefault="00D1040C" w:rsidP="00D1040C">
      <w:pPr>
        <w:jc w:val="center"/>
        <w:rPr>
          <w:rFonts w:ascii="Arial" w:hAnsi="Arial" w:cs="Arial"/>
          <w:b/>
          <w:bCs/>
          <w:sz w:val="24"/>
          <w:szCs w:val="24"/>
        </w:rPr>
      </w:pPr>
      <w:bookmarkStart w:id="1" w:name="clan_1"/>
      <w:bookmarkEnd w:id="1"/>
      <w:r w:rsidRPr="00D1040C">
        <w:rPr>
          <w:rFonts w:ascii="Arial" w:hAnsi="Arial" w:cs="Arial"/>
          <w:b/>
          <w:bCs/>
          <w:sz w:val="24"/>
          <w:szCs w:val="24"/>
        </w:rPr>
        <w:t>Član 1.</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(Predmet Pravilnika)</w:t>
      </w:r>
    </w:p>
    <w:p w:rsidR="00D1040C" w:rsidRPr="00D1040C" w:rsidRDefault="00D1040C" w:rsidP="00D1040C">
      <w:pPr>
        <w:jc w:val="both"/>
        <w:rPr>
          <w:rFonts w:ascii="Arial" w:hAnsi="Arial" w:cs="Arial"/>
          <w:sz w:val="24"/>
          <w:szCs w:val="24"/>
        </w:rPr>
      </w:pPr>
      <w:r w:rsidRPr="00D1040C">
        <w:rPr>
          <w:rFonts w:ascii="Arial" w:hAnsi="Arial" w:cs="Arial"/>
          <w:sz w:val="24"/>
          <w:szCs w:val="24"/>
        </w:rPr>
        <w:t>(1) Ovim pravilnikom propisuju se obrasci i sadržaj pozicija u obrascima za banke i druge finansijske organizacije:</w:t>
      </w:r>
    </w:p>
    <w:p w:rsidR="00D1040C" w:rsidRPr="00D1040C" w:rsidRDefault="00D1040C" w:rsidP="00D1040C">
      <w:pPr>
        <w:jc w:val="both"/>
        <w:rPr>
          <w:rFonts w:ascii="Arial" w:hAnsi="Arial" w:cs="Arial"/>
          <w:sz w:val="24"/>
          <w:szCs w:val="24"/>
        </w:rPr>
      </w:pPr>
      <w:r w:rsidRPr="00D1040C">
        <w:rPr>
          <w:rFonts w:ascii="Arial" w:hAnsi="Arial" w:cs="Arial"/>
          <w:sz w:val="24"/>
          <w:szCs w:val="24"/>
        </w:rPr>
        <w:t>a) Izvještaj o finansijskom položaju na kraju perioda (Bilans stanja),</w:t>
      </w:r>
    </w:p>
    <w:p w:rsidR="00D1040C" w:rsidRPr="00D1040C" w:rsidRDefault="00D1040C" w:rsidP="00D1040C">
      <w:pPr>
        <w:jc w:val="both"/>
        <w:rPr>
          <w:rFonts w:ascii="Arial" w:hAnsi="Arial" w:cs="Arial"/>
          <w:sz w:val="24"/>
          <w:szCs w:val="24"/>
        </w:rPr>
      </w:pPr>
      <w:r w:rsidRPr="00D1040C">
        <w:rPr>
          <w:rFonts w:ascii="Arial" w:hAnsi="Arial" w:cs="Arial"/>
          <w:sz w:val="24"/>
          <w:szCs w:val="24"/>
        </w:rPr>
        <w:t>b) Izvještaj o ukupnom rezultatu za period (Bilans uspjeha), i</w:t>
      </w:r>
    </w:p>
    <w:p w:rsidR="00D1040C" w:rsidRPr="00D1040C" w:rsidRDefault="00D1040C" w:rsidP="00D1040C">
      <w:pPr>
        <w:jc w:val="both"/>
        <w:rPr>
          <w:rFonts w:ascii="Arial" w:hAnsi="Arial" w:cs="Arial"/>
          <w:sz w:val="24"/>
          <w:szCs w:val="24"/>
        </w:rPr>
      </w:pPr>
      <w:r w:rsidRPr="00D1040C">
        <w:rPr>
          <w:rFonts w:ascii="Arial" w:hAnsi="Arial" w:cs="Arial"/>
          <w:sz w:val="24"/>
          <w:szCs w:val="24"/>
        </w:rPr>
        <w:t>c) Izvještaj o tokovima gotovine (Izvještaj o gotovinskim tokovima), (u daljem tekstu zajedno: "obrasci"),</w:t>
      </w:r>
    </w:p>
    <w:p w:rsidR="00D1040C" w:rsidRPr="00D1040C" w:rsidRDefault="00D1040C" w:rsidP="00D1040C">
      <w:pPr>
        <w:jc w:val="both"/>
        <w:rPr>
          <w:rFonts w:ascii="Arial" w:hAnsi="Arial" w:cs="Arial"/>
          <w:sz w:val="24"/>
          <w:szCs w:val="24"/>
        </w:rPr>
      </w:pPr>
      <w:r w:rsidRPr="00D1040C">
        <w:rPr>
          <w:rFonts w:ascii="Arial" w:hAnsi="Arial" w:cs="Arial"/>
          <w:sz w:val="24"/>
          <w:szCs w:val="24"/>
        </w:rPr>
        <w:t>kao i sadržaj bilješki uz finansijske izvještaje.</w:t>
      </w:r>
    </w:p>
    <w:p w:rsidR="00D1040C" w:rsidRPr="00D1040C" w:rsidRDefault="00D1040C" w:rsidP="00D1040C">
      <w:pPr>
        <w:jc w:val="both"/>
        <w:rPr>
          <w:rFonts w:ascii="Arial" w:hAnsi="Arial" w:cs="Arial"/>
          <w:sz w:val="24"/>
          <w:szCs w:val="24"/>
        </w:rPr>
      </w:pPr>
      <w:r w:rsidRPr="00D1040C">
        <w:rPr>
          <w:rFonts w:ascii="Arial" w:hAnsi="Arial" w:cs="Arial"/>
          <w:sz w:val="24"/>
          <w:szCs w:val="24"/>
        </w:rPr>
        <w:t>(2) Obrasci iz stava (1) ovog člana nalaze se u prilozima 1., 1a., 2. i 3. ovog pravilnika, koji sadrže jednodimenzionalni bar kod i čine njegov sastavni dio.</w:t>
      </w:r>
    </w:p>
    <w:p w:rsidR="00D1040C" w:rsidRPr="00D1040C" w:rsidRDefault="00D1040C" w:rsidP="00D1040C">
      <w:pPr>
        <w:jc w:val="both"/>
        <w:rPr>
          <w:rFonts w:ascii="Arial" w:hAnsi="Arial" w:cs="Arial"/>
          <w:b/>
          <w:sz w:val="24"/>
          <w:szCs w:val="24"/>
        </w:rPr>
      </w:pPr>
      <w:bookmarkStart w:id="2" w:name="str_2"/>
      <w:bookmarkEnd w:id="2"/>
      <w:r w:rsidRPr="00D1040C">
        <w:rPr>
          <w:rFonts w:ascii="Arial" w:hAnsi="Arial" w:cs="Arial"/>
          <w:b/>
          <w:sz w:val="24"/>
          <w:szCs w:val="24"/>
        </w:rPr>
        <w:t>Poglavlje II. Obrasci</w:t>
      </w:r>
    </w:p>
    <w:p w:rsidR="00D1040C" w:rsidRPr="00D1040C" w:rsidRDefault="00D1040C" w:rsidP="00D1040C">
      <w:pPr>
        <w:jc w:val="center"/>
        <w:rPr>
          <w:rFonts w:ascii="Arial" w:hAnsi="Arial" w:cs="Arial"/>
          <w:b/>
          <w:bCs/>
          <w:sz w:val="24"/>
          <w:szCs w:val="24"/>
        </w:rPr>
      </w:pPr>
      <w:bookmarkStart w:id="3" w:name="clan_2"/>
      <w:bookmarkEnd w:id="3"/>
      <w:r w:rsidRPr="00D1040C">
        <w:rPr>
          <w:rFonts w:ascii="Arial" w:hAnsi="Arial" w:cs="Arial"/>
          <w:b/>
          <w:bCs/>
          <w:sz w:val="24"/>
          <w:szCs w:val="24"/>
        </w:rPr>
        <w:t>Član 2.</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(Sadržaj obrazaca)</w:t>
      </w:r>
    </w:p>
    <w:p w:rsidR="00D1040C" w:rsidRPr="00D1040C" w:rsidRDefault="00D1040C" w:rsidP="00D1040C">
      <w:pPr>
        <w:jc w:val="both"/>
        <w:rPr>
          <w:rFonts w:ascii="Arial" w:hAnsi="Arial" w:cs="Arial"/>
          <w:sz w:val="24"/>
          <w:szCs w:val="24"/>
        </w:rPr>
      </w:pPr>
      <w:r w:rsidRPr="00D1040C">
        <w:rPr>
          <w:rFonts w:ascii="Arial" w:hAnsi="Arial" w:cs="Arial"/>
          <w:sz w:val="24"/>
          <w:szCs w:val="24"/>
        </w:rPr>
        <w:t>(1) Sadržaj pozicija obrazaca je definiran uputstvima u čl. 4., 7., 9., 10. i 11. ovog pravilnika.</w:t>
      </w:r>
    </w:p>
    <w:p w:rsidR="00D1040C" w:rsidRPr="00D1040C" w:rsidRDefault="00D1040C" w:rsidP="00D1040C">
      <w:pPr>
        <w:jc w:val="both"/>
        <w:rPr>
          <w:rFonts w:ascii="Arial" w:hAnsi="Arial" w:cs="Arial"/>
          <w:sz w:val="24"/>
          <w:szCs w:val="24"/>
        </w:rPr>
      </w:pPr>
      <w:r w:rsidRPr="00D1040C">
        <w:rPr>
          <w:rFonts w:ascii="Arial" w:hAnsi="Arial" w:cs="Arial"/>
          <w:sz w:val="24"/>
          <w:szCs w:val="24"/>
        </w:rPr>
        <w:t>(2) U obrasce se upisuju iznosi u konvertibilnim markama, bez decimalnih mjesta.</w:t>
      </w:r>
    </w:p>
    <w:p w:rsidR="00D1040C" w:rsidRPr="00D1040C" w:rsidRDefault="00D1040C" w:rsidP="00D1040C">
      <w:pPr>
        <w:jc w:val="both"/>
        <w:rPr>
          <w:rFonts w:ascii="Arial" w:hAnsi="Arial" w:cs="Arial"/>
          <w:b/>
          <w:bCs/>
          <w:sz w:val="24"/>
          <w:szCs w:val="24"/>
        </w:rPr>
      </w:pPr>
      <w:bookmarkStart w:id="4" w:name="str_3"/>
      <w:bookmarkEnd w:id="4"/>
      <w:r w:rsidRPr="00D1040C">
        <w:rPr>
          <w:rFonts w:ascii="Arial" w:hAnsi="Arial" w:cs="Arial"/>
          <w:b/>
          <w:bCs/>
          <w:sz w:val="24"/>
          <w:szCs w:val="24"/>
        </w:rPr>
        <w:t>Odjeljak A. Izvještaj o finansijskom položaju na kraju perioda</w:t>
      </w:r>
    </w:p>
    <w:p w:rsidR="00D1040C" w:rsidRPr="00D1040C" w:rsidRDefault="00D1040C" w:rsidP="00D1040C">
      <w:pPr>
        <w:jc w:val="center"/>
        <w:rPr>
          <w:rFonts w:ascii="Arial" w:hAnsi="Arial" w:cs="Arial"/>
          <w:b/>
          <w:bCs/>
          <w:sz w:val="24"/>
          <w:szCs w:val="24"/>
        </w:rPr>
      </w:pPr>
      <w:bookmarkStart w:id="5" w:name="clan_3"/>
      <w:bookmarkEnd w:id="5"/>
      <w:r w:rsidRPr="00D1040C">
        <w:rPr>
          <w:rFonts w:ascii="Arial" w:hAnsi="Arial" w:cs="Arial"/>
          <w:b/>
          <w:bCs/>
          <w:sz w:val="24"/>
          <w:szCs w:val="24"/>
        </w:rPr>
        <w:t>Član 3.</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(Obrazac Izvještaj o finansijskom položaju na kraju perioda)</w:t>
      </w:r>
    </w:p>
    <w:p w:rsidR="00D1040C" w:rsidRPr="00D1040C" w:rsidRDefault="00D1040C" w:rsidP="00D1040C">
      <w:pPr>
        <w:jc w:val="both"/>
        <w:rPr>
          <w:rFonts w:ascii="Arial" w:hAnsi="Arial" w:cs="Arial"/>
          <w:sz w:val="24"/>
          <w:szCs w:val="24"/>
        </w:rPr>
      </w:pPr>
      <w:r w:rsidRPr="00D1040C">
        <w:rPr>
          <w:rFonts w:ascii="Arial" w:hAnsi="Arial" w:cs="Arial"/>
          <w:sz w:val="24"/>
          <w:szCs w:val="24"/>
        </w:rPr>
        <w:t>(1) Prilikom izrade finansijskog izvještaja, uključujući i izradu finansijskog izvještaja u slučaju nastanka statusnih promjena, promjene pravne forme ili prodaje banke ili druge finansijske organizacije, otvaranja postupka likvidacije ili postupka stečaja, u obrazac Izvještaj o finansijskom položaju na kraju perioda banka ili druga finansijska organizacija unosi podatke, u kolone 5 i 6, pod oznakom AOP 001 do AOP 030 za imovinu i AOP 101 do AOP 142 za obaveze i kapital (kolona 4), a prema sadržaju pozicija kolone 2 definiranim u članu 4. ovog pravilnika.</w:t>
      </w:r>
    </w:p>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(2) U kolonu 6 obrasca unose se podaci iz kolone 5 iz obrasca za prethodni obračunski period (početno stanje), dok se podaci u koloni 5 unose preuzimanjem zatvorenih salda sa konta na kraju tekuće godine, odnosno na kraju obračunskog perioda za koji se priprema finansijski izvještaj.</w:t>
      </w:r>
    </w:p>
    <w:p w:rsidR="00D1040C" w:rsidRPr="00D1040C" w:rsidRDefault="00D1040C" w:rsidP="00D1040C">
      <w:pPr>
        <w:jc w:val="both"/>
        <w:rPr>
          <w:rFonts w:ascii="Arial" w:hAnsi="Arial" w:cs="Arial"/>
          <w:sz w:val="24"/>
          <w:szCs w:val="24"/>
        </w:rPr>
      </w:pPr>
      <w:r w:rsidRPr="00D1040C">
        <w:rPr>
          <w:rFonts w:ascii="Arial" w:hAnsi="Arial" w:cs="Arial"/>
          <w:sz w:val="24"/>
          <w:szCs w:val="24"/>
        </w:rPr>
        <w:t>(3) Ako su podaci u koloni 5 iz prethodne godine korigovani u skladu sa računovodstvenim i drugim propisima, u kolonu 6 unose se tako korigovani podaci.</w:t>
      </w:r>
    </w:p>
    <w:p w:rsidR="00D1040C" w:rsidRPr="00D1040C" w:rsidRDefault="00D1040C" w:rsidP="00D1040C">
      <w:pPr>
        <w:jc w:val="center"/>
        <w:rPr>
          <w:rFonts w:ascii="Arial" w:hAnsi="Arial" w:cs="Arial"/>
          <w:b/>
          <w:bCs/>
          <w:sz w:val="24"/>
          <w:szCs w:val="24"/>
        </w:rPr>
      </w:pPr>
      <w:bookmarkStart w:id="6" w:name="clan_4"/>
      <w:bookmarkEnd w:id="6"/>
      <w:r w:rsidRPr="00D1040C">
        <w:rPr>
          <w:rFonts w:ascii="Arial" w:hAnsi="Arial" w:cs="Arial"/>
          <w:b/>
          <w:bCs/>
          <w:sz w:val="24"/>
          <w:szCs w:val="24"/>
        </w:rPr>
        <w:t>Član 4.</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(Sadržaj pozicija obrasca Izvještaj o finansijskom položaju na kraju perioda)</w:t>
      </w:r>
    </w:p>
    <w:p w:rsidR="00D1040C" w:rsidRPr="00D1040C" w:rsidRDefault="00D1040C" w:rsidP="00D1040C">
      <w:pPr>
        <w:jc w:val="both"/>
        <w:rPr>
          <w:rFonts w:ascii="Arial" w:hAnsi="Arial" w:cs="Arial"/>
          <w:sz w:val="24"/>
          <w:szCs w:val="24"/>
        </w:rPr>
      </w:pPr>
      <w:r w:rsidRPr="00D1040C">
        <w:rPr>
          <w:rFonts w:ascii="Arial" w:hAnsi="Arial" w:cs="Arial"/>
          <w:sz w:val="24"/>
          <w:szCs w:val="24"/>
        </w:rPr>
        <w:t>Prilikom popunjavanja obrasca Izvještaj o finansijskom položaju na kraju perioda, banka ili druga finansijska organizacija unosi podatke u kolone 5 i 6 u skladu sa sljedećim sadržajem pozicija kolone 2:</w:t>
      </w:r>
    </w:p>
    <w:tbl>
      <w:tblPr>
        <w:tblW w:w="0"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621"/>
        <w:gridCol w:w="1431"/>
        <w:gridCol w:w="776"/>
        <w:gridCol w:w="6182"/>
      </w:tblGrid>
      <w:tr w:rsidR="00D1040C" w:rsidRPr="00D1040C" w:rsidTr="00D05488">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Redni broj</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Pozicija</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Oznaka za AOP</w:t>
            </w:r>
          </w:p>
        </w:tc>
        <w:tc>
          <w:tcPr>
            <w:tcW w:w="3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Grupa / konto koje treba uključiti</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IMOVINA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Gotovina i gotovinski ekvivalenti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20 (isključujući konto 202), 184, konto 204 (analitička konta koja se odnose na novčana sredstva na tekućim računima kod poslovnih banaka, kao i oročena sredstva na tekućim računima kod poslovnih banaka do 30 dana), 21, 22, 264 (analitička konta koja se odnose na ovu finansijsku imovinu), 290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koja se drže radi trgovanja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232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za koju je izabrano da se ne mjeri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232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koja se nije kvalifikovala za mjerenje po amortizovanom trošku, niti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233, Grupa: 10 (bez konta 106, 107), 11 (bez konta 116, 117), 12 (bez konta 126, 127), 13 (bez konta 136, 137), 14 (bez konta 146, 147), 15 (bez konta 156, 157), 16 (bez konta 167), 264 (analitička konta koja se odnose na finansijsku ovu imovinu), 30 (bez konta 306, 307), 31 (bez konta 316, 317), 32 (bez konta 326, 327), 33 (bez konta 336, 337), 34 (bez konta 346, 347), 35 (bez konta 356, 357), 36 (bez konta 367), Konto: 180, 181, 185, 186, 187, 189, 464 (analitička konta koja se odnose na ovu imovinu), 660, 661 (samo razgraničene naknade za obradu kredita), 760, 761 (samo razgraničene naknade za obradu kredita) -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Ulaganja u instrumente kapitala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40</w:t>
            </w:r>
            <w:r w:rsidRPr="00D1040C">
              <w:rPr>
                <w:rFonts w:ascii="Arial" w:hAnsi="Arial" w:cs="Arial"/>
                <w:sz w:val="18"/>
                <w:szCs w:val="18"/>
              </w:rPr>
              <w:br/>
              <w:t>Konto: 492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Dati krediti, vrijednosni papiri i ostali dužnički instrumenti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17, 25, 38, 42</w:t>
            </w:r>
            <w:r w:rsidRPr="00D1040C">
              <w:rPr>
                <w:rFonts w:ascii="Arial" w:hAnsi="Arial" w:cs="Arial"/>
                <w:sz w:val="18"/>
                <w:szCs w:val="18"/>
              </w:rPr>
              <w:br/>
              <w:t>Konto: 183,194, 231, 264 (analitička konta koja se odnose na ovu finansijsku imovinu), 291, 292 (analitička konta koja se odnose na finansijsku imovinu), 391, 464 (analitička konta koja se odnose na ovu imovinu), 491, 492 (analitička konta koja se odnose na ovu finansijsku imovinu); 66 i 76 (samo za razgraničene naknade za obradu kreditnih zahtjeva)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Finansijska imovina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Obavezna rezerva kod Centralne banke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202, 290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Depoziti kod drugih banaka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27, 47</w:t>
            </w:r>
            <w:r w:rsidRPr="00D1040C">
              <w:rPr>
                <w:rFonts w:ascii="Arial" w:hAnsi="Arial" w:cs="Arial"/>
                <w:sz w:val="18"/>
                <w:szCs w:val="18"/>
              </w:rPr>
              <w:br/>
              <w:t>Konto: 184 (analitička konta koja se odnose na kamate na oročene i a vista depozite preko 30 dana), 264 (analitička konta koja se odnose na ovu finansijsku imovinu), 290 (analitička konta koja se odnose na ovu imovinu), 490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Krediti i potraživanja od klijenata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10 (bez konta 106, 107), 11 (bez konta 116, 117), 12 (bez konta 126, 127), 13 (bez konta 136, 137), 14 (bez konta 146, 147), 15 (bez konta 156, 157), 16 (bez konta 167), 264 (analitička konta koja se odnose na ovu finansijsku imovinu), 30 (bez konta 306, 307), 31 (bez konta 316, 317), 32 (bez konta 326, 327), 33 (bez konta 336, 337), 34 (bez konta 346, 347), 35 (bez konta 356, 357), 36 (bez konta 367)</w:t>
            </w:r>
            <w:r w:rsidRPr="00D1040C">
              <w:rPr>
                <w:rFonts w:ascii="Arial" w:hAnsi="Arial" w:cs="Arial"/>
                <w:sz w:val="18"/>
                <w:szCs w:val="18"/>
              </w:rPr>
              <w:br/>
              <w:t>Konto: 180, 181, 185, 186, 187, 189, 190, 191, 192, 193, 195, 390, 464 (analitička konta koja se odnose na ovu imovinu), 660, 661 (samo razgraničene naknade za obradu kredita), 760, 761 (samo razgraničene naknade za obradu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Ostala finansijska imovina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28 (analitička konta koja se odnose na finansijsku imovinu), 41</w:t>
            </w:r>
            <w:r w:rsidRPr="00D1040C">
              <w:rPr>
                <w:rFonts w:ascii="Arial" w:hAnsi="Arial" w:cs="Arial"/>
                <w:sz w:val="18"/>
                <w:szCs w:val="18"/>
              </w:rPr>
              <w:br/>
              <w:t>Konto: 182, 183, 191 (ispravka vrijednosti kamata koje se vrednuju po amortizovanom trošku), 192 (ispravka vrijednosti naknada koje se vrednuju po amortizovanom trošku), 230, 264 (analitička konta koja se odnose na ovu imovinu), 290 (analitička konta koja se odnose na ovu imovinu), 464 (analitička konta koja se odnose na ovu imovinu), 490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Potraživanja po finansijskim najmovima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37</w:t>
            </w:r>
            <w:r w:rsidRPr="00D1040C">
              <w:rPr>
                <w:rFonts w:ascii="Arial" w:hAnsi="Arial" w:cs="Arial"/>
                <w:sz w:val="18"/>
                <w:szCs w:val="18"/>
              </w:rPr>
              <w:br/>
              <w:t xml:space="preserve">Konto 190 (analitička konta koja se odnose na ovu imovinu), 191 (analitička konta koja se odnose na ovu imovinu), 290 (analitička konta koja se odnose na ovu imovinu), 390 (analitička konta koja se odnose na ovu imovinu), konto 464 (analitička konta koja se odnose na ovu imovinu), 469 (analitička </w:t>
            </w:r>
            <w:r w:rsidRPr="00D1040C">
              <w:rPr>
                <w:rFonts w:ascii="Arial" w:hAnsi="Arial" w:cs="Arial"/>
                <w:sz w:val="18"/>
                <w:szCs w:val="18"/>
              </w:rPr>
              <w:lastRenderedPageBreak/>
              <w:t>konta koja se odnose na ovu imovinu), 761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Derivatni finansijski instrumenti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24</w:t>
            </w:r>
            <w:r w:rsidRPr="00D1040C">
              <w:rPr>
                <w:rFonts w:ascii="Arial" w:hAnsi="Arial" w:cs="Arial"/>
                <w:sz w:val="18"/>
                <w:szCs w:val="18"/>
              </w:rPr>
              <w:br/>
              <w:t>Konto 264 (analitička konta koja se odnose na ovu imovinu), konto 464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Unaprijed plaćeni 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284 (neto nakon umanjenja za konto 683)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Odgođena porezna imovina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07</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Nekretnine postrojenja i oprema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010, 011, 012, 013, 014, 015, 016, 018, 019, 031, 033, 039, 080, 081, 090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Imovina s pravom korištenja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017, 083, 092</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Ulaganja u investicijske nekretnine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05</w:t>
            </w:r>
            <w:r w:rsidRPr="00D1040C">
              <w:rPr>
                <w:rFonts w:ascii="Arial" w:hAnsi="Arial" w:cs="Arial"/>
                <w:sz w:val="18"/>
                <w:szCs w:val="18"/>
              </w:rPr>
              <w:br/>
              <w:t>Konto: 085, 094, 095</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Nematerijalna imovina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020, 022, 023, 029, 032, 034, 082, 091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Goodwill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021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Ulaganja u zavisna društva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43</w:t>
            </w:r>
            <w:r w:rsidRPr="00D1040C">
              <w:rPr>
                <w:rFonts w:ascii="Arial" w:hAnsi="Arial" w:cs="Arial"/>
                <w:sz w:val="18"/>
                <w:szCs w:val="18"/>
              </w:rPr>
              <w:br/>
              <w:t>Konto 493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Ulaganja u pridružena društva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44</w:t>
            </w:r>
            <w:r w:rsidRPr="00D1040C">
              <w:rPr>
                <w:rFonts w:ascii="Arial" w:hAnsi="Arial" w:cs="Arial"/>
                <w:sz w:val="18"/>
                <w:szCs w:val="18"/>
              </w:rPr>
              <w:br/>
              <w:t>Konto 493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Ulaganja u zajedničke poduhvate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45</w:t>
            </w:r>
            <w:r w:rsidRPr="00D1040C">
              <w:rPr>
                <w:rFonts w:ascii="Arial" w:hAnsi="Arial" w:cs="Arial"/>
                <w:sz w:val="18"/>
                <w:szCs w:val="18"/>
              </w:rPr>
              <w:br/>
              <w:t>Konto 493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Dugoročna imovina namijenjena prodaji i imovina poslovanja koje se obustavlja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04, 084, 093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Ostala imovina i potraživanja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06, 28 (isključujući analitička konta koja se odnose na finansijsku imovinu i konto 284), 46 (isključujući konto 464), 48</w:t>
            </w:r>
            <w:r w:rsidRPr="00D1040C">
              <w:rPr>
                <w:rFonts w:ascii="Arial" w:hAnsi="Arial" w:cs="Arial"/>
                <w:sz w:val="18"/>
                <w:szCs w:val="18"/>
              </w:rPr>
              <w:br/>
              <w:t>Konto: 086, 261, 262, 263, 265, 293, 493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IMOVINA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lastRenderedPageBreak/>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VANBILANSNA EVIDENCIJA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99, konta 670, 770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IMOVINA I VANBILANSNA EVIDENCIJA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OBAVEZE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Finansijske obaveze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65</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Finansijske obaveze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Depoziti od banaka i drugih finansijskih institucija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260 (analitička konta koja se odnose na kamatu na depozite banaka i drugih finansijskih institucija), 504, 505, 514, 515, 524, 525, 534, 535, 537, 581 (analitička konta koja se odnose na zateznu kamatu na depozite banaka i drugih finansijskih institucija), 582, 583 (analitička konta koja se odnose na kamatu na depozite banaka i drugih finansijskih institucija), 600, 663 (analitička konta koja se odnose na kamatu na depozite banaka i drugih finansijskih institucija), 714, 715, 717 (analitička konta koja se odnose na depozite banaka i drugih finansijskih institucija), 724, 725, 727 (analitička konta koja se odnose na depozite banaka i drugih finansijskih institucija), 763 (analitička konta koja se odnose na kamatu na depozite banaka i drugih finansijskih institucija)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Depoziti od klijenata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260 (analitička konta koja se odnose na kamatu na depozite klijenata), 500, 501, 502, 503, 506, 509, 510, 501, 512, 513, 516, 517, 519, 520, 521, 522, 523, 526, 529, 530, 531, 532, 533, 536, 539, 581 (analitička konta koja se odnose na zateznu kamatu na depozite klijenata), 583 (analitička konta koja se odnose na kamatu na depozite klijenata), 584, 589, 600, 663 (analitička konta koja se odnose na kamatu na depozite klijenata), 710, 711, 712, 713, 716, 717 (analitička konta koja se odnose na depozite klijenata), 719, 720, 721, 722, 723, 726, 727 (analitička konta koja se odnose na depozite klijenata), 729, 763 (analitička konta koja se odnose na kamatu na depozite klijenata)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Uzeti krediti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54 (isključujući konta 546 i 547), 74 isključujući konta 746 i 747,</w:t>
            </w:r>
            <w:r w:rsidRPr="00D1040C">
              <w:rPr>
                <w:rFonts w:ascii="Arial" w:hAnsi="Arial" w:cs="Arial"/>
                <w:sz w:val="18"/>
                <w:szCs w:val="18"/>
              </w:rPr>
              <w:br/>
              <w:t>Konto: 260 (analitička konta koja se odnose na kamatu na uzete kredite), 580, 581 (analitička konta koja se odnose na zateznu kamatu na uzete kredite), 663 (analitička konta koja se odnose na kamatu na uzete kredite banaka), 763 (analitička konta koja se odnose na kamatu na uzete kredite)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Obaveze po osnovu najmova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55, 78</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Izdati dužnički instrumenti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63, 73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xml:space="preserve">Ostale finansijske obaveze po </w:t>
            </w:r>
            <w:r w:rsidRPr="00D1040C">
              <w:rPr>
                <w:rFonts w:ascii="Arial" w:hAnsi="Arial" w:cs="Arial"/>
                <w:sz w:val="18"/>
                <w:szCs w:val="18"/>
              </w:rPr>
              <w:lastRenderedPageBreak/>
              <w:t>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57, 68 (analitička konta koja se odnose na ove obaveze), 79 (analitička konta koja se odnose na ove obaveze)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Derivatni finansijski instrumenti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64</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Obaveze za 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683 (neto nakon umanjenja za konto 284)</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Odgođene porezne obaveze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75</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Rezervisanja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Kreditni rizik preuzetih obaveza i datih garancija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670, 770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Sudski sporovi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679 (analitička konta koja se odnose na ova rezervisanja), 779 (analitička konta koja se odnose na ova rezervisanja)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Ostala rezervisanja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679 (analitička konta koja se odnose na ova rezervisanja), 779 (analitička konta koja se odnose na ova rezervisanja)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Ostale obaveze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60 (isključujući konto 600), 68 (isključujući analitička konta koja se odnose na finansijske obaveze i konto 683), 79 (isključujući analitička konta koja se odnose na finansijske obaveze)</w:t>
            </w:r>
            <w:r w:rsidRPr="00D1040C">
              <w:rPr>
                <w:rFonts w:ascii="Arial" w:hAnsi="Arial" w:cs="Arial"/>
                <w:sz w:val="18"/>
                <w:szCs w:val="18"/>
              </w:rPr>
              <w:br/>
              <w:t>Konto: 106, 107, 116, 117, 126, 127, 136, 137, 146, 147, 156, 157, 167, 306, 307, 316, 317, 326, 327, 336, 337, 346, 347, 356, 357, 367, 508, 546,547, 582, 661 (isključujući razgraničene naknade za obradu kredita), 662, 664, 665, 669, 746, 747, 761 (isključujući razgraničene naknade za obradu kredita), 762, 764, 769</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OBAVEZE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KAPITAL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Dionički kapital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Obične dionice (Vlasnički udjeli / Ostali kapital)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810 ili 820 ili 821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Povlaštene dionice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811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Otkupljene vlastite dionice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860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Dionička premija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830 ili konto 831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Rezerve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Statutarne rezerve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840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Rezerve formirane iz dobiti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841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Ostale rezerve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849</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Revalorizacijske rezerve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Revalorizacijske rezerve za nekretnine, postrojenja i opreme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880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Revalorizacijske rezerve za finansijsku imovinu mjerenu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883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Ostale revalorizacijske rezerve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882, 889</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Dobit tekuće godine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850 (analitički konto koji se odnosi na dobit tekuće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Akumulirana, neraspoređena dobit iz prethodnih godina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850 (analitički konto koji se odnosi na dobit prethodnih godina)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Gubitak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Gubitak tekuće godine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851 (analitički konto koji se odnosi na gubitak tekuće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Akumulirani, nepokriveni gubici iz prethodnih godina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851 (analitički konto koji se odnosi na gubitke prethodnih godina)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 xml:space="preserve">Kapital koji pripada vlasnicima </w:t>
            </w:r>
            <w:r w:rsidRPr="00D1040C">
              <w:rPr>
                <w:rFonts w:ascii="Arial" w:hAnsi="Arial" w:cs="Arial"/>
                <w:b/>
                <w:bCs/>
                <w:sz w:val="18"/>
                <w:szCs w:val="18"/>
              </w:rPr>
              <w:lastRenderedPageBreak/>
              <w:t>matičnog društva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 137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 - zbir prethodnih tačaka 1. do 6.</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Kapital koji pripada vlasnicima manjinskih interesa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 - dio ukupnog kapitala koji pripada vlasnicima manjinskih interesa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KAPITAL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OBAVEZE I KAPITAL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VANBILANSNA EVIDENCIJA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141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UKUPNO OBAVEZE, KAPITAL I VANBILANSNA EVIDENCIJA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bl>
    <w:p w:rsidR="00D1040C" w:rsidRPr="00D1040C" w:rsidRDefault="00D1040C" w:rsidP="00D1040C">
      <w:pPr>
        <w:jc w:val="center"/>
        <w:rPr>
          <w:rFonts w:ascii="Arial" w:hAnsi="Arial" w:cs="Arial"/>
          <w:b/>
          <w:bCs/>
          <w:sz w:val="24"/>
          <w:szCs w:val="24"/>
        </w:rPr>
      </w:pPr>
      <w:bookmarkStart w:id="7" w:name="clan_5"/>
      <w:bookmarkEnd w:id="7"/>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Član 5.</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(Vanbilansna evidencija)</w:t>
      </w:r>
    </w:p>
    <w:p w:rsidR="00D1040C" w:rsidRPr="00D1040C" w:rsidRDefault="00D1040C" w:rsidP="00D1040C">
      <w:pPr>
        <w:jc w:val="both"/>
        <w:rPr>
          <w:rFonts w:ascii="Arial" w:hAnsi="Arial" w:cs="Arial"/>
          <w:sz w:val="24"/>
          <w:szCs w:val="24"/>
        </w:rPr>
      </w:pPr>
      <w:r w:rsidRPr="00D1040C">
        <w:rPr>
          <w:rFonts w:ascii="Arial" w:hAnsi="Arial" w:cs="Arial"/>
          <w:sz w:val="24"/>
          <w:szCs w:val="24"/>
        </w:rPr>
        <w:t>(1) Vanbilansne pozicije banke ili druge finansijske organizacije iskazuju se u dodatnom obrascu Vanbilansna evidencija, koja je prilog Izvještaja o finansijskom položaju na kraju perioda.</w:t>
      </w:r>
    </w:p>
    <w:p w:rsidR="00D1040C" w:rsidRPr="00D1040C" w:rsidRDefault="00D1040C" w:rsidP="00D1040C">
      <w:pPr>
        <w:jc w:val="both"/>
        <w:rPr>
          <w:rFonts w:ascii="Arial" w:hAnsi="Arial" w:cs="Arial"/>
          <w:sz w:val="24"/>
          <w:szCs w:val="24"/>
        </w:rPr>
      </w:pPr>
      <w:r w:rsidRPr="00D1040C">
        <w:rPr>
          <w:rFonts w:ascii="Arial" w:hAnsi="Arial" w:cs="Arial"/>
          <w:sz w:val="24"/>
          <w:szCs w:val="24"/>
        </w:rPr>
        <w:t>(2) U obrascu Vanbilansna evidencija banka ili druga finansijska organizacija unosi podatke u kolone 3, 4, 5, 6, 7 i 8 prema opisu pozicija označenih u koloni 2 obrasca.</w:t>
      </w:r>
    </w:p>
    <w:p w:rsidR="00D1040C" w:rsidRPr="00D1040C" w:rsidRDefault="00D1040C" w:rsidP="00D1040C">
      <w:pPr>
        <w:jc w:val="both"/>
        <w:rPr>
          <w:rFonts w:ascii="Arial" w:hAnsi="Arial" w:cs="Arial"/>
          <w:sz w:val="24"/>
          <w:szCs w:val="24"/>
        </w:rPr>
      </w:pPr>
      <w:r w:rsidRPr="00D1040C">
        <w:rPr>
          <w:rFonts w:ascii="Arial" w:hAnsi="Arial" w:cs="Arial"/>
          <w:sz w:val="24"/>
          <w:szCs w:val="24"/>
        </w:rPr>
        <w:t>(3) U obrascu Vanbilansna evidencija u kolone 6, 7 i 8 obrasca unose se podaci iz kolona 3, 4 i 5 iz obrasca za prethodni obračunski period (početno stanje).</w:t>
      </w:r>
    </w:p>
    <w:p w:rsidR="00D1040C" w:rsidRPr="00D1040C" w:rsidRDefault="00D1040C" w:rsidP="00D1040C">
      <w:pPr>
        <w:jc w:val="both"/>
        <w:rPr>
          <w:rFonts w:ascii="Arial" w:hAnsi="Arial" w:cs="Arial"/>
          <w:sz w:val="24"/>
          <w:szCs w:val="24"/>
        </w:rPr>
      </w:pPr>
      <w:r w:rsidRPr="00D1040C">
        <w:rPr>
          <w:rFonts w:ascii="Arial" w:hAnsi="Arial" w:cs="Arial"/>
          <w:sz w:val="24"/>
          <w:szCs w:val="24"/>
        </w:rPr>
        <w:t>(4) Ako su podaci u kolonama 6, 7 i 8 iz prethodne godine korigovani u skladu sa računovodstvenim i drugim propisima, u kolone 3, 4 i 5 za tekući obračunski period unose se tako korigovani podaci.</w:t>
      </w:r>
    </w:p>
    <w:p w:rsidR="00D1040C" w:rsidRPr="00D1040C" w:rsidRDefault="00D1040C" w:rsidP="00D1040C">
      <w:pPr>
        <w:jc w:val="both"/>
        <w:rPr>
          <w:rFonts w:ascii="Arial" w:hAnsi="Arial" w:cs="Arial"/>
          <w:b/>
          <w:bCs/>
          <w:sz w:val="24"/>
          <w:szCs w:val="24"/>
        </w:rPr>
      </w:pPr>
      <w:bookmarkStart w:id="8" w:name="str_4"/>
      <w:bookmarkEnd w:id="8"/>
      <w:r w:rsidRPr="00D1040C">
        <w:rPr>
          <w:rFonts w:ascii="Arial" w:hAnsi="Arial" w:cs="Arial"/>
          <w:b/>
          <w:bCs/>
          <w:sz w:val="24"/>
          <w:szCs w:val="24"/>
        </w:rPr>
        <w:t>Odjeljak B. Izvještaj o ukupnom rezultatu za period</w:t>
      </w:r>
    </w:p>
    <w:p w:rsidR="00D1040C" w:rsidRPr="00D1040C" w:rsidRDefault="00D1040C" w:rsidP="00D1040C">
      <w:pPr>
        <w:jc w:val="center"/>
        <w:rPr>
          <w:rFonts w:ascii="Arial" w:hAnsi="Arial" w:cs="Arial"/>
          <w:b/>
          <w:bCs/>
          <w:sz w:val="24"/>
          <w:szCs w:val="24"/>
        </w:rPr>
      </w:pPr>
      <w:bookmarkStart w:id="9" w:name="clan_6"/>
      <w:bookmarkEnd w:id="9"/>
      <w:r w:rsidRPr="00D1040C">
        <w:rPr>
          <w:rFonts w:ascii="Arial" w:hAnsi="Arial" w:cs="Arial"/>
          <w:b/>
          <w:bCs/>
          <w:sz w:val="24"/>
          <w:szCs w:val="24"/>
        </w:rPr>
        <w:t>Član 6.</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(Obrazac Izvještaj o ukupnom rezultatu za period)</w:t>
      </w:r>
    </w:p>
    <w:p w:rsidR="00D1040C" w:rsidRPr="00D1040C" w:rsidRDefault="00D1040C" w:rsidP="00D1040C">
      <w:pPr>
        <w:jc w:val="both"/>
        <w:rPr>
          <w:rFonts w:ascii="Arial" w:hAnsi="Arial" w:cs="Arial"/>
          <w:sz w:val="24"/>
          <w:szCs w:val="24"/>
        </w:rPr>
      </w:pPr>
      <w:r w:rsidRPr="00D1040C">
        <w:rPr>
          <w:rFonts w:ascii="Arial" w:hAnsi="Arial" w:cs="Arial"/>
          <w:sz w:val="24"/>
          <w:szCs w:val="24"/>
        </w:rPr>
        <w:t xml:space="preserve">(1) Prilikom izrade finansijskog izvještaja, uključujući i izradu finansijskog izvještaja u slučaju nastanka statusnih promjena, promjene pravne forme ili prodaje banke ili druge finansijske organizacije, otvaranja postupka likvidacije ili postupka stečaja, u obrazac Izvještaj o ukupnom rezultatu za period banka ili druga finansijska organizacija unosi podatke, u kolone 5 i 6, pod oznakom AOP 201 do AOP 277, a </w:t>
      </w:r>
      <w:r w:rsidRPr="00D1040C">
        <w:rPr>
          <w:rFonts w:ascii="Arial" w:hAnsi="Arial" w:cs="Arial"/>
          <w:sz w:val="24"/>
          <w:szCs w:val="24"/>
        </w:rPr>
        <w:lastRenderedPageBreak/>
        <w:t>prema sadržaju pozicija kolone 2 definiranim u članu 7. ovog pravilnika. Nadalje, ako je primjenjivo, u kolone 5 i 6, pod oznakom AOP 278 do AOP 283, unose se podaci o zaradi po dionici, te podaci o dobiti (ili gubitku) i i ukupnom rezultatu koji pripadaju vlasnicima matičnog društva i i vlasnicima manjinskih interesa.</w:t>
      </w:r>
    </w:p>
    <w:p w:rsidR="00D1040C" w:rsidRPr="00D1040C" w:rsidRDefault="00D1040C" w:rsidP="00D1040C">
      <w:pPr>
        <w:jc w:val="both"/>
        <w:rPr>
          <w:rFonts w:ascii="Arial" w:hAnsi="Arial" w:cs="Arial"/>
          <w:sz w:val="24"/>
          <w:szCs w:val="24"/>
        </w:rPr>
      </w:pPr>
      <w:r w:rsidRPr="00D1040C">
        <w:rPr>
          <w:rFonts w:ascii="Arial" w:hAnsi="Arial" w:cs="Arial"/>
          <w:sz w:val="24"/>
          <w:szCs w:val="24"/>
        </w:rPr>
        <w:t>(2) U kolonu 6 obrasca unose se podaci iz kolone 5 iz obrasca za prethodni obračunski period, dok se podaci u koloni 5 unose preuzimanjem zatvorenih salda sa konta na kraju tekuće godine, odnosno na kraju obračunskog perioda za koji se priprema finansijski izvještaj.</w:t>
      </w:r>
    </w:p>
    <w:p w:rsidR="00D1040C" w:rsidRPr="00D1040C" w:rsidRDefault="00D1040C" w:rsidP="00D1040C">
      <w:pPr>
        <w:jc w:val="both"/>
        <w:rPr>
          <w:rFonts w:ascii="Arial" w:hAnsi="Arial" w:cs="Arial"/>
          <w:sz w:val="24"/>
          <w:szCs w:val="24"/>
        </w:rPr>
      </w:pPr>
      <w:r w:rsidRPr="00D1040C">
        <w:rPr>
          <w:rFonts w:ascii="Arial" w:hAnsi="Arial" w:cs="Arial"/>
          <w:sz w:val="24"/>
          <w:szCs w:val="24"/>
        </w:rPr>
        <w:t>(3) Ako su podaci u koloni 5 iz prethodne godine korigovani u skladu sa računovodstvenim i drugim propisima, u kolonu 6 unose se tako korigovani podaci.</w:t>
      </w:r>
    </w:p>
    <w:p w:rsidR="00D1040C" w:rsidRPr="00D1040C" w:rsidRDefault="00D1040C" w:rsidP="00D1040C">
      <w:pPr>
        <w:jc w:val="center"/>
        <w:rPr>
          <w:rFonts w:ascii="Arial" w:hAnsi="Arial" w:cs="Arial"/>
          <w:b/>
          <w:bCs/>
          <w:sz w:val="24"/>
          <w:szCs w:val="24"/>
        </w:rPr>
      </w:pPr>
      <w:bookmarkStart w:id="10" w:name="clan_7"/>
      <w:bookmarkEnd w:id="10"/>
      <w:r w:rsidRPr="00D1040C">
        <w:rPr>
          <w:rFonts w:ascii="Arial" w:hAnsi="Arial" w:cs="Arial"/>
          <w:b/>
          <w:bCs/>
          <w:sz w:val="24"/>
          <w:szCs w:val="24"/>
        </w:rPr>
        <w:t>Član 7.</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(Sadržaj pozicija obrasca Izvještaj o ukupnom rezultatu za period)</w:t>
      </w:r>
    </w:p>
    <w:p w:rsidR="00D1040C" w:rsidRPr="00D1040C" w:rsidRDefault="00D1040C" w:rsidP="00D1040C">
      <w:pPr>
        <w:jc w:val="both"/>
        <w:rPr>
          <w:rFonts w:ascii="Arial" w:hAnsi="Arial" w:cs="Arial"/>
          <w:sz w:val="24"/>
          <w:szCs w:val="24"/>
        </w:rPr>
      </w:pPr>
      <w:r w:rsidRPr="00D1040C">
        <w:rPr>
          <w:rFonts w:ascii="Arial" w:hAnsi="Arial" w:cs="Arial"/>
          <w:sz w:val="24"/>
          <w:szCs w:val="24"/>
        </w:rPr>
        <w:t>Prilikom popunjavanja obrasca Izvještaj o ukupnom rezultatu za period, banka ili druga finansijska organizacija unosi podatke u kolone 5 i 6 u skladu sa sljedećim sadržajem pozicija kolone 2:</w:t>
      </w:r>
    </w:p>
    <w:tbl>
      <w:tblPr>
        <w:tblW w:w="0"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621"/>
        <w:gridCol w:w="3547"/>
        <w:gridCol w:w="1295"/>
        <w:gridCol w:w="3547"/>
      </w:tblGrid>
      <w:tr w:rsidR="00D1040C" w:rsidRPr="00D1040C" w:rsidTr="00D05488">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Redni broj</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Pozicija</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Oznaka za AOP</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Grupa / konto koje treba uključiti</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kamata i slični prihodi po efektivnoj kamatnoj stopi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kamata i slični prihodi po efektivnoj kamatnoj stopi od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950 (analitička konta koja se odnose na ovu finansijsku imovinu),</w:t>
            </w:r>
            <w:r w:rsidRPr="00D1040C">
              <w:rPr>
                <w:rFonts w:ascii="Arial" w:hAnsi="Arial" w:cs="Arial"/>
                <w:sz w:val="18"/>
                <w:szCs w:val="18"/>
              </w:rPr>
              <w:br/>
              <w:t>951 (analitička konta koja se odnose na ovu finansijsku imovinu), 952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kamata i slični prihodi po efektivnoj kamatnoj stopi od finansijske imovine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950 (analitička konta koja se odnose na ovu finansijsku imovinu),</w:t>
            </w:r>
            <w:r w:rsidRPr="00D1040C">
              <w:rPr>
                <w:rFonts w:ascii="Arial" w:hAnsi="Arial" w:cs="Arial"/>
                <w:sz w:val="18"/>
                <w:szCs w:val="18"/>
              </w:rPr>
              <w:br/>
              <w:t>951 (analitička konta koja se odnose na ovu finansijsku imovinu), 952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kamata i slični prihodi po efektivnoj kamatnoj stopi od finansijske imovine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950 (analitička konta koja se odnose na ovu finansijsku imovinu),</w:t>
            </w:r>
            <w:r w:rsidRPr="00D1040C">
              <w:rPr>
                <w:rFonts w:ascii="Arial" w:hAnsi="Arial" w:cs="Arial"/>
                <w:sz w:val="18"/>
                <w:szCs w:val="18"/>
              </w:rPr>
              <w:br/>
              <w:t>951 (analitička konta koja se odnose na ovu finansijsku imovinu), 952 (analitička konta koja se odnose na ovu finansijsku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Rashodi kamata i slični rashodi po efektivnoj kamatnoj stopi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Rashodi od kamata i slični rashodi po efektivnoj kamatnoj stopi po finansijskim obavezama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920 (analitička konta koja se odnose na ove finansijske obaveze), 921 (analitička konta koja se odnose na ove finansijske obaveze), 922 (analitička konta koja se odnose na ove finansijske obaveze)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Rashodi od kamata i slični rashodi po efektivnoj kamatnoj stopi po finansijskim obavezama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920 (analitička konta koja se odnose na ove finansijske obaveze), 921 (analitička konta koja se odnose na ove finansijske obaveze), 922 (analitička konta koja se odnose na ove finansijske obaveze)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prihodi/(rashodi) od kamata i slični prihodi po efektivnoj kamatnoj stopi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naknada i provizija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960, 961, 965</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Rashodi od naknada i provizija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923, 925</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prihodi/(rashodi) od naknada i provizija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Umanjenja vrijednosti i rezervisanja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kreditni gubici / (neto otpuštanja ranije priznatih kreditnih gubitaka) od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930, 931, 941 (analitička konta koja se odnose na direktan otpis ove finansijske imovine), 971 (analitička konta koja se odnose na naplaćenu otpisanu finansijsku imovinu), 976 (analitička konta koja se odnose na ovu finansijsku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kreditni gubici / (neto otpuštanja ranije priznatih kreditnih gubitaka) od finansijske imovine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932, 976 (analitička konta koja se odnose na ovu finansijsku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Rezervisanja za kreditni rizik preuzetih obaveza i datih garancija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939 (analitička konta koja se odnose na ova rezervisanja), 977 (analitička konta koja se odnose na ova rezervisanja)</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Rezervisanja za sudske sporove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939 (analitička konta koja se odnose na ova rezervisanja), 977 (analitička konta koja se odnose na ova rezervisanja)</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Ostala rezervisanja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939 (analitička konta koja se odnose na ova rezervisanja), 977 (analitička konta koja se odnose na ova rezervisanja)</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dobici i (gubici) od finansijske imovine/finansijskih obaveza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dobici i (gubici) od finansijske imovine / finansijskih obaveza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prestanka priznavanja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934 (analitička konta koja se odnose na efekte prestanka priznavanja imovine), 977 (analitička konta koja se odnose na efekte prestanka priznavanja imovine)</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modifikacija finansijske imovine po amortizovanom trošku koje nisu rezultirale prestankom priznavanja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934 (analitička konta koja se odnose na efekte modifikacije bez prestanka priznavanja imovine), 977 (analitička konta koja se odnose na efekte modifikacije bez prestanka priznavanja imovine)</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928, 968</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efekti promjene vrijednosti finansijske imovine/finansijskih obaveza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933, 977 (analitička konta koja se odnose na ovu finansijsku imovinu/finansijske obaveze)</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finansijske imovine po fer vrijednosti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926, 966</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finansijske imovine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927, 967</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reklasifikacija finansijske imovine između poslovnih modela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935, 977 (analitička konta koja se odnose na efekte reklasifikacija finansijske imovine)</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dobici/(gubici) od finansijske imovine/finansijskih obaveza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Sva ostala analitika konta koja nisu obuhvaćena prethodnim pozicijama/finansijskim obavezama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derivatnih finansijskih instrumenata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929, 969</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pozitivne/(negativne) kursne razlike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924, 964</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Dobici i (gubici) od dugoročne nefinansijske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nekretnina, postrojenja i opreme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940 (analitička konta koja se odnose na ovu imovinu), 970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gubici od umanjenja vrijednosti)/neto dobici od otpuštanja ranije priznatih gubitaka od umanjenja vrijednosti nekretnina, postrojenja i opreme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936 (analitička konta koja se odnose na nekretnine, postrojenja i opremu mjerene po trošku), 977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gubici)/neto dobici od otpuštanja ranije priznatih gubitaka od promjene revalorizirane vrijednosti nekretnina, postrojenja i opreme za koje nema postojećih revalorizacijskih rezervi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936 (analitička konta koja se odnose na nekretnine, postrojenja i opremu mjerene po modelu revalorizacije), 977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ulaganja u investicijske nekretnine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940 (analitička konta koja se odnose na ovu imovinu), 970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efekti promjene vrijednosti ulaganja u investicijske nekretnine koje se vode po fer vrijednosti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937, 977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gubici od umanjenja vrijednosti)/neto dobici od otpuštanja ranije priznatih gubitaka od umanjenja vrijednosti investicijskih nekretnina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936 (analitička konta koja se odnose na ovu imovinu), 977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otuđenja nematerijalne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940 (analitička konta koja se odnose na ovu imovinu), 970 (analitička konta koja se odnose na ovu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gubici od umanjenja vrijednosti)/neto dobici od otpuštanja ranije priznatih gubitaka od umanjenja vrijednosti nematerijalne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936 (analitička konta koja se odnose na ovu imovinu), 977 (analitička konta koja se odnose na ovu finansijsku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prestanka priznavanja imovine s pravom korištenja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938 (analitička konta koja se odnose na ovu imovinu), 973</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Neto dobici/(gubici) od dugoročne imovine namijenjene prodaji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944, 974 (analitička konta koja se odnose na ovu imovinu)</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(neto gubici od umanjenja vrijednosti)/neto dobici od otpuštanja ranije priznatih gubitaka od umanjenja vrijednosti dugoročne nefinansijske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938 (isključujući gubitke od prestanka priznavanja imovine s pravom korištenja), 977 (analitička konta koja se odnose na ostalu dugoročnu nefinansijsku imovinu)</w:t>
            </w:r>
            <w:r w:rsidRPr="00D1040C">
              <w:rPr>
                <w:rFonts w:ascii="Arial" w:hAnsi="Arial" w:cs="Arial"/>
                <w:sz w:val="18"/>
                <w:szCs w:val="18"/>
              </w:rPr>
              <w:br/>
              <w:t>--neto prikaz--</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Prihodi od dividendi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979 (analitička konta</w:t>
            </w:r>
            <w:r w:rsidRPr="00D1040C">
              <w:rPr>
                <w:rFonts w:ascii="Arial" w:hAnsi="Arial" w:cs="Arial"/>
                <w:sz w:val="18"/>
                <w:szCs w:val="18"/>
              </w:rPr>
              <w:br/>
              <w:t>koja se odnose na ove prihode)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prihodi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xml:space="preserve">Konto: 962, 971 (isključujući analitička konta koja se odnose na naplaćenu otpisanu finansijsku imovinu), 972, 975, </w:t>
            </w:r>
            <w:r w:rsidRPr="00D1040C">
              <w:rPr>
                <w:rFonts w:ascii="Arial" w:hAnsi="Arial" w:cs="Arial"/>
                <w:sz w:val="18"/>
                <w:szCs w:val="18"/>
              </w:rPr>
              <w:lastRenderedPageBreak/>
              <w:t>978, 979 (isključujući analitička konta koja se odnose na prihode od dividendi)</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Troškovi zaposlenih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904, 905, 909 (isključujući dio koji se odnosi na ostale poreze i doprinose)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Troškovi amortizacije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903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troškovi i rashodi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Grupa 91</w:t>
            </w:r>
            <w:r w:rsidRPr="00D1040C">
              <w:rPr>
                <w:rFonts w:ascii="Arial" w:hAnsi="Arial" w:cs="Arial"/>
                <w:sz w:val="18"/>
                <w:szCs w:val="18"/>
              </w:rPr>
              <w:br/>
              <w:t>Konto: 900, 901, 902, 909 (dio koji se odnosi na ostale poreze i doprinose), 941 (isključujući analitička konta koja se odnose na direktan otpis finansijske imovine), 942, 943, 945, 948, 949</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Udio u rezultatu pridruženog društva i zajedničkog poduhvata primjenom metode udjela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Umanjenje vrijednosti goodwill-a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Dobit iz redovnog poslovanja prije oporezivanja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Gubitak iz redovnog poslovanja prije oporezivanja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Tekući 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890</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Odgođeni 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Efekat smanjenja odgođene porezne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891</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Efekat povećanja odgođene porezne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892</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Efekat povećanja odgođenih poreznih obaveza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893</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Efekat smanjenja odgođenih poreznih obaveza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894</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Dobit iz redovnog poslovanja (245+253)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Gubitak iz redovnog poslovanja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Dobit ili gubitak od obustavljenog poslovanja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Konto: 944, 974 (analitička konta koja se odnose na obustavljeno poslovanje)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Gubitak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IZVJEŠTAJ O OSTALOM UKUPNOM REZULTATU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Stavke koje mogu biti reklasifikovane u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Povećanje/(smanjenje) fer vrijednosti dužničkih instrumenata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883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Efekti proistekli iz transakcija zaštite ("hedging")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889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Udio u ostalom ukupnom rezultatu pridruženog društva i zajedničkog poduhvata primjenom metode udjela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Ostale stavke koje mogu biti reklasifikovane u dobit ili gubitak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889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Porez na dobit koji se odnosi na ove stavke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Odgođeni porez, bez uticaja na tačku 22. gore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Stavke koje neće biti reklasifikovane u dobit ili gubitak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Revalorizacija zemljišta i građevina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880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Povećanje/(smanjenje) fer vrijednosti instrumenata kapitala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883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Aktuarski dobici/(gubici) od planova definiranih primanja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889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Dobici ili gubici po osnovu preračunavanja finansijskih izvještaja inostranog poslovanja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koja je rezultat preračunavanja finansijskih izvještaja inostranog poslovanja, pri konsolidaciji</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Udio u ostalom ukupnom rezultatu pridruženog društva i zajedničkog poduhvata primjenom metode udjela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Ostale stavke koje neće biti reklasifikovane u dobit ili gubitak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Promjena priznata na kontu 889 (analitička konta koja se odnose na ove efekte) tokom finansijske godine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Porez na dobit koji se odnosi na ove stavke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274275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Odgođeni porez, bez uticaja na tačku 22. gore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lastRenderedPageBreak/>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Zarada po dionici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Osnovna zarada po dionici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Osnovna zarada po dionici se računa dijeljenjem:</w:t>
            </w:r>
            <w:r w:rsidRPr="00D1040C">
              <w:rPr>
                <w:rFonts w:ascii="Arial" w:hAnsi="Arial" w:cs="Arial"/>
                <w:sz w:val="18"/>
                <w:szCs w:val="18"/>
              </w:rPr>
              <w:br/>
              <w:t>- dobiti ili gubitka koja pripada dioničarima banaka i drugih finansijskih organizacija, i</w:t>
            </w:r>
            <w:r w:rsidRPr="00D1040C">
              <w:rPr>
                <w:rFonts w:ascii="Arial" w:hAnsi="Arial" w:cs="Arial"/>
                <w:sz w:val="18"/>
                <w:szCs w:val="18"/>
              </w:rPr>
              <w:br/>
              <w:t>- ponderisanog prosječnog broja običnih dionica u opticaju tokom finansijske godine, isključujući otkupljene vlastite dionice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Razrijeđena zarada po dionici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 izračunu razrijeđene zarade po dionici, k origuju se cifre korištene u izračunu osnovne zarade po dionici, uzimajući u obzir:</w:t>
            </w:r>
            <w:r w:rsidRPr="00D1040C">
              <w:rPr>
                <w:rFonts w:ascii="Arial" w:hAnsi="Arial" w:cs="Arial"/>
                <w:sz w:val="18"/>
                <w:szCs w:val="18"/>
              </w:rPr>
              <w:br/>
              <w:t>- efekat oporezivanja, kamata i ostalih troškova finansiranja koji bi mogao proizaći iz konverzije razrjeđujućih potencijalnih običnih dionica, i</w:t>
            </w:r>
            <w:r w:rsidRPr="00D1040C">
              <w:rPr>
                <w:rFonts w:ascii="Arial" w:hAnsi="Arial" w:cs="Arial"/>
                <w:sz w:val="18"/>
                <w:szCs w:val="18"/>
              </w:rPr>
              <w:br/>
              <w:t>- ponderisani prosječni broj dodatnih običnih dionica koje bi bile u opticaju pod pretpostavkom konverzije svih razrjeđujućih potencijalnih običnih dionica.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Dobit/(gubitak) koja pripada: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Vlasnicima matičnog društva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Vlasnicima manjinskih interesa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Ukupni rezultat koji pripada: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Vlasnicima matičnog društva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Vlasnicima manjinskih interesa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Kod konsolidovanih finansijskih izvještaja</w:t>
            </w:r>
          </w:p>
        </w:tc>
      </w:tr>
    </w:tbl>
    <w:p w:rsidR="00E01C97" w:rsidRDefault="00E01C97" w:rsidP="00D1040C">
      <w:pPr>
        <w:jc w:val="both"/>
        <w:rPr>
          <w:rFonts w:ascii="Arial" w:hAnsi="Arial" w:cs="Arial"/>
          <w:b/>
          <w:bCs/>
          <w:sz w:val="24"/>
          <w:szCs w:val="24"/>
        </w:rPr>
      </w:pPr>
      <w:bookmarkStart w:id="11" w:name="str_5"/>
      <w:bookmarkEnd w:id="11"/>
    </w:p>
    <w:p w:rsidR="00D1040C" w:rsidRPr="00D1040C" w:rsidRDefault="00D1040C" w:rsidP="00D1040C">
      <w:pPr>
        <w:jc w:val="both"/>
        <w:rPr>
          <w:rFonts w:ascii="Arial" w:hAnsi="Arial" w:cs="Arial"/>
          <w:b/>
          <w:bCs/>
          <w:sz w:val="24"/>
          <w:szCs w:val="24"/>
        </w:rPr>
      </w:pPr>
      <w:r w:rsidRPr="00D1040C">
        <w:rPr>
          <w:rFonts w:ascii="Arial" w:hAnsi="Arial" w:cs="Arial"/>
          <w:b/>
          <w:bCs/>
          <w:sz w:val="24"/>
          <w:szCs w:val="24"/>
        </w:rPr>
        <w:t>Odjeljak C. Izvještaj o tokovima gotovine</w:t>
      </w:r>
    </w:p>
    <w:p w:rsidR="00D1040C" w:rsidRPr="00D1040C" w:rsidRDefault="00D1040C" w:rsidP="00E01C97">
      <w:pPr>
        <w:jc w:val="center"/>
        <w:rPr>
          <w:rFonts w:ascii="Arial" w:hAnsi="Arial" w:cs="Arial"/>
          <w:b/>
          <w:bCs/>
          <w:sz w:val="24"/>
          <w:szCs w:val="24"/>
        </w:rPr>
      </w:pPr>
      <w:bookmarkStart w:id="12" w:name="clan_8"/>
      <w:bookmarkEnd w:id="12"/>
      <w:r w:rsidRPr="00D1040C">
        <w:rPr>
          <w:rFonts w:ascii="Arial" w:hAnsi="Arial" w:cs="Arial"/>
          <w:b/>
          <w:bCs/>
          <w:sz w:val="24"/>
          <w:szCs w:val="24"/>
        </w:rPr>
        <w:t>Član 8</w:t>
      </w:r>
      <w:r w:rsidR="00E01C97">
        <w:rPr>
          <w:rFonts w:ascii="Arial" w:hAnsi="Arial" w:cs="Arial"/>
          <w:b/>
          <w:bCs/>
          <w:sz w:val="24"/>
          <w:szCs w:val="24"/>
        </w:rPr>
        <w:t>.</w:t>
      </w:r>
    </w:p>
    <w:p w:rsidR="00D1040C" w:rsidRPr="00D1040C" w:rsidRDefault="00D1040C" w:rsidP="00E01C97">
      <w:pPr>
        <w:jc w:val="center"/>
        <w:rPr>
          <w:rFonts w:ascii="Arial" w:hAnsi="Arial" w:cs="Arial"/>
          <w:b/>
          <w:bCs/>
          <w:sz w:val="24"/>
          <w:szCs w:val="24"/>
        </w:rPr>
      </w:pPr>
      <w:r w:rsidRPr="00D1040C">
        <w:rPr>
          <w:rFonts w:ascii="Arial" w:hAnsi="Arial" w:cs="Arial"/>
          <w:b/>
          <w:bCs/>
          <w:sz w:val="24"/>
          <w:szCs w:val="24"/>
        </w:rPr>
        <w:t>(Obrazac Izvještaj o tokovima gotovine)</w:t>
      </w:r>
    </w:p>
    <w:p w:rsidR="00D1040C" w:rsidRPr="00D1040C" w:rsidRDefault="00D1040C" w:rsidP="00D1040C">
      <w:pPr>
        <w:jc w:val="both"/>
        <w:rPr>
          <w:rFonts w:ascii="Arial" w:hAnsi="Arial" w:cs="Arial"/>
          <w:sz w:val="24"/>
          <w:szCs w:val="24"/>
        </w:rPr>
      </w:pPr>
      <w:r w:rsidRPr="00D1040C">
        <w:rPr>
          <w:rFonts w:ascii="Arial" w:hAnsi="Arial" w:cs="Arial"/>
          <w:sz w:val="24"/>
          <w:szCs w:val="24"/>
        </w:rPr>
        <w:t>(1) Prilikom izrade finansijskog izvještaja, uključujući i izradu finansijskog izvještaja u slučaju nastanka statusnih promjena, promjene pravne forme ili prodaje banke ili druge finansijske organizacije, otvaranja postupka likvidacije ili postupka stečaja, u obrazac Izvještaj o tokovima gotovine banka ili druga finansijska organizacija unosi podatke, u kolone 6 i 7, pod oznakom AOP 301 do AOP 360, a prema sadržaju pozicija kolone 2 definiranim u čl. 9., 10. i 11. ovog pravilnika.</w:t>
      </w:r>
    </w:p>
    <w:p w:rsidR="00D1040C" w:rsidRPr="00D1040C" w:rsidRDefault="00D1040C" w:rsidP="00D1040C">
      <w:pPr>
        <w:jc w:val="both"/>
        <w:rPr>
          <w:rFonts w:ascii="Arial" w:hAnsi="Arial" w:cs="Arial"/>
          <w:sz w:val="24"/>
          <w:szCs w:val="24"/>
        </w:rPr>
      </w:pPr>
      <w:r w:rsidRPr="00D1040C">
        <w:rPr>
          <w:rFonts w:ascii="Arial" w:hAnsi="Arial" w:cs="Arial"/>
          <w:sz w:val="24"/>
          <w:szCs w:val="24"/>
        </w:rPr>
        <w:t>(2) U kolonu 7 obrasca unose se podaci iz kolone 6 iz obrasca za prethodni obračunski period, dok se podaci u koloni 6 unose gotovinski tokovi i promjene nastale tokom tekuće godine, odnosno tokom obračunskog perioda za koji se priprema finansijski izvještaj.</w:t>
      </w:r>
    </w:p>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(3) Ako su podaci u koloni 6 iz prethodne godine korigovani u skladu sa računovodstvenim i drugim propisima, u kolonu 7 unose se tako korigovani podaci.</w:t>
      </w:r>
    </w:p>
    <w:p w:rsidR="00D1040C" w:rsidRPr="00D1040C" w:rsidRDefault="00D1040C" w:rsidP="00E01C97">
      <w:pPr>
        <w:jc w:val="center"/>
        <w:rPr>
          <w:rFonts w:ascii="Arial" w:hAnsi="Arial" w:cs="Arial"/>
          <w:b/>
          <w:bCs/>
          <w:sz w:val="24"/>
          <w:szCs w:val="24"/>
        </w:rPr>
      </w:pPr>
      <w:bookmarkStart w:id="13" w:name="clan_9"/>
      <w:bookmarkEnd w:id="13"/>
      <w:r w:rsidRPr="00D1040C">
        <w:rPr>
          <w:rFonts w:ascii="Arial" w:hAnsi="Arial" w:cs="Arial"/>
          <w:b/>
          <w:bCs/>
          <w:sz w:val="24"/>
          <w:szCs w:val="24"/>
        </w:rPr>
        <w:t>Član 9</w:t>
      </w:r>
      <w:r w:rsidR="00E01C97">
        <w:rPr>
          <w:rFonts w:ascii="Arial" w:hAnsi="Arial" w:cs="Arial"/>
          <w:b/>
          <w:bCs/>
          <w:sz w:val="24"/>
          <w:szCs w:val="24"/>
        </w:rPr>
        <w:t>.</w:t>
      </w:r>
    </w:p>
    <w:p w:rsidR="00D1040C" w:rsidRPr="00D1040C" w:rsidRDefault="00D1040C" w:rsidP="00E01C97">
      <w:pPr>
        <w:jc w:val="center"/>
        <w:rPr>
          <w:rFonts w:ascii="Arial" w:hAnsi="Arial" w:cs="Arial"/>
          <w:b/>
          <w:bCs/>
          <w:sz w:val="24"/>
          <w:szCs w:val="24"/>
        </w:rPr>
      </w:pPr>
      <w:r w:rsidRPr="00D1040C">
        <w:rPr>
          <w:rFonts w:ascii="Arial" w:hAnsi="Arial" w:cs="Arial"/>
          <w:b/>
          <w:bCs/>
          <w:sz w:val="24"/>
          <w:szCs w:val="24"/>
        </w:rPr>
        <w:t>(Gotovinski prilivi i odlivi iz poslovnih aktivnosti banaka i drugih finansijskih organizacija)</w:t>
      </w:r>
    </w:p>
    <w:p w:rsidR="00D1040C" w:rsidRPr="00D1040C" w:rsidRDefault="00D1040C" w:rsidP="00D1040C">
      <w:pPr>
        <w:jc w:val="both"/>
        <w:rPr>
          <w:rFonts w:ascii="Arial" w:hAnsi="Arial" w:cs="Arial"/>
          <w:sz w:val="24"/>
          <w:szCs w:val="24"/>
        </w:rPr>
      </w:pPr>
      <w:r w:rsidRPr="00D1040C">
        <w:rPr>
          <w:rFonts w:ascii="Arial" w:hAnsi="Arial" w:cs="Arial"/>
          <w:sz w:val="24"/>
          <w:szCs w:val="24"/>
        </w:rPr>
        <w:t>U obrascu Izvještaja o tokovima gotovine, na redne brojeve od 1.1. do 1.23., odnosno AOP pozicije 301 do 323, prema nazivima pozicija, unose se gotovinski prilivi i odlivi iz poslovnih aktivnosti banaka i drugih finansijskih organizacija, i to:</w:t>
      </w:r>
    </w:p>
    <w:tbl>
      <w:tblPr>
        <w:tblW w:w="0"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654"/>
        <w:gridCol w:w="3536"/>
        <w:gridCol w:w="1284"/>
        <w:gridCol w:w="3536"/>
      </w:tblGrid>
      <w:tr w:rsidR="00D1040C" w:rsidRPr="00D1040C" w:rsidTr="00D05488">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b/>
                <w:bCs/>
                <w:sz w:val="24"/>
                <w:szCs w:val="24"/>
              </w:rPr>
              <w:t>Pozicija</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b/>
                <w:bCs/>
                <w:sz w:val="24"/>
                <w:szCs w:val="24"/>
              </w:rPr>
              <w:t>Oznaka za AOP</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b/>
                <w:bCs/>
                <w:sz w:val="24"/>
                <w:szCs w:val="24"/>
              </w:rPr>
              <w:t>Opis</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b/>
                <w:bCs/>
                <w:sz w:val="24"/>
                <w:szCs w:val="24"/>
              </w:rPr>
              <w:t>GOTOVINSKI TOKOVI IZ POSLOVNIH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od kamata i sličnih prihoda po efektivnoj kamatnoj stopi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od redovnih i zateznih kamata, i sličnih prihoda, od finansijske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od kamata i sličnih prihoda po efektivnoj kamatnoj stopi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od redovnih i zateznih kamata, i sličnih rashoda, po finansijskim obavezama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od naknada i provizija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od naknada i provizija za pružene bankarske usluge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od naknada i provizija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od naknada i provizija za primljene bankarske usluge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prilivi od trgovanja finansijskom imovinom po fer vrijednost kroz bilans uspjeha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prilivi po osnovu trgovanja ovom imovinom</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prilivi od trgovanja derivatnim finansijskim instrumentima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prilivi po osnovu trgovanja ovim finansijskim instrumentima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od naplate prethodno otpisanih potraživanja za date kredite i kamate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Prilivi po osnovu prethodno otpisanih potraživanja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po osnovu plaćanja zaposlenima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na osnovu isplaćenih bruto plaća, naknada plaća i ostalih poreza i doprinosa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po osnovu plaćanja operativnih rashoda i troškova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po osnovu ostalih primljenih usluga i dobara, i plaćenih dažbina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Ostali prilivi iz poslovnih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Svi ostali prilivi, koji nisu uključeni u prethodno spomenute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Ostali odlivi iz poslovnih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Svi ostali odlivi, koji nisu uključeni u prethodno spomenute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Plaćeni porez na dobit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Odlivi po osnovu plaćenog poreza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obavezne rezerve kod Centralne banke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314</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promjena pozicija (isključivo glavnice imovine i obaveza) između dva izvještajna perioda, isključujući nenovčane transakcije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plasmana kod drugih banaka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kredita i potraživanja od klijenata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potraživanja po finansijskim najmovima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ostale imovine i potraživanja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depozita od banaka i drugih finansijskih institucija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depozita od klijenata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320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1.21.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ostalih finansijskih obaveza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321</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rezervisanja za obaveze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322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1.23.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24"/>
                <w:szCs w:val="24"/>
              </w:rPr>
            </w:pPr>
            <w:r w:rsidRPr="00D1040C">
              <w:rPr>
                <w:rFonts w:ascii="Arial" w:hAnsi="Arial" w:cs="Arial"/>
                <w:sz w:val="24"/>
                <w:szCs w:val="24"/>
              </w:rPr>
              <w:t>Neto povećanje / (smanjenje) ostalih obaveza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323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r>
    </w:tbl>
    <w:p w:rsidR="00D1040C" w:rsidRPr="00D1040C" w:rsidRDefault="00D1040C" w:rsidP="00D1040C">
      <w:pPr>
        <w:jc w:val="center"/>
        <w:rPr>
          <w:rFonts w:ascii="Arial" w:hAnsi="Arial" w:cs="Arial"/>
          <w:b/>
          <w:bCs/>
          <w:sz w:val="24"/>
          <w:szCs w:val="24"/>
        </w:rPr>
      </w:pPr>
      <w:bookmarkStart w:id="14" w:name="clan_10"/>
      <w:bookmarkEnd w:id="14"/>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Član 10.</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(Gotovinski prilivi i odlivi iz ulagačkih aktivnosti banaka i drugih finansijskih organizacija)</w:t>
      </w:r>
    </w:p>
    <w:p w:rsidR="00D1040C" w:rsidRPr="00D1040C" w:rsidRDefault="00D1040C" w:rsidP="00D1040C">
      <w:pPr>
        <w:jc w:val="both"/>
        <w:rPr>
          <w:rFonts w:ascii="Arial" w:hAnsi="Arial" w:cs="Arial"/>
          <w:sz w:val="24"/>
          <w:szCs w:val="24"/>
        </w:rPr>
      </w:pPr>
      <w:r w:rsidRPr="00D1040C">
        <w:rPr>
          <w:rFonts w:ascii="Arial" w:hAnsi="Arial" w:cs="Arial"/>
          <w:sz w:val="24"/>
          <w:szCs w:val="24"/>
        </w:rPr>
        <w:t>U obrascu Izvještaja o tokovima gotovine, na redne brojeve od 2.1. do 2.21., odnosno AOP pozicije 325 do 345, prema nazivima pozicija, unose se gotovinski prilivi i odlivi iz ulagačkih aktivnosti banaka i drugih finansijskih organizacija, i to:</w:t>
      </w:r>
    </w:p>
    <w:tbl>
      <w:tblPr>
        <w:tblW w:w="0"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654"/>
        <w:gridCol w:w="3536"/>
        <w:gridCol w:w="1284"/>
        <w:gridCol w:w="3536"/>
      </w:tblGrid>
      <w:tr w:rsidR="00D1040C" w:rsidRPr="00D1040C" w:rsidTr="00D05488">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Pozicija</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Oznaka za AOP</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Opis</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GOTOVINSKI TOKOVI IZ ULAGAČKIH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instrumenata kapitala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instrumenata kapitala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prodaje/naplate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dužničkih instrumenata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dužničkih instrumenata po fer vrijednosti kroz ostali ukupni rezultat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prodaje/naplate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ostale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ostale finansijske imovine po amortizovanom trošku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prodaje/naplate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nekretnina, postrojenja i opreme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nekretnina, postrojenja i opreme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investicijskih nekretnina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investicijskih nekretnina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nematerijalne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nematerijalne imovine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udjela u zavisnim subjektima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udjela u zavisnim subjektima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udjela u pridruženim subjektima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udjela u pridruženim subjektima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Sticanje udjela u zajedničkim poduhvatima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 nabavke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otuđenja udjela u zajedničkim poduhvatima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ove imovine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Primljene dividende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dividendi</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prilivi iz ulagačkih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Svi ostali prilivi, koji nisu uključeni u prethodno spomenute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2.21.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odlivi iz ulagačkih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Svi ostali odlivi, koji nisu uključeni u prethodno spomenute</w:t>
            </w:r>
          </w:p>
        </w:tc>
      </w:tr>
    </w:tbl>
    <w:p w:rsidR="00D1040C" w:rsidRPr="00D1040C" w:rsidRDefault="00D1040C" w:rsidP="00D1040C">
      <w:pPr>
        <w:jc w:val="center"/>
        <w:rPr>
          <w:rFonts w:ascii="Arial" w:hAnsi="Arial" w:cs="Arial"/>
          <w:b/>
          <w:bCs/>
          <w:sz w:val="24"/>
          <w:szCs w:val="24"/>
        </w:rPr>
      </w:pPr>
      <w:bookmarkStart w:id="15" w:name="clan_11"/>
      <w:bookmarkEnd w:id="15"/>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Član 11.</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(Gotovinski prilivi i odlivi iz aktivnosti finansiranja banaka i drugih finansijskih organizacija)</w:t>
      </w:r>
    </w:p>
    <w:p w:rsidR="00D1040C" w:rsidRPr="00D1040C" w:rsidRDefault="00D1040C" w:rsidP="00D1040C">
      <w:pPr>
        <w:jc w:val="both"/>
        <w:rPr>
          <w:rFonts w:ascii="Arial" w:hAnsi="Arial" w:cs="Arial"/>
          <w:sz w:val="24"/>
          <w:szCs w:val="24"/>
        </w:rPr>
      </w:pPr>
      <w:r w:rsidRPr="00D1040C">
        <w:rPr>
          <w:rFonts w:ascii="Arial" w:hAnsi="Arial" w:cs="Arial"/>
          <w:sz w:val="24"/>
          <w:szCs w:val="24"/>
        </w:rPr>
        <w:t>U obrascu Izvještaja o tokovima gotovine, na redne brojeve od 3.1. do 3.16., odnosno AOP pozicije 347 do 362, prema nazivima pozicija, unose se gotovinski prilivi i odlivi iz aktivnosti finansiranja banaka i drugih finansijskih organizacija, i to:</w:t>
      </w:r>
    </w:p>
    <w:tbl>
      <w:tblPr>
        <w:tblW w:w="0"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654"/>
        <w:gridCol w:w="3536"/>
        <w:gridCol w:w="1284"/>
        <w:gridCol w:w="3536"/>
      </w:tblGrid>
      <w:tr w:rsidR="00D1040C" w:rsidRPr="00D1040C" w:rsidTr="00D05488">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Pozicija</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Oznaka za AOP</w:t>
            </w:r>
          </w:p>
        </w:tc>
        <w:tc>
          <w:tcPr>
            <w:tcW w:w="2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b/>
                <w:bCs/>
                <w:sz w:val="18"/>
                <w:szCs w:val="18"/>
              </w:rPr>
              <w:t>Opis</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b/>
                <w:bCs/>
                <w:sz w:val="18"/>
                <w:szCs w:val="18"/>
              </w:rPr>
              <w:t>NOVČANI TOKOVI OD AKTIVNOSTI FINANSIRAN</w:t>
            </w:r>
            <w:r w:rsidR="00E01C97">
              <w:rPr>
                <w:rFonts w:ascii="Arial" w:hAnsi="Arial" w:cs="Arial"/>
                <w:b/>
                <w:bCs/>
                <w:sz w:val="18"/>
                <w:szCs w:val="18"/>
              </w:rPr>
              <w:t>J</w:t>
            </w:r>
            <w:r w:rsidRPr="00D1040C">
              <w:rPr>
                <w:rFonts w:ascii="Arial" w:hAnsi="Arial" w:cs="Arial"/>
                <w:b/>
                <w:bCs/>
                <w:sz w:val="18"/>
                <w:szCs w:val="18"/>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 </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izdavanja običnih dionica / uplate vlasničkih udjela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emisije običnih dionica / uplate vlasničkih udjela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izdavanja preferencijalnih dionica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emisije preferencijalnih dionica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Otkup vlastitih dionica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kupovine vlastitih dionica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prodaje otkupljenih vlastitih dionica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prodaje prethodno otkupljenih vlastitih dionica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Isplaćene dividende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isplate dividendi dioničarima / vlasnicima udjela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kredita od banaka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primljenih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Otplate glavnice kredita od banaka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glavnice primljenih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kredita od drugih finansijskih institucija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primljenih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Otplate glavnice kredita od drugih finansijskih institucija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glavnice primljenih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od subordiniranih kredita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primljenih subordiniranih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Otplate glavnice subordiniranih kredita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glavnice primljenih subordiniranih kredita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Otplate glavnice po najmovima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glavnice obaveza po najmova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izdatih dužničkih instrumenata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Prilivi po osnovu izdatih dužničkih instrumenata (obveznica i sl.)</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izdatih dužničkih instrumenata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Odlivi po osnovu otplate glavnice izdatih dužničkih instrumenata</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prilivi iz finansijskih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Svi ostali prilivi, koji nisu uključeni u prethodno spomenute</w:t>
            </w:r>
          </w:p>
        </w:tc>
      </w:tr>
      <w:tr w:rsidR="00D1040C" w:rsidRPr="00D1040C" w:rsidTr="00D0548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24"/>
                <w:szCs w:val="24"/>
              </w:rPr>
            </w:pPr>
            <w:r w:rsidRPr="00D1040C">
              <w:rPr>
                <w:rFonts w:ascii="Arial" w:hAnsi="Arial" w:cs="Arial"/>
                <w:sz w:val="24"/>
                <w:szCs w:val="24"/>
              </w:rPr>
              <w:t>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Ostali odlivi iz finansijskih aktivnosti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D1040C">
            <w:pPr>
              <w:jc w:val="both"/>
              <w:rPr>
                <w:rFonts w:ascii="Arial" w:hAnsi="Arial" w:cs="Arial"/>
                <w:sz w:val="18"/>
                <w:szCs w:val="18"/>
              </w:rPr>
            </w:pPr>
            <w:r w:rsidRPr="00D1040C">
              <w:rPr>
                <w:rFonts w:ascii="Arial" w:hAnsi="Arial" w:cs="Arial"/>
                <w:sz w:val="18"/>
                <w:szCs w:val="18"/>
              </w:rPr>
              <w:t>362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1040C" w:rsidRPr="00D1040C" w:rsidRDefault="00D1040C" w:rsidP="00E01C97">
            <w:pPr>
              <w:rPr>
                <w:rFonts w:ascii="Arial" w:hAnsi="Arial" w:cs="Arial"/>
                <w:sz w:val="18"/>
                <w:szCs w:val="18"/>
              </w:rPr>
            </w:pPr>
            <w:r w:rsidRPr="00D1040C">
              <w:rPr>
                <w:rFonts w:ascii="Arial" w:hAnsi="Arial" w:cs="Arial"/>
                <w:sz w:val="18"/>
                <w:szCs w:val="18"/>
              </w:rPr>
              <w:t>Svi ostali odlivi, koji nisu uključeni u prethodno spomenute</w:t>
            </w:r>
          </w:p>
        </w:tc>
      </w:tr>
    </w:tbl>
    <w:p w:rsidR="00D1040C" w:rsidRPr="00D1040C" w:rsidRDefault="00D1040C" w:rsidP="00D1040C">
      <w:pPr>
        <w:jc w:val="both"/>
        <w:rPr>
          <w:rFonts w:ascii="Arial" w:hAnsi="Arial" w:cs="Arial"/>
          <w:b/>
          <w:bCs/>
          <w:sz w:val="24"/>
          <w:szCs w:val="24"/>
        </w:rPr>
      </w:pPr>
      <w:bookmarkStart w:id="16" w:name="str_6"/>
      <w:bookmarkEnd w:id="16"/>
    </w:p>
    <w:p w:rsidR="00D1040C" w:rsidRPr="00D1040C" w:rsidRDefault="00D1040C" w:rsidP="00D1040C">
      <w:pPr>
        <w:jc w:val="both"/>
        <w:rPr>
          <w:rFonts w:ascii="Arial" w:hAnsi="Arial" w:cs="Arial"/>
          <w:b/>
          <w:bCs/>
          <w:sz w:val="24"/>
          <w:szCs w:val="24"/>
        </w:rPr>
      </w:pPr>
      <w:r w:rsidRPr="00D1040C">
        <w:rPr>
          <w:rFonts w:ascii="Arial" w:hAnsi="Arial" w:cs="Arial"/>
          <w:b/>
          <w:bCs/>
          <w:sz w:val="24"/>
          <w:szCs w:val="24"/>
        </w:rPr>
        <w:t>Odjeljak D. Bilješke uz finansijske izvještaje</w:t>
      </w:r>
    </w:p>
    <w:p w:rsidR="00D1040C" w:rsidRPr="00D1040C" w:rsidRDefault="00D1040C" w:rsidP="00D1040C">
      <w:pPr>
        <w:jc w:val="center"/>
        <w:rPr>
          <w:rFonts w:ascii="Arial" w:hAnsi="Arial" w:cs="Arial"/>
          <w:b/>
          <w:bCs/>
          <w:sz w:val="24"/>
          <w:szCs w:val="24"/>
        </w:rPr>
      </w:pPr>
      <w:bookmarkStart w:id="17" w:name="clan_12"/>
      <w:bookmarkEnd w:id="17"/>
      <w:r w:rsidRPr="00D1040C">
        <w:rPr>
          <w:rFonts w:ascii="Arial" w:hAnsi="Arial" w:cs="Arial"/>
          <w:b/>
          <w:bCs/>
          <w:sz w:val="24"/>
          <w:szCs w:val="24"/>
        </w:rPr>
        <w:t>Član 12.</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(Sadržaj bilješki)</w:t>
      </w:r>
    </w:p>
    <w:p w:rsidR="00D1040C" w:rsidRPr="00D1040C" w:rsidRDefault="00D1040C" w:rsidP="00D1040C">
      <w:pPr>
        <w:jc w:val="both"/>
        <w:rPr>
          <w:rFonts w:ascii="Arial" w:hAnsi="Arial" w:cs="Arial"/>
          <w:sz w:val="24"/>
          <w:szCs w:val="24"/>
        </w:rPr>
      </w:pPr>
      <w:r w:rsidRPr="00D1040C">
        <w:rPr>
          <w:rFonts w:ascii="Arial" w:hAnsi="Arial" w:cs="Arial"/>
          <w:sz w:val="24"/>
          <w:szCs w:val="24"/>
        </w:rPr>
        <w:t>(1) Pored obrazaca (uključujući i Izvještaj o promjenama na kapitalu koji je propisan posebnim pravilnikom), banke i druge finansijske organizacije trebaju pripremiti i bilješke uz obrasce.</w:t>
      </w:r>
    </w:p>
    <w:p w:rsidR="00D1040C" w:rsidRPr="00D1040C" w:rsidRDefault="00D1040C" w:rsidP="00D1040C">
      <w:pPr>
        <w:jc w:val="both"/>
        <w:rPr>
          <w:rFonts w:ascii="Arial" w:hAnsi="Arial" w:cs="Arial"/>
          <w:sz w:val="24"/>
          <w:szCs w:val="24"/>
        </w:rPr>
      </w:pPr>
      <w:r w:rsidRPr="00D1040C">
        <w:rPr>
          <w:rFonts w:ascii="Arial" w:hAnsi="Arial" w:cs="Arial"/>
          <w:sz w:val="24"/>
          <w:szCs w:val="24"/>
        </w:rPr>
        <w:lastRenderedPageBreak/>
        <w:t>(2) Bilješke sadrže dopunske informacije (tekstualni opis ili raščlanjivanje) za materijalno značajne stavke prezentirane u obrascima, u odnosu na one prezentirane u Izvještaju o finansijskom položaju na kraju perioda, Izvještaju o ukupnom rezultatu za period, Izvještaju o tokovima gotovine i Izvještaju o promjenama na kapitalu.</w:t>
      </w:r>
    </w:p>
    <w:p w:rsidR="00D1040C" w:rsidRPr="00D1040C" w:rsidRDefault="00D1040C" w:rsidP="00D1040C">
      <w:pPr>
        <w:jc w:val="both"/>
        <w:rPr>
          <w:rFonts w:ascii="Arial" w:hAnsi="Arial" w:cs="Arial"/>
          <w:sz w:val="24"/>
          <w:szCs w:val="24"/>
        </w:rPr>
      </w:pPr>
      <w:r w:rsidRPr="00D1040C">
        <w:rPr>
          <w:rFonts w:ascii="Arial" w:hAnsi="Arial" w:cs="Arial"/>
          <w:sz w:val="24"/>
          <w:szCs w:val="24"/>
        </w:rPr>
        <w:t>(3) U bilješkama se uz zahtjeve propisane članom 37. st. (3) i (4) Zakona o računovodstvu i reviziji u Federaciji Bosne i Hercegovine ("Službene novine Federacije biH, broj 15/21):</w:t>
      </w:r>
    </w:p>
    <w:p w:rsidR="00D1040C" w:rsidRPr="00D1040C" w:rsidRDefault="00D1040C" w:rsidP="00D1040C">
      <w:pPr>
        <w:jc w:val="both"/>
        <w:rPr>
          <w:rFonts w:ascii="Arial" w:hAnsi="Arial" w:cs="Arial"/>
          <w:sz w:val="24"/>
          <w:szCs w:val="24"/>
        </w:rPr>
      </w:pPr>
      <w:r w:rsidRPr="00D1040C">
        <w:rPr>
          <w:rFonts w:ascii="Arial" w:hAnsi="Arial" w:cs="Arial"/>
          <w:sz w:val="24"/>
          <w:szCs w:val="24"/>
        </w:rPr>
        <w:t>a) prezentiraju informacije o osnovi za sastavljanje obrazaca i primijenjenim računovodstvenim politikama,</w:t>
      </w:r>
    </w:p>
    <w:p w:rsidR="00D1040C" w:rsidRPr="00D1040C" w:rsidRDefault="00D1040C" w:rsidP="00D1040C">
      <w:pPr>
        <w:jc w:val="both"/>
        <w:rPr>
          <w:rFonts w:ascii="Arial" w:hAnsi="Arial" w:cs="Arial"/>
          <w:sz w:val="24"/>
          <w:szCs w:val="24"/>
        </w:rPr>
      </w:pPr>
      <w:r w:rsidRPr="00D1040C">
        <w:rPr>
          <w:rFonts w:ascii="Arial" w:hAnsi="Arial" w:cs="Arial"/>
          <w:sz w:val="24"/>
          <w:szCs w:val="24"/>
        </w:rPr>
        <w:t>b) objavljuju informacije koje zahtijevaju MSFI u vezi pozicija koje banke i druge finansijske organizacije imaju u svojim obrascima, a koje nisu detaljno prikazane na obrascima i</w:t>
      </w:r>
    </w:p>
    <w:p w:rsidR="00D1040C" w:rsidRPr="00D1040C" w:rsidRDefault="00D1040C" w:rsidP="00D1040C">
      <w:pPr>
        <w:jc w:val="both"/>
        <w:rPr>
          <w:rFonts w:ascii="Arial" w:hAnsi="Arial" w:cs="Arial"/>
          <w:sz w:val="24"/>
          <w:szCs w:val="24"/>
        </w:rPr>
      </w:pPr>
      <w:r w:rsidRPr="00D1040C">
        <w:rPr>
          <w:rFonts w:ascii="Arial" w:hAnsi="Arial" w:cs="Arial"/>
          <w:sz w:val="24"/>
          <w:szCs w:val="24"/>
        </w:rPr>
        <w:t>c) pružaju dodatne informacije koje nisu prezentirane u obrascima, ali su relevantne za njihovo razumijevanje.</w:t>
      </w:r>
    </w:p>
    <w:p w:rsidR="00D1040C" w:rsidRPr="00D1040C" w:rsidRDefault="00D1040C" w:rsidP="00D1040C">
      <w:pPr>
        <w:jc w:val="both"/>
        <w:rPr>
          <w:rFonts w:ascii="Arial" w:hAnsi="Arial" w:cs="Arial"/>
          <w:sz w:val="24"/>
          <w:szCs w:val="24"/>
        </w:rPr>
      </w:pPr>
      <w:r w:rsidRPr="00D1040C">
        <w:rPr>
          <w:rFonts w:ascii="Arial" w:hAnsi="Arial" w:cs="Arial"/>
          <w:sz w:val="24"/>
          <w:szCs w:val="24"/>
        </w:rPr>
        <w:t>(4) U obrascima Izvještaj o finansijskom položaju na kraju perioda, Izvještaj o ukupnom rezultatu za period i Izvještaj o tokovima gotovine, u koloni 3, unose se brojevi bilješki za materijalno značajne stavke iz obrazaca na koje se te bilješke i odnose.</w:t>
      </w:r>
    </w:p>
    <w:p w:rsidR="00D1040C" w:rsidRPr="00D1040C" w:rsidRDefault="00D1040C" w:rsidP="00D1040C">
      <w:pPr>
        <w:jc w:val="both"/>
        <w:rPr>
          <w:rFonts w:ascii="Arial" w:hAnsi="Arial" w:cs="Arial"/>
          <w:sz w:val="24"/>
          <w:szCs w:val="24"/>
        </w:rPr>
      </w:pPr>
      <w:r w:rsidRPr="00D1040C">
        <w:rPr>
          <w:rFonts w:ascii="Arial" w:hAnsi="Arial" w:cs="Arial"/>
          <w:sz w:val="24"/>
          <w:szCs w:val="24"/>
        </w:rPr>
        <w:t>(5) Bilješke se moraju prezentirati sistematski, koliko god je to moguće.</w:t>
      </w:r>
    </w:p>
    <w:p w:rsidR="00D1040C" w:rsidRPr="00D1040C" w:rsidRDefault="00D1040C" w:rsidP="00D1040C">
      <w:pPr>
        <w:jc w:val="both"/>
        <w:rPr>
          <w:rFonts w:ascii="Arial" w:hAnsi="Arial" w:cs="Arial"/>
          <w:b/>
          <w:sz w:val="24"/>
          <w:szCs w:val="24"/>
        </w:rPr>
      </w:pPr>
      <w:bookmarkStart w:id="18" w:name="str_7"/>
      <w:bookmarkEnd w:id="18"/>
      <w:r w:rsidRPr="00D1040C">
        <w:rPr>
          <w:rFonts w:ascii="Arial" w:hAnsi="Arial" w:cs="Arial"/>
          <w:b/>
          <w:sz w:val="24"/>
          <w:szCs w:val="24"/>
        </w:rPr>
        <w:t>Poglavlje III. Prijelazne i završne odredbe</w:t>
      </w:r>
    </w:p>
    <w:p w:rsidR="00D1040C" w:rsidRPr="00D1040C" w:rsidRDefault="00D1040C" w:rsidP="00D1040C">
      <w:pPr>
        <w:jc w:val="center"/>
        <w:rPr>
          <w:rFonts w:ascii="Arial" w:hAnsi="Arial" w:cs="Arial"/>
          <w:b/>
          <w:bCs/>
          <w:sz w:val="24"/>
          <w:szCs w:val="24"/>
        </w:rPr>
      </w:pPr>
      <w:bookmarkStart w:id="19" w:name="clan_13"/>
      <w:bookmarkEnd w:id="19"/>
      <w:r w:rsidRPr="00D1040C">
        <w:rPr>
          <w:rFonts w:ascii="Arial" w:hAnsi="Arial" w:cs="Arial"/>
          <w:b/>
          <w:bCs/>
          <w:sz w:val="24"/>
          <w:szCs w:val="24"/>
        </w:rPr>
        <w:t>Član 13.</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(Primjena Izvještaja)</w:t>
      </w:r>
    </w:p>
    <w:p w:rsidR="00D1040C" w:rsidRPr="00D1040C" w:rsidRDefault="00D1040C" w:rsidP="00D1040C">
      <w:pPr>
        <w:jc w:val="both"/>
        <w:rPr>
          <w:rFonts w:ascii="Arial" w:hAnsi="Arial" w:cs="Arial"/>
          <w:sz w:val="24"/>
          <w:szCs w:val="24"/>
        </w:rPr>
      </w:pPr>
      <w:r w:rsidRPr="00D1040C">
        <w:rPr>
          <w:rFonts w:ascii="Arial" w:hAnsi="Arial" w:cs="Arial"/>
          <w:sz w:val="24"/>
          <w:szCs w:val="24"/>
        </w:rPr>
        <w:t>Danom početka primjene ovog pravilnik prestaje da važi Pravilnik o sadržaju i formi finansijskih izvještaja za banke i druge finansijske organizacije ("Službene novine Federacije BiH", br. 82/10 i 3/21).</w:t>
      </w:r>
    </w:p>
    <w:p w:rsidR="00D1040C" w:rsidRPr="00D1040C" w:rsidRDefault="00D1040C" w:rsidP="00D1040C">
      <w:pPr>
        <w:jc w:val="center"/>
        <w:rPr>
          <w:rFonts w:ascii="Arial" w:hAnsi="Arial" w:cs="Arial"/>
          <w:b/>
          <w:bCs/>
          <w:sz w:val="24"/>
          <w:szCs w:val="24"/>
        </w:rPr>
      </w:pPr>
      <w:bookmarkStart w:id="20" w:name="clan_14"/>
      <w:bookmarkEnd w:id="20"/>
      <w:r w:rsidRPr="00D1040C">
        <w:rPr>
          <w:rFonts w:ascii="Arial" w:hAnsi="Arial" w:cs="Arial"/>
          <w:b/>
          <w:bCs/>
          <w:sz w:val="24"/>
          <w:szCs w:val="24"/>
        </w:rPr>
        <w:t>Član 14.</w:t>
      </w:r>
    </w:p>
    <w:p w:rsidR="00D1040C" w:rsidRPr="00D1040C" w:rsidRDefault="00D1040C" w:rsidP="00D1040C">
      <w:pPr>
        <w:jc w:val="center"/>
        <w:rPr>
          <w:rFonts w:ascii="Arial" w:hAnsi="Arial" w:cs="Arial"/>
          <w:b/>
          <w:bCs/>
          <w:sz w:val="24"/>
          <w:szCs w:val="24"/>
        </w:rPr>
      </w:pPr>
      <w:r w:rsidRPr="00D1040C">
        <w:rPr>
          <w:rFonts w:ascii="Arial" w:hAnsi="Arial" w:cs="Arial"/>
          <w:b/>
          <w:bCs/>
          <w:sz w:val="24"/>
          <w:szCs w:val="24"/>
        </w:rPr>
        <w:t>(Stupanje na snagu)</w:t>
      </w:r>
    </w:p>
    <w:p w:rsidR="00D1040C" w:rsidRPr="00D1040C" w:rsidRDefault="00D1040C" w:rsidP="00D1040C">
      <w:pPr>
        <w:jc w:val="both"/>
        <w:rPr>
          <w:rFonts w:ascii="Arial" w:hAnsi="Arial" w:cs="Arial"/>
          <w:sz w:val="24"/>
          <w:szCs w:val="24"/>
        </w:rPr>
      </w:pPr>
      <w:r w:rsidRPr="00D1040C">
        <w:rPr>
          <w:rFonts w:ascii="Arial" w:hAnsi="Arial" w:cs="Arial"/>
          <w:sz w:val="24"/>
          <w:szCs w:val="24"/>
        </w:rPr>
        <w:t>Ovaj pravilnik stupa na snagu narednog dana od dana objavljivanja u "Službenim novinama Federacije BiH", a primjenjivat će se počev od finansijskih izvještaja za periode koji počinju 01.01.2022. godine i nakon toga.</w:t>
      </w:r>
    </w:p>
    <w:p w:rsidR="00D1040C" w:rsidRPr="00D1040C" w:rsidRDefault="00D1040C" w:rsidP="00D1040C">
      <w:pPr>
        <w:jc w:val="both"/>
        <w:rPr>
          <w:rFonts w:ascii="Arial" w:hAnsi="Arial" w:cs="Arial"/>
          <w:sz w:val="24"/>
          <w:szCs w:val="24"/>
        </w:rPr>
      </w:pPr>
      <w:r w:rsidRPr="00D1040C">
        <w:rPr>
          <w:rFonts w:ascii="Arial" w:hAnsi="Arial" w:cs="Arial"/>
          <w:sz w:val="24"/>
          <w:szCs w:val="24"/>
        </w:rPr>
        <w:t> </w:t>
      </w:r>
    </w:p>
    <w:p w:rsidR="00D1040C" w:rsidRPr="00D1040C" w:rsidRDefault="00D1040C" w:rsidP="00D1040C">
      <w:pPr>
        <w:jc w:val="both"/>
        <w:rPr>
          <w:rFonts w:ascii="Arial" w:hAnsi="Arial" w:cs="Arial"/>
          <w:sz w:val="24"/>
          <w:szCs w:val="24"/>
        </w:rPr>
      </w:pPr>
    </w:p>
    <w:p w:rsidR="00D1040C" w:rsidRPr="00D1040C" w:rsidRDefault="00D1040C" w:rsidP="00D1040C">
      <w:pPr>
        <w:jc w:val="both"/>
        <w:rPr>
          <w:rFonts w:ascii="Arial" w:hAnsi="Arial" w:cs="Arial"/>
          <w:sz w:val="24"/>
          <w:szCs w:val="24"/>
        </w:rPr>
      </w:pPr>
    </w:p>
    <w:p w:rsidR="007A4A91" w:rsidRDefault="007A4A91" w:rsidP="0071634A">
      <w:pPr>
        <w:shd w:val="clear" w:color="auto" w:fill="FFFFFF"/>
        <w:spacing w:after="0" w:line="240" w:lineRule="auto"/>
        <w:rPr>
          <w:rFonts w:ascii="Arial" w:eastAsia="Times New Roman" w:hAnsi="Arial" w:cs="Arial"/>
          <w:color w:val="000000"/>
          <w:sz w:val="21"/>
          <w:szCs w:val="21"/>
          <w:lang w:eastAsia="en-GB"/>
        </w:rPr>
      </w:pPr>
    </w:p>
    <w:p w:rsidR="007A4A91" w:rsidRDefault="007A4A91" w:rsidP="0071634A">
      <w:pPr>
        <w:shd w:val="clear" w:color="auto" w:fill="FFFFFF"/>
        <w:spacing w:after="0" w:line="240" w:lineRule="auto"/>
        <w:rPr>
          <w:rFonts w:ascii="Arial" w:eastAsia="Times New Roman" w:hAnsi="Arial" w:cs="Arial"/>
          <w:color w:val="000000"/>
          <w:sz w:val="21"/>
          <w:szCs w:val="21"/>
          <w:lang w:eastAsia="en-GB"/>
        </w:rPr>
      </w:pPr>
    </w:p>
    <w:p w:rsidR="003042FE" w:rsidRDefault="003042FE" w:rsidP="0071634A">
      <w:pPr>
        <w:shd w:val="clear" w:color="auto" w:fill="FFFFFF"/>
        <w:spacing w:after="0" w:line="240" w:lineRule="auto"/>
        <w:rPr>
          <w:rFonts w:ascii="Arial" w:eastAsia="Times New Roman" w:hAnsi="Arial" w:cs="Arial"/>
          <w:color w:val="000000"/>
          <w:sz w:val="21"/>
          <w:szCs w:val="21"/>
          <w:lang w:eastAsia="en-GB"/>
        </w:rPr>
      </w:pPr>
      <w:bookmarkStart w:id="21" w:name="_GoBack"/>
      <w:bookmarkEnd w:id="21"/>
      <w:r w:rsidRPr="003042FE">
        <w:rPr>
          <w:rFonts w:ascii="Arial" w:eastAsia="Times New Roman" w:hAnsi="Arial" w:cs="Arial"/>
          <w:noProof/>
          <w:color w:val="000000"/>
          <w:sz w:val="21"/>
          <w:szCs w:val="21"/>
          <w:lang w:eastAsia="en-GB"/>
        </w:rPr>
        <w:lastRenderedPageBreak/>
        <w:drawing>
          <wp:inline distT="0" distB="0" distL="0" distR="0">
            <wp:extent cx="5727101" cy="810144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7A4A91" w:rsidRDefault="007A4A91"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tabs>
          <w:tab w:val="left" w:pos="4005"/>
        </w:tabs>
        <w:rPr>
          <w:rFonts w:ascii="Arial" w:eastAsia="Times New Roman" w:hAnsi="Arial" w:cs="Arial"/>
          <w:sz w:val="21"/>
          <w:szCs w:val="21"/>
          <w:lang w:eastAsia="en-GB"/>
        </w:rPr>
      </w:pPr>
      <w:r>
        <w:rPr>
          <w:rFonts w:ascii="Arial" w:eastAsia="Times New Roman" w:hAnsi="Arial" w:cs="Arial"/>
          <w:sz w:val="21"/>
          <w:szCs w:val="21"/>
          <w:lang w:eastAsia="en-GB"/>
        </w:rPr>
        <w:tab/>
      </w:r>
    </w:p>
    <w:p w:rsidR="003042FE" w:rsidRDefault="003042FE" w:rsidP="003042FE">
      <w:pPr>
        <w:tabs>
          <w:tab w:val="left" w:pos="4005"/>
        </w:tabs>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P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p w:rsidR="003042FE" w:rsidRDefault="003042FE" w:rsidP="003042FE">
      <w:pPr>
        <w:rPr>
          <w:rFonts w:ascii="Arial" w:eastAsia="Times New Roman" w:hAnsi="Arial" w:cs="Arial"/>
          <w:sz w:val="21"/>
          <w:szCs w:val="21"/>
          <w:lang w:eastAsia="en-GB"/>
        </w:rPr>
      </w:pPr>
    </w:p>
    <w:p w:rsidR="003042FE" w:rsidRDefault="003042FE" w:rsidP="003042FE">
      <w:pPr>
        <w:jc w:val="center"/>
        <w:rPr>
          <w:rFonts w:ascii="Arial" w:eastAsia="Times New Roman" w:hAnsi="Arial" w:cs="Arial"/>
          <w:sz w:val="21"/>
          <w:szCs w:val="21"/>
          <w:lang w:eastAsia="en-GB"/>
        </w:rPr>
      </w:pPr>
    </w:p>
    <w:p w:rsidR="003042FE" w:rsidRPr="003042FE" w:rsidRDefault="003042FE" w:rsidP="003042FE">
      <w:pPr>
        <w:jc w:val="center"/>
        <w:rPr>
          <w:rFonts w:ascii="Arial" w:eastAsia="Times New Roman" w:hAnsi="Arial" w:cs="Arial"/>
          <w:sz w:val="21"/>
          <w:szCs w:val="21"/>
          <w:lang w:eastAsia="en-GB"/>
        </w:rPr>
      </w:pPr>
      <w:r w:rsidRPr="003042FE">
        <w:rPr>
          <w:rFonts w:ascii="Arial" w:eastAsia="Times New Roman" w:hAnsi="Arial" w:cs="Arial"/>
          <w:noProof/>
          <w:sz w:val="21"/>
          <w:szCs w:val="21"/>
          <w:lang w:eastAsia="en-GB"/>
        </w:rPr>
        <w:lastRenderedPageBreak/>
        <w:drawing>
          <wp:inline distT="0" distB="0" distL="0" distR="0">
            <wp:extent cx="5727101" cy="810144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27101" cy="8101449"/>
                    </a:xfrm>
                    <a:prstGeom prst="rect">
                      <a:avLst/>
                    </a:prstGeom>
                    <a:noFill/>
                    <a:ln>
                      <a:noFill/>
                    </a:ln>
                  </pic:spPr>
                </pic:pic>
              </a:graphicData>
            </a:graphic>
          </wp:inline>
        </w:drawing>
      </w:r>
    </w:p>
    <w:sectPr w:rsidR="003042FE" w:rsidRPr="003042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2CE3"/>
    <w:multiLevelType w:val="hybridMultilevel"/>
    <w:tmpl w:val="22F0AA68"/>
    <w:lvl w:ilvl="0" w:tplc="2E1E8B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34181A"/>
    <w:multiLevelType w:val="hybridMultilevel"/>
    <w:tmpl w:val="64EE9C12"/>
    <w:lvl w:ilvl="0" w:tplc="73669F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4A"/>
    <w:rsid w:val="003042FE"/>
    <w:rsid w:val="006A55A1"/>
    <w:rsid w:val="0071634A"/>
    <w:rsid w:val="007A4A91"/>
    <w:rsid w:val="007A4D62"/>
    <w:rsid w:val="00D1040C"/>
    <w:rsid w:val="00E01C97"/>
    <w:rsid w:val="00FA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DDC4"/>
  <w15:chartTrackingRefBased/>
  <w15:docId w15:val="{42053361-99D7-40FE-8DB7-B6ADA5DE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34A"/>
  </w:style>
  <w:style w:type="paragraph" w:styleId="Heading4">
    <w:name w:val="heading 4"/>
    <w:basedOn w:val="Normal"/>
    <w:link w:val="Heading4Char"/>
    <w:uiPriority w:val="9"/>
    <w:qFormat/>
    <w:rsid w:val="0071634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1634A"/>
    <w:rPr>
      <w:rFonts w:ascii="Times New Roman" w:eastAsia="Times New Roman" w:hAnsi="Times New Roman" w:cs="Times New Roman"/>
      <w:b/>
      <w:bCs/>
      <w:sz w:val="24"/>
      <w:szCs w:val="24"/>
      <w:lang w:eastAsia="en-GB"/>
    </w:rPr>
  </w:style>
  <w:style w:type="numbering" w:customStyle="1" w:styleId="NoList1">
    <w:name w:val="No List1"/>
    <w:next w:val="NoList"/>
    <w:uiPriority w:val="99"/>
    <w:semiHidden/>
    <w:unhideWhenUsed/>
    <w:rsid w:val="0071634A"/>
  </w:style>
  <w:style w:type="paragraph" w:customStyle="1" w:styleId="msonormal0">
    <w:name w:val="msonormal"/>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dnaslovpropisa">
    <w:name w:val="podnaslovpropisa"/>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prored">
    <w:name w:val="normalprored"/>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yq060---pododeljak">
    <w:name w:val="wyq060---pododeljak"/>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lan">
    <w:name w:val="clan"/>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boldcentar">
    <w:name w:val="normalboldcentar"/>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yq110---naslov-clana">
    <w:name w:val="wyq110---naslov-clana"/>
    <w:basedOn w:val="Normal"/>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163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1634A"/>
    <w:rPr>
      <w:color w:val="0000FF"/>
      <w:u w:val="single"/>
    </w:rPr>
  </w:style>
  <w:style w:type="character" w:styleId="FollowedHyperlink">
    <w:name w:val="FollowedHyperlink"/>
    <w:basedOn w:val="DefaultParagraphFont"/>
    <w:uiPriority w:val="99"/>
    <w:semiHidden/>
    <w:unhideWhenUsed/>
    <w:rsid w:val="0071634A"/>
    <w:rPr>
      <w:color w:val="800080"/>
      <w:u w:val="single"/>
    </w:rPr>
  </w:style>
  <w:style w:type="paragraph" w:styleId="ListParagraph">
    <w:name w:val="List Paragraph"/>
    <w:basedOn w:val="Normal"/>
    <w:uiPriority w:val="34"/>
    <w:qFormat/>
    <w:rsid w:val="0071634A"/>
    <w:pPr>
      <w:ind w:left="720"/>
      <w:contextualSpacing/>
    </w:pPr>
  </w:style>
  <w:style w:type="paragraph" w:customStyle="1" w:styleId="Normal2">
    <w:name w:val="Normal2"/>
    <w:basedOn w:val="Normal"/>
    <w:rsid w:val="00D10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0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31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Begic</dc:creator>
  <cp:keywords/>
  <dc:description/>
  <cp:lastModifiedBy>Jasmin Rustemi</cp:lastModifiedBy>
  <cp:revision>2</cp:revision>
  <dcterms:created xsi:type="dcterms:W3CDTF">2024-01-08T12:39:00Z</dcterms:created>
  <dcterms:modified xsi:type="dcterms:W3CDTF">2024-01-08T12:39:00Z</dcterms:modified>
</cp:coreProperties>
</file>