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ODLUKA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O </w:t>
      </w:r>
      <w:proofErr w:type="spellStart"/>
      <w:r w:rsidRPr="00722B4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IZNOŠENJU</w:t>
      </w:r>
      <w:proofErr w:type="spellEnd"/>
      <w:r w:rsidRPr="00722B4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 STRANE GOTOVINE I ČEKOVA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br. 58/10 i 38/17)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- prečišćena neslužbena verzija -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0" w:name="str_1"/>
      <w:bookmarkEnd w:id="0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Ovom se Odlukom uređuje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strane gotovine i čekova pri prelasku državne granice, kao i u poštanskim i drugim pošiljkama.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2"/>
      <w:bookmarkEnd w:id="1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Fizičko lice dužno je pri</w:t>
      </w:r>
      <w:bookmarkStart w:id="2" w:name="_GoBack"/>
      <w:bookmarkEnd w:id="2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likom prelaska granice na graničnim prijelazima prijaviti carinskom organu svako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gotovine i čekova u stranoj valuti i konvertibilnim markama, za vlastite potrebe ili za drugo lice, preko vrijednosti propisane ovom odlukom.</w:t>
      </w:r>
    </w:p>
    <w:p w:rsid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(2) Prilikom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podnošenja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prijave iz stava (1) ove tačke, fizičko lice dužno je, pored strane gotovine, konvertibilnih maraka i čekova, prijaviti vrijednosne papire i sve druge fizički prenosive instrumente plaćanja u skladu sa propisom kojim se uređuje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sprječavanje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pranja novca i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finansiranja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terorističkih aktivnosti (u daljnjem tekstu: gotovina).</w:t>
      </w:r>
    </w:p>
    <w:p w:rsid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(3) Prijava iz stava (1) ove tačke obavezno sadrži podatke o: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1. podnositelju (ime i prezime, datum i mjesto rođenja, državljanstvo),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2. vlasniku gotovine,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3. predviđenom primatelju gotovine,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4. iznosu i vrsti gotovine,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5. porijeklu i namjeni gotovine,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6. smjeru putovanja,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7. prijevoznom sredstvu.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(4) Prijava iz stava (1) ove tačke podnosi se na Obrascu za prijavu gotovine, koji se nalazi u Prilogu ove odluke i s Uputstvom za popunjavanje čini njen sastavni dio.</w:t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(5) Obrazac iz stava (4) ove tačke, s Uputstvom za popunjavanje, dostupan je na portalu Vlade Federacije Bosne i Hercegovine (www.fbihvlada.gov.ba), odnosno internetskoj stranici Ministarstva (www.fmf.gov.ba).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" w:name="str_3"/>
      <w:bookmarkEnd w:id="3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Rezident fizičko lice može pri prelasku državne granice iznositi stranu gotovinu i čekove u vrijednosti 10.000 eura.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4" w:name="str_4"/>
      <w:bookmarkEnd w:id="4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Osim iznosa iz tačke III. ove Odluke rezident fizičko lice prilikom službenog puta u inostranstvo može iznijeti stranu gotovinu i čekove na osnovu putnog naloga u visini iznosa navedenog u nalogu i u nalogu banke za isplatu gotovine sa deviznog računa.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5" w:name="str_5"/>
      <w:bookmarkEnd w:id="5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Osim iznosa iz tačke III. ove Odluke, ovlašteno lice rezidenta pravnog lica i poduzetnika može iznijeti stranu gotovinu i čekove za potrebe plaćanja uvoza robe ili usluga iz inostranstva u vrijednosti do 3.000,00 eura, a više uz odobrenje Federalnog ministarstva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(u daljnjem tekstu: Ministarstvo).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strane gotovine i čekova za ovu namjenu rezident pravda kod carinskog organa nalogom banke iz tačke IV. ove Odluke i odobrenjem Ministarstva.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6" w:name="str_6"/>
      <w:bookmarkEnd w:id="6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 fizičko lice može iznositi stranu gotovinu u vrijednosti 10.000 eura kao i stranu gotovinu koju je prijavio pri ulasku u zemlju i stranu gotovinu koju je u zemlji podigao sa deviznog računa, odnosno sa devizne štedne knjižice o čemu dobiva ispravu od banke.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7" w:name="str_7"/>
      <w:bookmarkEnd w:id="7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dozvoljeni iznos iz tačke III. i VI. ove Odluke uključen je i iznos konvertibilnih maraka ako se u inostranstvo istovremeno iznose i konvertibilne marke.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8" w:name="str_8"/>
      <w:bookmarkEnd w:id="8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VIII.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gotovine i čekova u većem iznosu od propisanog u tački III. ove Odluke je dozvoljeno samo uz prethodno odobrenje Ministarstva.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Odobrenja iz stava 1. ove tačke Ministarstvo izdaje na osnovu zahtjeva po slijedećim osnovama: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 radi trajnog iseljenja rezidenta fizičkog lica u inostranstvo,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2) za troškove liječenja i školovanja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3) za poklone i pomoći rezidenta fizičkog lica članovima uže porodice s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prebivalištem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odnosno boravištem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4) za nasljeđivanje po odluci suda ili drugog tijela koje vodi ostavinski postupak, ako nasljednici žive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5) za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podmirenje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useljenikova duga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6) izdržavanje porodice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7) u slučaju drugog opravdanog razloga, čiju opravdanost ocjenjuje Ministarstvo.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9" w:name="str_9"/>
      <w:bookmarkEnd w:id="9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IX.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Podnosilac zahtjeva iz tačke VIII. ove Odluke zahtjevu prilaže kopiju dokumentacije kojom se dokazuju navedeni razlozi za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strane gotovine, to je: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 radi trajnog iseljenja rezidenta fizičkog lica u inostranstvo: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useljenička viza koju je izdalo ovlašteno tijelo strane zemlje ili druga dokumentacija kojom se može dokazati trajno iseljenje,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2) za troškove liječenja i školovanja u inostranstvu: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preporuka ili uputnica za liječenje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dokaz o školovanju u inostranstvu,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3) za poklone i pomoći rezidenta fizičkog lica članovima uže porodice sa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prebivalištem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odnosno boravištem u inostranstvu: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izjava o darovanju ovjerena kod notara,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obrazloženje razloga zbog kojega se novac ili čekovi nose u inostranstvo.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4) za nasljeđivanje po odluci suda ili drugog tijela koje vodi ostavinski postupak, ako nasljednici imaju prebivalište u inostranstvu: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rješenje ili druga odgovarajuća odluka o nasljeđivanju,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dokaz o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prebivalištu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nasljednika,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5) za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podmirenje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useljenikova duga matičnoj zemlji: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dokaz o postojanju useljenikova duga u matičnoj zemlji,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6) odluka nadležnog suda o izdržavanju, odnosno sporazum o izdržavanju.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Ako je podnosilac zahtjeva opunomoćeno lice, zahtjevu se prilaže kopija punomoći ovjerena kod notara.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Ministarstvo može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zatražiti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 drugu dokumentaciju radi utvrđivanja opravdanosti razloga za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strane gotovine.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0" w:name="str_10"/>
      <w:bookmarkEnd w:id="10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Rezident fizičko lice može pri prelasku državne granice iznositi iz Federacije bankarske i putničke čekove koji glase na stranu valutu u vrijednosti većoj iz tačke III. ove Odluke isključivo radi plaćanja robe i usluga u inostranstvu, uz predočenje isprave koju izdaje banka i u kojoj se navodi da su čekovi izdati radi plaćanja u inostranstvu.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Zahtjevu za izdavanje čekova radi plaćanja u inostranstvu rezident fizičko lice prilaže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predračun nerezidenta - prodavaoca robe ili izvršioca usluge.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je dužna, u ispravi koju izdaje, radi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iznošenja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čekova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naznačiti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da su čekovi izdati radi plaćanja u inostranstvu te je dužna voditi posebnu evidenciju o izdatim čekovima, a predračune na osnovu kojih je izdala čekove, čuvati za potrebe nadzornih tijela.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Rezident fizičko lice kojem su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izdanti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čekovi radi plaćanja u inostranstvu prema ovoj odluci, dužan je u roku od 60 dana od dana izdavanja čekova podnijeti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dokaze da su čekovi iskorišteni za plaćanje robe i usluga u inostranstvu.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1" w:name="str_11"/>
      <w:bookmarkEnd w:id="11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može iznositi stranu gotovinu, konvertibilne marke i čekove iz Federacije radi polaganja u korist svog računa u stranoj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kao i vrijednosne papire radi deponiranja kod strane banke i korištenja za druge poslovne namjene u skladu sa propisima.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može poštanskim i drugim pošiljkama slati i iznositi u inostranstvo: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1) stranu gotovinu koju šalje u korist svojeg računa u stranoj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2) čekove koji glase na stranu valutu koje šalje stranoj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radi naplate.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2" w:name="str_12"/>
      <w:bookmarkEnd w:id="12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 u poštanskim i drugim pošiljkama slobodno šalje i iznosi stranu gotovinu i čekove, odnosno prima stranu gotovinu i čekove uz poštivanje propisa kojima je uređeno obavljanje poštanskih usluga u međunarodnom prometu.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3" w:name="str_13"/>
      <w:bookmarkEnd w:id="13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XIII.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izdavanja odobrenja iz ove Odluke provodi se u skladu sa Zakonom o upravnom postupku.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Podnosilac zahtjeva dužan je zahtjevu priložiti dokumentaciju i podatke propisane ovom Odlukom te taksu prema Zakonu o federalnim upravnim taksama.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4" w:name="str_14"/>
      <w:bookmarkEnd w:id="14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XIV.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Danom stupanja na snagu ove Odluke prestaje važiti Pravilnik o uslovima i postupku </w:t>
      </w:r>
      <w:proofErr w:type="spellStart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iznošenja</w:t>
      </w:r>
      <w:proofErr w:type="spellEnd"/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efektivnog stranog novca, vrijednosnih papira i vrijednosnica koje glase na strana sredstva plaćanja ("Službene novine Federacije BiH", broj 35/00).</w:t>
      </w:r>
    </w:p>
    <w:p w:rsidR="00722B4E" w:rsidRPr="00722B4E" w:rsidRDefault="00722B4E" w:rsidP="0072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5" w:name="str_15"/>
      <w:bookmarkEnd w:id="15"/>
      <w:r w:rsidRPr="00722B4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XV.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Odluka stupa na snagu narednog dana od dana objavljivanja u "Službenim novinama Federacije BiH".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noProof/>
          <w:color w:val="000000"/>
          <w:sz w:val="18"/>
          <w:szCs w:val="18"/>
          <w:lang w:val="hr-HR" w:eastAsia="hr-HR"/>
        </w:rPr>
        <w:lastRenderedPageBreak/>
        <w:drawing>
          <wp:inline distT="0" distB="0" distL="0" distR="0" wp14:anchorId="4333ED5A" wp14:editId="194A125E">
            <wp:extent cx="7620000" cy="11896725"/>
            <wp:effectExtent l="0" t="0" r="0" b="9525"/>
            <wp:docPr id="2" name="Picture 2" descr="http://rsbih.paragraflex.com/bih/documents/Old/2017/fb2017_038/fb2017_038_007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sbih.paragraflex.com/bih/documents/Old/2017/fb2017_038/fb2017_038_007_s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89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lastRenderedPageBreak/>
        <w:t>UPUTSTVO ZA POPUNJAVANJE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Fizičko lice dužno je prilikom prelaska granice na graničnim prijelazima carinskom organu prijaviti svako unošenje, odnosno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iznošenje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strane gotovine, konvertibilnih maraka i čekova, kao i vrijednosnih papira i svih drugih fizički prenosivih instrumenata plaćanja u skladu s propisom kojim se uređuje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sprječavanje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pranja novca i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finansiranja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terorističkih aktivnosti (u daljnjem tekstu: gotovina).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Fizičko lice (rezident i nerezident) dužno je popuniti velikim štampanim slovima sva polja označena bijelom bojom. Polja označena sivom bojom popunjava nadležni organ.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1. Dolazak u BiH i odlazak iz BiH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Označite polje: "Ulazite u BiH" pri ulasku u BiH, prilikom putovanja koje je počelo izvan BiH.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Označite polje: "Izlazite iz BiH" pri izlasku iz BiH, prilikom putovanja koje će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završiti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izvan BiH.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Prijavu ste dužni popuniti pri ulasku u BiH i pri izlasku iz BiH, čak i kada ste u provozu.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2. Lični podaci osobe koja prijavljuje gotovinu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Upišite lične podatke onako kako su napisani u vašem identifikacijskom dokumentu.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3. Lični podaci vlasnika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Ako niste vlasnik gotovine, navedite podatke vlasnika. Vlasnik može biti pravno ili fizičko lice. Označite odgovarajuće polje i popunite podatke. Navedite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JIB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/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JMB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ako vam je poznat. Ako je više vlasnika, njihove podatke navedite na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priloženim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dokumentima. Za tu namjenu mogu se koristiti dodatni primjerci Obrasca prijave. Svi podaci zajedno čine jednu prijavu. Dužni ste potpisati sve dodatne listove.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4. Detalji o gotovini/novčanim sredstvima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Navedite tačan iznos za svaku valutu i svaku vrstu fizički prenosivog instrumenata plaćanja. Te informacije navedite na sljedeći način: 10.847,00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EUR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ili 11.474,00 USD ili 9.256,33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GBP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ili putnički čekovi u vrijednosti 15.000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EUR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5. Porijeklo i namjeravana upotreba gotovine/novčanih sredstava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Porijeklo: navedite izvor iz kojeg potiče prijavljena gotovina.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Ukratko opišite predviđenu namjenu gotovine.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Predviđeni primatelj može biti pravno ili fizičko lice. Označite odgovarajuće polje i navedite podatke. Navedite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JIB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/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JMB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ako vam je poznat.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Ako je više vlasnika, navedite njihove podatke na </w:t>
      </w:r>
      <w:proofErr w:type="spellStart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priloženim</w:t>
      </w:r>
      <w:proofErr w:type="spellEnd"/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 xml:space="preserve"> dokumentima. Za tu namjenu mogu se koristiti dodatni primjerci obrasca prijave. Svi podaci zajedno čine jednu prijavu. Dužni ste potpisati sve dodatne listove.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6. Podaci o prijevozu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Označite: "Avion" ako dolazite/odlazite avionom. U polju: "Referentni broj" navedite broj leta.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Označite: "Cestovno vozilo" ako dolazite/odlazite bilo kojom vrstom motorizovanog cestovnog vozila (automobil, autobus, kamion, motocikl itd.). U polju: "Referentni broj" navedite registracijski broj i oznaku zemlje vozila.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Označite: "Voz" ako dolazite/odlazite vozom. U polju: "Referentni broj" navedite vrstu i broj voza.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Označite: "Brod" ako dolazite/odlazite brodom. U polju: "Referentni broj" navedite detalje o brodskoj liniji.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Označite: "Ostalo" ako niste koristili nijedan od navedenih načina prijevoza (npr. pješice, bicikl).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b/>
          <w:bCs/>
          <w:color w:val="000000"/>
          <w:sz w:val="18"/>
          <w:szCs w:val="18"/>
          <w:lang w:val="bs-Latn-BA" w:eastAsia="en-GB"/>
        </w:rPr>
        <w:t>7. Potpis podnosioca prijave</w:t>
      </w:r>
    </w:p>
    <w:p w:rsidR="00722B4E" w:rsidRPr="00722B4E" w:rsidRDefault="00722B4E" w:rsidP="00722B4E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</w:pPr>
      <w:r w:rsidRPr="00722B4E">
        <w:rPr>
          <w:rFonts w:ascii="Arial" w:eastAsia="Times New Roman" w:hAnsi="Arial" w:cs="Arial"/>
          <w:color w:val="000000"/>
          <w:sz w:val="18"/>
          <w:szCs w:val="18"/>
          <w:lang w:val="bs-Latn-BA" w:eastAsia="en-GB"/>
        </w:rPr>
        <w:t>Upišite datum i potpišite prijavu.</w:t>
      </w:r>
    </w:p>
    <w:p w:rsidR="007A0A9E" w:rsidRPr="00722B4E" w:rsidRDefault="007A0A9E">
      <w:pPr>
        <w:rPr>
          <w:rFonts w:ascii="Arial" w:hAnsi="Arial" w:cs="Arial"/>
          <w:lang w:val="bs-Latn-BA"/>
        </w:rPr>
      </w:pPr>
    </w:p>
    <w:sectPr w:rsidR="007A0A9E" w:rsidRPr="00722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4E"/>
    <w:rsid w:val="00722B4E"/>
    <w:rsid w:val="007A0A9E"/>
    <w:rsid w:val="007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6A59D-8191-409C-B2BF-5F3C7387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2023-11-27T15:45:00Z</dcterms:created>
  <dcterms:modified xsi:type="dcterms:W3CDTF">2023-11-27T15:45:00Z</dcterms:modified>
</cp:coreProperties>
</file>