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8.xml" ContentType="application/vnd.openxmlformats-officedocument.drawingml.chart+xml"/>
  <Override PartName="/word/theme/themeOverride6.xml" ContentType="application/vnd.openxmlformats-officedocument.themeOverride+xml"/>
  <Override PartName="/word/drawings/drawing2.xml" ContentType="application/vnd.openxmlformats-officedocument.drawingml.chartshape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538135" w:themeColor="accent6" w:themeShade="BF"/>
        </w:rPr>
        <w:id w:val="1295100865"/>
        <w:docPartObj>
          <w:docPartGallery w:val="Cover Pages"/>
          <w:docPartUnique/>
        </w:docPartObj>
      </w:sdtPr>
      <w:sdtEndPr>
        <w:rPr>
          <w:rFonts w:ascii="Arial" w:hAnsi="Arial" w:cs="Arial"/>
          <w:sz w:val="24"/>
          <w:szCs w:val="24"/>
        </w:rPr>
      </w:sdtEndPr>
      <w:sdtContent>
        <w:p w14:paraId="65C331D5" w14:textId="77777777" w:rsidR="007B6BE3" w:rsidRPr="0087376B" w:rsidRDefault="007B6BE3" w:rsidP="007B6BE3">
          <w:pPr>
            <w:tabs>
              <w:tab w:val="left" w:pos="1605"/>
            </w:tabs>
            <w:jc w:val="center"/>
            <w:rPr>
              <w:caps/>
              <w:color w:val="FFFFFF" w:themeColor="background1"/>
            </w:rPr>
          </w:pPr>
          <w:r w:rsidRPr="0087376B">
            <w:rPr>
              <w:rFonts w:ascii="Arial" w:hAnsi="Arial" w:cs="Arial"/>
              <w:noProof/>
              <w:color w:val="FFFFFF" w:themeColor="background1"/>
              <w:sz w:val="24"/>
              <w:szCs w:val="24"/>
              <w:lang w:eastAsia="hr-HR"/>
            </w:rPr>
            <mc:AlternateContent>
              <mc:Choice Requires="wpg">
                <w:drawing>
                  <wp:anchor distT="0" distB="0" distL="114300" distR="114300" simplePos="0" relativeHeight="251659264" behindDoc="1" locked="0" layoutInCell="1" allowOverlap="1" wp14:anchorId="5DBDBD92" wp14:editId="531E81D9">
                    <wp:simplePos x="0" y="0"/>
                    <wp:positionH relativeFrom="margin">
                      <wp:posOffset>-668867</wp:posOffset>
                    </wp:positionH>
                    <wp:positionV relativeFrom="margin">
                      <wp:posOffset>-441326</wp:posOffset>
                    </wp:positionV>
                    <wp:extent cx="7058025" cy="9863667"/>
                    <wp:effectExtent l="0" t="0" r="9525" b="4445"/>
                    <wp:wrapNone/>
                    <wp:docPr id="193" name="Group 193"/>
                    <wp:cNvGraphicFramePr/>
                    <a:graphic xmlns:a="http://schemas.openxmlformats.org/drawingml/2006/main">
                      <a:graphicData uri="http://schemas.microsoft.com/office/word/2010/wordprocessingGroup">
                        <wpg:wgp>
                          <wpg:cNvGrpSpPr/>
                          <wpg:grpSpPr>
                            <a:xfrm>
                              <a:off x="0" y="0"/>
                              <a:ext cx="7058025" cy="9863667"/>
                              <a:chOff x="-28575" y="0"/>
                              <a:chExt cx="7058025" cy="9724395"/>
                            </a:xfrm>
                          </wpg:grpSpPr>
                          <wps:wsp>
                            <wps:cNvPr id="194" name="Rectangle 194"/>
                            <wps:cNvSpPr/>
                            <wps:spPr>
                              <a:xfrm>
                                <a:off x="6824" y="0"/>
                                <a:ext cx="7022626" cy="13716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28575" y="7427595"/>
                                <a:ext cx="6933600" cy="22968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E04F6" w14:textId="77777777" w:rsidR="005B20F8" w:rsidRDefault="005B20F8" w:rsidP="007B6BE3">
                                  <w:pPr>
                                    <w:pStyle w:val="NoSpacing"/>
                                    <w:spacing w:before="120"/>
                                    <w:jc w:val="center"/>
                                    <w:rPr>
                                      <w:color w:val="FFFFFF" w:themeColor="background1"/>
                                    </w:rPr>
                                  </w:pPr>
                                </w:p>
                                <w:p w14:paraId="09410898" w14:textId="77777777" w:rsidR="005B20F8" w:rsidRDefault="005B20F8" w:rsidP="007B6BE3">
                                  <w:pPr>
                                    <w:pStyle w:val="NoSpacing"/>
                                    <w:spacing w:before="120"/>
                                    <w:jc w:val="center"/>
                                    <w:rPr>
                                      <w:color w:val="FFFFFF" w:themeColor="background1"/>
                                    </w:rPr>
                                  </w:pPr>
                                  <w:r>
                                    <w:rPr>
                                      <w:color w:val="FFFFFF" w:themeColor="background1"/>
                                    </w:rPr>
                                    <w:t> </w:t>
                                  </w:r>
                                </w:p>
                                <w:p w14:paraId="1EF35DAD" w14:textId="77777777" w:rsidR="005B20F8" w:rsidRDefault="005B20F8" w:rsidP="007B6BE3">
                                  <w:pPr>
                                    <w:pStyle w:val="NoSpacing"/>
                                    <w:spacing w:before="120"/>
                                    <w:jc w:val="center"/>
                                    <w:rPr>
                                      <w:color w:val="FFFFFF" w:themeColor="background1"/>
                                    </w:rPr>
                                  </w:pPr>
                                  <w:r>
                                    <w:rPr>
                                      <w:color w:val="FFFFFF" w:themeColor="background1"/>
                                      <w:lang w:val="sr-Cyrl-BA"/>
                                    </w:rPr>
                                    <w:t>Сарајево</w:t>
                                  </w:r>
                                  <w:r w:rsidRPr="00FB6FC8">
                                    <w:rPr>
                                      <w:color w:val="FFFFFF" w:themeColor="background1"/>
                                    </w:rPr>
                                    <w:t xml:space="preserve">, </w:t>
                                  </w:r>
                                  <w:r>
                                    <w:rPr>
                                      <w:color w:val="FFFFFF" w:themeColor="background1"/>
                                      <w:lang w:val="sr-Cyrl-BA"/>
                                    </w:rPr>
                                    <w:t>септембар</w:t>
                                  </w:r>
                                  <w:r w:rsidRPr="00D912D1">
                                    <w:rPr>
                                      <w:color w:val="FFFFFF" w:themeColor="background1"/>
                                      <w:lang w:val="hr-BA"/>
                                    </w:rPr>
                                    <w:t xml:space="preserve"> </w:t>
                                  </w:r>
                                  <w:r w:rsidRPr="00FB6FC8">
                                    <w:rPr>
                                      <w:color w:val="FFFFFF" w:themeColor="background1"/>
                                    </w:rPr>
                                    <w:t>202</w:t>
                                  </w:r>
                                  <w:r>
                                    <w:rPr>
                                      <w:color w:val="FFFFFF" w:themeColor="background1"/>
                                    </w:rPr>
                                    <w:t>3</w:t>
                                  </w:r>
                                  <w:r w:rsidRPr="00FB6FC8">
                                    <w:rPr>
                                      <w:color w:val="FFFFFF" w:themeColor="background1"/>
                                    </w:rPr>
                                    <w:t>.</w:t>
                                  </w:r>
                                </w:p>
                                <w:p w14:paraId="795D80FF" w14:textId="77777777" w:rsidR="005B20F8" w:rsidRDefault="005B20F8" w:rsidP="007B6BE3">
                                  <w:pPr>
                                    <w:pStyle w:val="NoSpacing"/>
                                    <w:spacing w:before="120"/>
                                    <w:jc w:val="center"/>
                                    <w:rPr>
                                      <w:color w:val="FFFFFF" w:themeColor="background1"/>
                                    </w:rPr>
                                  </w:pPr>
                                  <w:r>
                                    <w:rPr>
                                      <w:color w:val="FFFFFF" w:themeColor="background1"/>
                                    </w:rPr>
                                    <w:t> www.fmf.gov.ba</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lang w:val="hr-HR"/>
                                    </w:rPr>
                                    <w:alias w:val="Title"/>
                                    <w:tag w:val=""/>
                                    <w:id w:val="782460808"/>
                                    <w:showingPlcHdr/>
                                    <w:dataBinding w:prefixMappings="xmlns:ns0='http://purl.org/dc/elements/1.1/' xmlns:ns1='http://schemas.openxmlformats.org/package/2006/metadata/core-properties' " w:xpath="/ns1:coreProperties[1]/ns0:title[1]" w:storeItemID="{6C3C8BC8-F283-45AE-878A-BAB7291924A1}"/>
                                    <w:text/>
                                  </w:sdtPr>
                                  <w:sdtEndPr/>
                                  <w:sdtContent>
                                    <w:p w14:paraId="69C63BA4" w14:textId="77777777" w:rsidR="005B20F8" w:rsidRDefault="005B20F8" w:rsidP="007B6BE3">
                                      <w:pPr>
                                        <w:pStyle w:val="NoSpacing"/>
                                        <w:jc w:val="center"/>
                                        <w:rPr>
                                          <w:rFonts w:asciiTheme="majorHAnsi" w:eastAsiaTheme="majorEastAsia" w:hAnsiTheme="majorHAnsi" w:cstheme="majorBidi"/>
                                          <w:caps/>
                                          <w:color w:val="5B9BD5" w:themeColor="accent1"/>
                                          <w:sz w:val="72"/>
                                          <w:szCs w:val="72"/>
                                          <w:lang w:val="hr-HR"/>
                                        </w:rPr>
                                      </w:pPr>
                                      <w:r>
                                        <w:rPr>
                                          <w:rFonts w:asciiTheme="majorHAnsi" w:eastAsiaTheme="majorEastAsia" w:hAnsiTheme="majorHAnsi" w:cstheme="majorBidi"/>
                                          <w:caps/>
                                          <w:color w:val="5B9BD5" w:themeColor="accent1"/>
                                          <w:sz w:val="72"/>
                                          <w:szCs w:val="72"/>
                                          <w:lang w:val="hr-HR"/>
                                        </w:rPr>
                                        <w:t xml:space="preserve">     </w:t>
                                      </w:r>
                                    </w:p>
                                  </w:sdtContent>
                                </w:sdt>
                                <w:p w14:paraId="74EAE209" w14:textId="77777777" w:rsidR="005B20F8" w:rsidRPr="00BF51BB" w:rsidRDefault="005B20F8" w:rsidP="007B6BE3">
                                  <w:pPr>
                                    <w:pStyle w:val="NoSpacing"/>
                                    <w:jc w:val="center"/>
                                    <w:rPr>
                                      <w:rFonts w:asciiTheme="majorHAnsi" w:eastAsiaTheme="majorEastAsia" w:hAnsiTheme="majorHAnsi" w:cstheme="majorBidi"/>
                                      <w:caps/>
                                      <w:color w:val="5B9BD5" w:themeColor="accent1"/>
                                      <w:sz w:val="72"/>
                                      <w:szCs w:val="72"/>
                                      <w:lang w:val="hr-HR"/>
                                    </w:rPr>
                                  </w:pPr>
                                  <w:r>
                                    <w:rPr>
                                      <w:rFonts w:asciiTheme="majorHAnsi" w:eastAsiaTheme="majorEastAsia" w:hAnsiTheme="majorHAnsi" w:cstheme="majorBidi"/>
                                      <w:caps/>
                                      <w:color w:val="5B9BD5" w:themeColor="accent1"/>
                                      <w:sz w:val="72"/>
                                      <w:szCs w:val="72"/>
                                      <w:lang w:val="hr-HR"/>
                                    </w:rPr>
                                    <w:t>СТРАТЕГИЈА УПРАВЉАЊА ДУГОМ</w:t>
                                  </w:r>
                                  <w:r w:rsidRPr="007B6BE3">
                                    <w:rPr>
                                      <w:rFonts w:asciiTheme="majorHAnsi" w:eastAsiaTheme="majorEastAsia" w:hAnsiTheme="majorHAnsi" w:cstheme="majorBidi"/>
                                      <w:caps/>
                                      <w:color w:val="5B9BD5" w:themeColor="accent1"/>
                                      <w:sz w:val="72"/>
                                      <w:szCs w:val="72"/>
                                      <w:lang w:val="hr-HR"/>
                                    </w:rPr>
                                    <w:t xml:space="preserve"> 2023-2025.</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DBDBD92" id="Group 193" o:spid="_x0000_s1026" style="position:absolute;left:0;text-align:left;margin-left:-52.65pt;margin-top:-34.75pt;width:555.75pt;height:776.65pt;z-index:-251657216;mso-position-horizontal-relative:margin;mso-position-vertical-relative:margin" coordorigin="-285" coordsize="70580,9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">
                    <v:rect id="Rectangle 194" o:spid="_x0000_s1027" style="position:absolute;left:68;width:70226;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" fillcolor="#bdd6ee [1300]" stroked="f" strokeweight="1pt"/>
                    <v:rect id="Rectangle 195" o:spid="_x0000_s1028" style="position:absolute;left:-285;top:74275;width:69335;height:229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" fillcolor="#bdd6ee [1300]" stroked="f" strokeweight="1pt">
                      <v:textbox inset="36pt,57.6pt,36pt,36pt">
                        <w:txbxContent>
                          <w:p w14:paraId="1FEE04F6" w14:textId="77777777" w:rsidR="005B20F8" w:rsidRDefault="005B20F8" w:rsidP="007B6BE3">
                            <w:pPr>
                              <w:pStyle w:val="NoSpacing"/>
                              <w:spacing w:before="120"/>
                              <w:jc w:val="center"/>
                              <w:rPr>
                                <w:color w:val="FFFFFF" w:themeColor="background1"/>
                              </w:rPr>
                            </w:pPr>
                          </w:p>
                          <w:p w14:paraId="09410898" w14:textId="77777777" w:rsidR="005B20F8" w:rsidRDefault="005B20F8" w:rsidP="007B6BE3">
                            <w:pPr>
                              <w:pStyle w:val="NoSpacing"/>
                              <w:spacing w:before="120"/>
                              <w:jc w:val="center"/>
                              <w:rPr>
                                <w:color w:val="FFFFFF" w:themeColor="background1"/>
                              </w:rPr>
                            </w:pPr>
                            <w:r>
                              <w:rPr>
                                <w:color w:val="FFFFFF" w:themeColor="background1"/>
                              </w:rPr>
                              <w:t> </w:t>
                            </w:r>
                          </w:p>
                          <w:p w14:paraId="1EF35DAD" w14:textId="77777777" w:rsidR="005B20F8" w:rsidRDefault="005B20F8" w:rsidP="007B6BE3">
                            <w:pPr>
                              <w:pStyle w:val="NoSpacing"/>
                              <w:spacing w:before="120"/>
                              <w:jc w:val="center"/>
                              <w:rPr>
                                <w:color w:val="FFFFFF" w:themeColor="background1"/>
                              </w:rPr>
                            </w:pPr>
                            <w:r>
                              <w:rPr>
                                <w:color w:val="FFFFFF" w:themeColor="background1"/>
                                <w:lang w:val="sr-Cyrl-BA"/>
                              </w:rPr>
                              <w:t>Сарајево</w:t>
                            </w:r>
                            <w:r w:rsidRPr="00FB6FC8">
                              <w:rPr>
                                <w:color w:val="FFFFFF" w:themeColor="background1"/>
                              </w:rPr>
                              <w:t xml:space="preserve">, </w:t>
                            </w:r>
                            <w:r>
                              <w:rPr>
                                <w:color w:val="FFFFFF" w:themeColor="background1"/>
                                <w:lang w:val="sr-Cyrl-BA"/>
                              </w:rPr>
                              <w:t>септембар</w:t>
                            </w:r>
                            <w:r w:rsidRPr="00D912D1">
                              <w:rPr>
                                <w:color w:val="FFFFFF" w:themeColor="background1"/>
                                <w:lang w:val="hr-BA"/>
                              </w:rPr>
                              <w:t xml:space="preserve"> </w:t>
                            </w:r>
                            <w:r w:rsidRPr="00FB6FC8">
                              <w:rPr>
                                <w:color w:val="FFFFFF" w:themeColor="background1"/>
                              </w:rPr>
                              <w:t>202</w:t>
                            </w:r>
                            <w:r>
                              <w:rPr>
                                <w:color w:val="FFFFFF" w:themeColor="background1"/>
                              </w:rPr>
                              <w:t>3</w:t>
                            </w:r>
                            <w:r w:rsidRPr="00FB6FC8">
                              <w:rPr>
                                <w:color w:val="FFFFFF" w:themeColor="background1"/>
                              </w:rPr>
                              <w:t>.</w:t>
                            </w:r>
                          </w:p>
                          <w:p w14:paraId="795D80FF" w14:textId="77777777" w:rsidR="005B20F8" w:rsidRDefault="005B20F8" w:rsidP="007B6BE3">
                            <w:pPr>
                              <w:pStyle w:val="NoSpacing"/>
                              <w:spacing w:before="120"/>
                              <w:jc w:val="center"/>
                              <w:rPr>
                                <w:color w:val="FFFFFF" w:themeColor="background1"/>
                              </w:rPr>
                            </w:pPr>
                            <w:r>
                              <w:rPr>
                                <w:color w:val="FFFFFF" w:themeColor="background1"/>
                              </w:rPr>
                              <w:t> www.fmf.gov.ba</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lang w:val="hr-HR"/>
                              </w:rPr>
                              <w:alias w:val="Title"/>
                              <w:tag w:val=""/>
                              <w:id w:val="782460808"/>
                              <w:showingPlcHdr/>
                              <w:dataBinding w:prefixMappings="xmlns:ns0='http://purl.org/dc/elements/1.1/' xmlns:ns1='http://schemas.openxmlformats.org/package/2006/metadata/core-properties' " w:xpath="/ns1:coreProperties[1]/ns0:title[1]" w:storeItemID="{6C3C8BC8-F283-45AE-878A-BAB7291924A1}"/>
                              <w:text/>
                            </w:sdtPr>
                            <w:sdtEndPr/>
                            <w:sdtContent>
                              <w:p w14:paraId="69C63BA4" w14:textId="77777777" w:rsidR="005B20F8" w:rsidRDefault="005B20F8" w:rsidP="007B6BE3">
                                <w:pPr>
                                  <w:pStyle w:val="NoSpacing"/>
                                  <w:jc w:val="center"/>
                                  <w:rPr>
                                    <w:rFonts w:asciiTheme="majorHAnsi" w:eastAsiaTheme="majorEastAsia" w:hAnsiTheme="majorHAnsi" w:cstheme="majorBidi"/>
                                    <w:caps/>
                                    <w:color w:val="5B9BD5" w:themeColor="accent1"/>
                                    <w:sz w:val="72"/>
                                    <w:szCs w:val="72"/>
                                    <w:lang w:val="hr-HR"/>
                                  </w:rPr>
                                </w:pPr>
                                <w:r>
                                  <w:rPr>
                                    <w:rFonts w:asciiTheme="majorHAnsi" w:eastAsiaTheme="majorEastAsia" w:hAnsiTheme="majorHAnsi" w:cstheme="majorBidi"/>
                                    <w:caps/>
                                    <w:color w:val="5B9BD5" w:themeColor="accent1"/>
                                    <w:sz w:val="72"/>
                                    <w:szCs w:val="72"/>
                                    <w:lang w:val="hr-HR"/>
                                  </w:rPr>
                                  <w:t xml:space="preserve">     </w:t>
                                </w:r>
                              </w:p>
                            </w:sdtContent>
                          </w:sdt>
                          <w:p w14:paraId="74EAE209" w14:textId="77777777" w:rsidR="005B20F8" w:rsidRPr="00BF51BB" w:rsidRDefault="005B20F8" w:rsidP="007B6BE3">
                            <w:pPr>
                              <w:pStyle w:val="NoSpacing"/>
                              <w:jc w:val="center"/>
                              <w:rPr>
                                <w:rFonts w:asciiTheme="majorHAnsi" w:eastAsiaTheme="majorEastAsia" w:hAnsiTheme="majorHAnsi" w:cstheme="majorBidi"/>
                                <w:caps/>
                                <w:color w:val="5B9BD5" w:themeColor="accent1"/>
                                <w:sz w:val="72"/>
                                <w:szCs w:val="72"/>
                                <w:lang w:val="hr-HR"/>
                              </w:rPr>
                            </w:pPr>
                            <w:r>
                              <w:rPr>
                                <w:rFonts w:asciiTheme="majorHAnsi" w:eastAsiaTheme="majorEastAsia" w:hAnsiTheme="majorHAnsi" w:cstheme="majorBidi"/>
                                <w:caps/>
                                <w:color w:val="5B9BD5" w:themeColor="accent1"/>
                                <w:sz w:val="72"/>
                                <w:szCs w:val="72"/>
                                <w:lang w:val="hr-HR"/>
                              </w:rPr>
                              <w:t>СТРАТЕГИЈА УПРАВЉАЊА ДУГОМ</w:t>
                            </w:r>
                            <w:r w:rsidRPr="007B6BE3">
                              <w:rPr>
                                <w:rFonts w:asciiTheme="majorHAnsi" w:eastAsiaTheme="majorEastAsia" w:hAnsiTheme="majorHAnsi" w:cstheme="majorBidi"/>
                                <w:caps/>
                                <w:color w:val="5B9BD5" w:themeColor="accent1"/>
                                <w:sz w:val="72"/>
                                <w:szCs w:val="72"/>
                                <w:lang w:val="hr-HR"/>
                              </w:rPr>
                              <w:t xml:space="preserve"> 2023-2025.</w:t>
                            </w:r>
                          </w:p>
                        </w:txbxContent>
                      </v:textbox>
                    </v:shape>
                    <w10:wrap anchorx="margin" anchory="margin"/>
                  </v:group>
                </w:pict>
              </mc:Fallback>
            </mc:AlternateContent>
          </w:r>
          <w:r w:rsidRPr="0087376B">
            <w:rPr>
              <w:rFonts w:ascii="Arial" w:hAnsi="Arial" w:cs="Arial"/>
              <w:noProof/>
              <w:color w:val="FFFFFF" w:themeColor="background1"/>
              <w:sz w:val="24"/>
              <w:szCs w:val="24"/>
              <w:lang w:eastAsia="hr-HR"/>
            </w:rPr>
            <mc:AlternateContent>
              <mc:Choice Requires="wps">
                <w:drawing>
                  <wp:anchor distT="0" distB="0" distL="114300" distR="114300" simplePos="0" relativeHeight="251660288" behindDoc="0" locked="0" layoutInCell="1" allowOverlap="1" wp14:anchorId="54684CAE" wp14:editId="405289CD">
                    <wp:simplePos x="0" y="0"/>
                    <wp:positionH relativeFrom="margin">
                      <wp:posOffset>238126</wp:posOffset>
                    </wp:positionH>
                    <wp:positionV relativeFrom="paragraph">
                      <wp:posOffset>3981450</wp:posOffset>
                    </wp:positionV>
                    <wp:extent cx="5238750" cy="30289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238750" cy="3028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6CA1C2" w14:textId="77777777" w:rsidR="005B20F8" w:rsidRDefault="005B20F8" w:rsidP="007B6BE3">
                                <w:pPr>
                                  <w:ind w:hanging="284"/>
                                  <w:jc w:val="center"/>
                                </w:pPr>
                                <w:r>
                                  <w:rPr>
                                    <w:noProof/>
                                    <w:lang w:eastAsia="hr-HR"/>
                                  </w:rPr>
                                  <w:drawing>
                                    <wp:inline distT="0" distB="0" distL="0" distR="0" wp14:anchorId="37EAEC24" wp14:editId="4A71F1DA">
                                      <wp:extent cx="5116195" cy="31489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2.png"/>
                                              <pic:cNvPicPr/>
                                            </pic:nvPicPr>
                                            <pic:blipFill>
                                              <a:blip r:embed="rId8">
                                                <a:extLst>
                                                  <a:ext uri="{28A0092B-C50C-407E-A947-70E740481C1C}">
                                                    <a14:useLocalDpi xmlns:a14="http://schemas.microsoft.com/office/drawing/2010/main" val="0"/>
                                                  </a:ext>
                                                </a:extLst>
                                              </a:blip>
                                              <a:stretch>
                                                <a:fillRect/>
                                              </a:stretch>
                                            </pic:blipFill>
                                            <pic:spPr>
                                              <a:xfrm>
                                                <a:off x="0" y="0"/>
                                                <a:ext cx="5116195" cy="31489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84CAE" id="Text Box 19" o:spid="_x0000_s1030" type="#_x0000_t202" style="position:absolute;left:0;text-align:left;margin-left:18.75pt;margin-top:313.5pt;width:412.5pt;height:23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" fillcolor="white [3201]" stroked="f" strokeweight=".5pt">
                    <v:textbox>
                      <w:txbxContent>
                        <w:p w14:paraId="606CA1C2" w14:textId="77777777" w:rsidR="005B20F8" w:rsidRDefault="005B20F8" w:rsidP="007B6BE3">
                          <w:pPr>
                            <w:ind w:hanging="284"/>
                            <w:jc w:val="center"/>
                          </w:pPr>
                          <w:r>
                            <w:rPr>
                              <w:noProof/>
                              <w:lang w:eastAsia="hr-HR"/>
                            </w:rPr>
                            <w:drawing>
                              <wp:inline distT="0" distB="0" distL="0" distR="0" wp14:anchorId="37EAEC24" wp14:editId="4A71F1DA">
                                <wp:extent cx="5116195" cy="31489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2.png"/>
                                        <pic:cNvPicPr/>
                                      </pic:nvPicPr>
                                      <pic:blipFill>
                                        <a:blip r:embed="rId9">
                                          <a:extLst>
                                            <a:ext uri="{28A0092B-C50C-407E-A947-70E740481C1C}">
                                              <a14:useLocalDpi xmlns:a14="http://schemas.microsoft.com/office/drawing/2010/main" val="0"/>
                                            </a:ext>
                                          </a:extLst>
                                        </a:blip>
                                        <a:stretch>
                                          <a:fillRect/>
                                        </a:stretch>
                                      </pic:blipFill>
                                      <pic:spPr>
                                        <a:xfrm>
                                          <a:off x="0" y="0"/>
                                          <a:ext cx="5116195" cy="3148965"/>
                                        </a:xfrm>
                                        <a:prstGeom prst="rect">
                                          <a:avLst/>
                                        </a:prstGeom>
                                      </pic:spPr>
                                    </pic:pic>
                                  </a:graphicData>
                                </a:graphic>
                              </wp:inline>
                            </w:drawing>
                          </w:r>
                        </w:p>
                      </w:txbxContent>
                    </v:textbox>
                    <w10:wrap anchorx="margin"/>
                  </v:shape>
                </w:pict>
              </mc:Fallback>
            </mc:AlternateContent>
          </w:r>
          <w:r w:rsidR="005B20F8">
            <w:rPr>
              <w:rFonts w:ascii="Arial" w:hAnsi="Arial" w:cs="Arial"/>
              <w:color w:val="FFFFFF" w:themeColor="background1"/>
              <w:sz w:val="24"/>
              <w:szCs w:val="24"/>
            </w:rPr>
            <w:t>БОСНА</w:t>
          </w:r>
          <w:r w:rsidRPr="0087376B">
            <w:rPr>
              <w:rFonts w:ascii="Arial" w:hAnsi="Arial" w:cs="Arial"/>
              <w:color w:val="FFFFFF" w:themeColor="background1"/>
              <w:sz w:val="24"/>
              <w:szCs w:val="24"/>
            </w:rPr>
            <w:t xml:space="preserve"> </w:t>
          </w:r>
          <w:r w:rsidR="005B20F8">
            <w:rPr>
              <w:rFonts w:ascii="Arial" w:hAnsi="Arial" w:cs="Arial"/>
              <w:color w:val="FFFFFF" w:themeColor="background1"/>
              <w:sz w:val="24"/>
              <w:szCs w:val="24"/>
            </w:rPr>
            <w:t>И</w:t>
          </w:r>
          <w:r w:rsidRPr="0087376B">
            <w:rPr>
              <w:rFonts w:ascii="Arial" w:hAnsi="Arial" w:cs="Arial"/>
              <w:color w:val="FFFFFF" w:themeColor="background1"/>
              <w:sz w:val="24"/>
              <w:szCs w:val="24"/>
            </w:rPr>
            <w:t xml:space="preserve"> </w:t>
          </w:r>
          <w:r w:rsidR="005B20F8">
            <w:rPr>
              <w:rFonts w:ascii="Arial" w:hAnsi="Arial" w:cs="Arial"/>
              <w:color w:val="FFFFFF" w:themeColor="background1"/>
              <w:sz w:val="24"/>
              <w:szCs w:val="24"/>
            </w:rPr>
            <w:t>ХЕРЦЕГОВИНА</w:t>
          </w:r>
          <w:r w:rsidRPr="0087376B">
            <w:rPr>
              <w:rFonts w:ascii="Arial" w:hAnsi="Arial" w:cs="Arial"/>
              <w:color w:val="FFFFFF" w:themeColor="background1"/>
              <w:sz w:val="24"/>
              <w:szCs w:val="24"/>
            </w:rPr>
            <w:t xml:space="preserve">                                                                                                                                  </w:t>
          </w:r>
          <w:r w:rsidR="005B20F8">
            <w:rPr>
              <w:rFonts w:ascii="Arial" w:hAnsi="Arial" w:cs="Arial"/>
              <w:color w:val="FFFFFF" w:themeColor="background1"/>
              <w:sz w:val="24"/>
              <w:szCs w:val="24"/>
            </w:rPr>
            <w:t>ФЕДЕРАЦИЈА</w:t>
          </w:r>
          <w:r w:rsidRPr="0087376B">
            <w:rPr>
              <w:rFonts w:ascii="Arial" w:hAnsi="Arial" w:cs="Arial"/>
              <w:color w:val="FFFFFF" w:themeColor="background1"/>
              <w:sz w:val="24"/>
              <w:szCs w:val="24"/>
            </w:rPr>
            <w:t xml:space="preserve"> </w:t>
          </w:r>
          <w:r w:rsidR="005B20F8">
            <w:rPr>
              <w:rFonts w:ascii="Arial" w:hAnsi="Arial" w:cs="Arial"/>
              <w:color w:val="FFFFFF" w:themeColor="background1"/>
              <w:sz w:val="24"/>
              <w:szCs w:val="24"/>
            </w:rPr>
            <w:t>БОСНЕ</w:t>
          </w:r>
          <w:r w:rsidRPr="0087376B">
            <w:rPr>
              <w:rFonts w:ascii="Arial" w:hAnsi="Arial" w:cs="Arial"/>
              <w:color w:val="FFFFFF" w:themeColor="background1"/>
              <w:sz w:val="24"/>
              <w:szCs w:val="24"/>
            </w:rPr>
            <w:t xml:space="preserve"> </w:t>
          </w:r>
          <w:r w:rsidR="005B20F8">
            <w:rPr>
              <w:rFonts w:ascii="Arial" w:hAnsi="Arial" w:cs="Arial"/>
              <w:color w:val="FFFFFF" w:themeColor="background1"/>
              <w:sz w:val="24"/>
              <w:szCs w:val="24"/>
            </w:rPr>
            <w:t>И</w:t>
          </w:r>
          <w:r w:rsidRPr="0087376B">
            <w:rPr>
              <w:rFonts w:ascii="Arial" w:hAnsi="Arial" w:cs="Arial"/>
              <w:color w:val="FFFFFF" w:themeColor="background1"/>
              <w:sz w:val="24"/>
              <w:szCs w:val="24"/>
            </w:rPr>
            <w:t xml:space="preserve"> </w:t>
          </w:r>
          <w:r w:rsidR="005B20F8">
            <w:rPr>
              <w:rFonts w:ascii="Arial" w:hAnsi="Arial" w:cs="Arial"/>
              <w:color w:val="FFFFFF" w:themeColor="background1"/>
              <w:sz w:val="24"/>
              <w:szCs w:val="24"/>
            </w:rPr>
            <w:t>ХЕРЦЕГОВИНЕ</w:t>
          </w:r>
          <w:r w:rsidRPr="0087376B">
            <w:rPr>
              <w:rFonts w:ascii="Arial" w:hAnsi="Arial" w:cs="Arial"/>
              <w:color w:val="FFFFFF" w:themeColor="background1"/>
              <w:sz w:val="24"/>
              <w:szCs w:val="24"/>
            </w:rPr>
            <w:t xml:space="preserve">                                                                                                        </w:t>
          </w:r>
          <w:r w:rsidR="005B20F8">
            <w:rPr>
              <w:rFonts w:ascii="Arial" w:hAnsi="Arial" w:cs="Arial"/>
              <w:color w:val="FFFFFF" w:themeColor="background1"/>
              <w:sz w:val="24"/>
              <w:szCs w:val="24"/>
            </w:rPr>
            <w:t>ФЕДЕРАЛНО</w:t>
          </w:r>
          <w:r w:rsidRPr="0087376B">
            <w:rPr>
              <w:rFonts w:ascii="Arial" w:hAnsi="Arial" w:cs="Arial"/>
              <w:color w:val="FFFFFF" w:themeColor="background1"/>
              <w:sz w:val="24"/>
              <w:szCs w:val="24"/>
            </w:rPr>
            <w:t xml:space="preserve"> </w:t>
          </w:r>
          <w:r w:rsidR="005B20F8">
            <w:rPr>
              <w:rFonts w:ascii="Arial" w:hAnsi="Arial" w:cs="Arial"/>
              <w:color w:val="FFFFFF" w:themeColor="background1"/>
              <w:sz w:val="24"/>
              <w:szCs w:val="24"/>
            </w:rPr>
            <w:t>МИНИСТАРСТВО</w:t>
          </w:r>
          <w:r w:rsidRPr="0087376B">
            <w:rPr>
              <w:rFonts w:ascii="Arial" w:hAnsi="Arial" w:cs="Arial"/>
              <w:color w:val="FFFFFF" w:themeColor="background1"/>
              <w:sz w:val="24"/>
              <w:szCs w:val="24"/>
            </w:rPr>
            <w:t xml:space="preserve"> </w:t>
          </w:r>
          <w:r w:rsidR="005B20F8">
            <w:rPr>
              <w:rFonts w:ascii="Arial" w:hAnsi="Arial" w:cs="Arial"/>
              <w:color w:val="FFFFFF" w:themeColor="background1"/>
              <w:sz w:val="24"/>
              <w:szCs w:val="24"/>
            </w:rPr>
            <w:t>ФИНАНСИЈА</w:t>
          </w:r>
          <w:r w:rsidRPr="0087376B">
            <w:rPr>
              <w:rFonts w:ascii="Arial" w:hAnsi="Arial" w:cs="Arial"/>
              <w:color w:val="FFFFFF" w:themeColor="background1"/>
              <w:sz w:val="24"/>
              <w:szCs w:val="24"/>
            </w:rPr>
            <w:t xml:space="preserve">                                                                                                      </w:t>
          </w:r>
          <w:r w:rsidR="005B20F8">
            <w:rPr>
              <w:rFonts w:ascii="Arial" w:hAnsi="Arial" w:cs="Arial"/>
              <w:color w:val="FFFFFF" w:themeColor="background1"/>
              <w:sz w:val="24"/>
              <w:szCs w:val="24"/>
            </w:rPr>
            <w:t>ФЕДЕРАЛНО</w:t>
          </w:r>
          <w:r w:rsidRPr="0087376B">
            <w:rPr>
              <w:rFonts w:ascii="Arial" w:hAnsi="Arial" w:cs="Arial"/>
              <w:color w:val="FFFFFF" w:themeColor="background1"/>
              <w:sz w:val="24"/>
              <w:szCs w:val="24"/>
            </w:rPr>
            <w:t xml:space="preserve"> </w:t>
          </w:r>
          <w:r w:rsidR="005B20F8">
            <w:rPr>
              <w:rFonts w:ascii="Arial" w:hAnsi="Arial" w:cs="Arial"/>
              <w:color w:val="FFFFFF" w:themeColor="background1"/>
              <w:sz w:val="24"/>
              <w:szCs w:val="24"/>
            </w:rPr>
            <w:t>МИНИСТАРСТВО</w:t>
          </w:r>
          <w:r w:rsidRPr="0087376B">
            <w:rPr>
              <w:rFonts w:ascii="Arial" w:hAnsi="Arial" w:cs="Arial"/>
              <w:color w:val="FFFFFF" w:themeColor="background1"/>
              <w:sz w:val="24"/>
              <w:szCs w:val="24"/>
            </w:rPr>
            <w:t xml:space="preserve"> </w:t>
          </w:r>
          <w:r w:rsidR="005B20F8">
            <w:rPr>
              <w:rFonts w:ascii="Arial" w:hAnsi="Arial" w:cs="Arial"/>
              <w:color w:val="FFFFFF" w:themeColor="background1"/>
              <w:sz w:val="24"/>
              <w:szCs w:val="24"/>
            </w:rPr>
            <w:t>ФИНАНЦИЈА</w:t>
          </w:r>
          <w:r w:rsidRPr="0087376B">
            <w:rPr>
              <w:caps/>
              <w:color w:val="FFFFFF" w:themeColor="background1"/>
            </w:rPr>
            <w:t xml:space="preserve"> </w:t>
          </w:r>
        </w:p>
        <w:p w14:paraId="0C5BB1B1" w14:textId="77777777" w:rsidR="007B6BE3" w:rsidRPr="0087376B" w:rsidRDefault="007B6BE3" w:rsidP="007B6BE3">
          <w:pPr>
            <w:tabs>
              <w:tab w:val="left" w:pos="1605"/>
            </w:tabs>
            <w:jc w:val="center"/>
            <w:rPr>
              <w:caps/>
              <w:color w:val="FFFFFF" w:themeColor="background1"/>
            </w:rPr>
          </w:pPr>
        </w:p>
        <w:p w14:paraId="34BC89B3" w14:textId="77777777" w:rsidR="007B6BE3" w:rsidRPr="0087376B" w:rsidRDefault="007B6BE3" w:rsidP="007B6BE3">
          <w:pPr>
            <w:tabs>
              <w:tab w:val="left" w:pos="1605"/>
            </w:tabs>
            <w:jc w:val="center"/>
            <w:rPr>
              <w:caps/>
              <w:color w:val="FFFFFF" w:themeColor="background1"/>
            </w:rPr>
          </w:pPr>
        </w:p>
        <w:p w14:paraId="3FFB6CEC" w14:textId="77777777" w:rsidR="007B6BE3" w:rsidRPr="0087376B" w:rsidRDefault="007B6BE3" w:rsidP="007B6BE3">
          <w:pPr>
            <w:tabs>
              <w:tab w:val="left" w:pos="855"/>
              <w:tab w:val="left" w:pos="1605"/>
            </w:tabs>
            <w:rPr>
              <w:caps/>
              <w:color w:val="FFFFFF" w:themeColor="background1"/>
            </w:rPr>
          </w:pPr>
          <w:r w:rsidRPr="0087376B">
            <w:rPr>
              <w:caps/>
              <w:color w:val="FFFFFF" w:themeColor="background1"/>
            </w:rPr>
            <w:tab/>
          </w:r>
          <w:r w:rsidRPr="0087376B">
            <w:rPr>
              <w:caps/>
              <w:color w:val="FFFFFF" w:themeColor="background1"/>
            </w:rPr>
            <w:tab/>
          </w:r>
        </w:p>
        <w:p w14:paraId="2B8E6BDB" w14:textId="77777777" w:rsidR="007B6BE3" w:rsidRPr="0087376B" w:rsidRDefault="007B6BE3" w:rsidP="007B6BE3">
          <w:pPr>
            <w:tabs>
              <w:tab w:val="left" w:pos="1605"/>
            </w:tabs>
            <w:rPr>
              <w:caps/>
              <w:color w:val="FFFFFF" w:themeColor="background1"/>
            </w:rPr>
          </w:pPr>
        </w:p>
        <w:p w14:paraId="11CC8D66" w14:textId="77777777" w:rsidR="007B6BE3" w:rsidRPr="005B20F8" w:rsidRDefault="005B20F8" w:rsidP="005B20F8">
          <w:pPr>
            <w:tabs>
              <w:tab w:val="left" w:pos="1605"/>
              <w:tab w:val="left" w:pos="4010"/>
            </w:tabs>
            <w:rPr>
              <w:caps/>
              <w:color w:val="FFFFFF" w:themeColor="background1"/>
              <w:lang w:val="sr-Cyrl-BA"/>
            </w:rPr>
          </w:pPr>
          <w:r>
            <w:rPr>
              <w:caps/>
              <w:color w:val="FFFFFF" w:themeColor="background1"/>
              <w:lang w:val="sr-Cyrl-BA"/>
            </w:rPr>
            <w:tab/>
          </w:r>
        </w:p>
        <w:p w14:paraId="6F59378D" w14:textId="77777777" w:rsidR="007B6BE3" w:rsidRPr="0087376B" w:rsidRDefault="007B6BE3" w:rsidP="007B6BE3">
          <w:pPr>
            <w:tabs>
              <w:tab w:val="left" w:pos="1605"/>
              <w:tab w:val="left" w:pos="3790"/>
              <w:tab w:val="left" w:pos="6083"/>
            </w:tabs>
            <w:rPr>
              <w:caps/>
              <w:color w:val="FFFFFF" w:themeColor="background1"/>
            </w:rPr>
          </w:pPr>
          <w:r w:rsidRPr="0087376B">
            <w:rPr>
              <w:caps/>
              <w:color w:val="FFFFFF" w:themeColor="background1"/>
            </w:rPr>
            <w:tab/>
          </w:r>
          <w:r w:rsidRPr="0087376B">
            <w:rPr>
              <w:caps/>
              <w:color w:val="FFFFFF" w:themeColor="background1"/>
            </w:rPr>
            <w:tab/>
          </w:r>
        </w:p>
        <w:p w14:paraId="4CB51096" w14:textId="77777777" w:rsidR="007B6BE3" w:rsidRPr="0087376B" w:rsidRDefault="007B6BE3" w:rsidP="007B6BE3">
          <w:pPr>
            <w:tabs>
              <w:tab w:val="left" w:pos="1605"/>
              <w:tab w:val="left" w:pos="4159"/>
            </w:tabs>
            <w:rPr>
              <w:caps/>
              <w:color w:val="FFFFFF" w:themeColor="background1"/>
            </w:rPr>
          </w:pPr>
          <w:r w:rsidRPr="0087376B">
            <w:rPr>
              <w:caps/>
              <w:color w:val="FFFFFF" w:themeColor="background1"/>
            </w:rPr>
            <w:tab/>
            <w:t xml:space="preserve"> </w:t>
          </w:r>
        </w:p>
        <w:p w14:paraId="594A27C7" w14:textId="77777777" w:rsidR="007B6BE3" w:rsidRPr="0087376B" w:rsidRDefault="007B6BE3" w:rsidP="007B6BE3">
          <w:pPr>
            <w:tabs>
              <w:tab w:val="left" w:pos="1605"/>
            </w:tabs>
            <w:jc w:val="center"/>
            <w:rPr>
              <w:caps/>
              <w:color w:val="FFFFFF" w:themeColor="background1"/>
            </w:rPr>
          </w:pPr>
        </w:p>
        <w:p w14:paraId="0CE4DC9B" w14:textId="77777777" w:rsidR="007B6BE3" w:rsidRPr="0087376B" w:rsidRDefault="007B6BE3" w:rsidP="007B6BE3">
          <w:pPr>
            <w:tabs>
              <w:tab w:val="left" w:pos="1605"/>
            </w:tabs>
            <w:jc w:val="center"/>
            <w:rPr>
              <w:caps/>
              <w:color w:val="FFFFFF" w:themeColor="background1"/>
            </w:rPr>
          </w:pPr>
        </w:p>
        <w:p w14:paraId="42EFDB95" w14:textId="77777777" w:rsidR="007B6BE3" w:rsidRPr="0087376B" w:rsidRDefault="007B6BE3" w:rsidP="007B6BE3">
          <w:pPr>
            <w:tabs>
              <w:tab w:val="left" w:pos="1605"/>
            </w:tabs>
            <w:jc w:val="center"/>
            <w:rPr>
              <w:caps/>
              <w:color w:val="FFFFFF" w:themeColor="background1"/>
            </w:rPr>
          </w:pPr>
        </w:p>
        <w:p w14:paraId="06C7C297" w14:textId="77777777" w:rsidR="007B6BE3" w:rsidRPr="0087376B" w:rsidRDefault="007B6BE3" w:rsidP="007B6BE3">
          <w:pPr>
            <w:tabs>
              <w:tab w:val="left" w:pos="1605"/>
            </w:tabs>
            <w:jc w:val="center"/>
            <w:rPr>
              <w:caps/>
              <w:color w:val="FFFFFF" w:themeColor="background1"/>
            </w:rPr>
          </w:pPr>
        </w:p>
        <w:p w14:paraId="3880DE11" w14:textId="77777777" w:rsidR="007B6BE3" w:rsidRPr="0087376B" w:rsidRDefault="007B6BE3" w:rsidP="007B6BE3">
          <w:pPr>
            <w:tabs>
              <w:tab w:val="left" w:pos="1605"/>
            </w:tabs>
            <w:jc w:val="center"/>
            <w:rPr>
              <w:caps/>
              <w:color w:val="FFFFFF" w:themeColor="background1"/>
            </w:rPr>
          </w:pPr>
        </w:p>
        <w:p w14:paraId="42D40964" w14:textId="77777777" w:rsidR="007B6BE3" w:rsidRPr="0087376B" w:rsidRDefault="007B6BE3" w:rsidP="007B6BE3">
          <w:pPr>
            <w:tabs>
              <w:tab w:val="left" w:pos="1605"/>
            </w:tabs>
            <w:jc w:val="center"/>
            <w:rPr>
              <w:caps/>
              <w:color w:val="FFFFFF" w:themeColor="background1"/>
            </w:rPr>
          </w:pPr>
        </w:p>
        <w:p w14:paraId="5B792BA6" w14:textId="77777777" w:rsidR="007B6BE3" w:rsidRPr="0087376B" w:rsidRDefault="007B6BE3" w:rsidP="007B6BE3">
          <w:pPr>
            <w:tabs>
              <w:tab w:val="left" w:pos="1605"/>
            </w:tabs>
            <w:jc w:val="center"/>
            <w:rPr>
              <w:caps/>
              <w:color w:val="FFFFFF" w:themeColor="background1"/>
            </w:rPr>
          </w:pPr>
        </w:p>
        <w:p w14:paraId="528C75D7" w14:textId="77777777" w:rsidR="007B6BE3" w:rsidRPr="0087376B" w:rsidRDefault="007B6BE3" w:rsidP="007B6BE3">
          <w:pPr>
            <w:tabs>
              <w:tab w:val="left" w:pos="1605"/>
            </w:tabs>
            <w:jc w:val="center"/>
            <w:rPr>
              <w:caps/>
              <w:color w:val="FFFFFF" w:themeColor="background1"/>
            </w:rPr>
          </w:pPr>
        </w:p>
        <w:p w14:paraId="7191A094" w14:textId="77777777" w:rsidR="007B6BE3" w:rsidRPr="0087376B" w:rsidRDefault="007B6BE3" w:rsidP="007B6BE3">
          <w:pPr>
            <w:tabs>
              <w:tab w:val="left" w:pos="1605"/>
            </w:tabs>
            <w:jc w:val="center"/>
            <w:rPr>
              <w:caps/>
              <w:color w:val="FFFFFF" w:themeColor="background1"/>
            </w:rPr>
          </w:pPr>
        </w:p>
        <w:p w14:paraId="7ACA480C" w14:textId="77777777" w:rsidR="007B6BE3" w:rsidRPr="0087376B" w:rsidRDefault="007B6BE3" w:rsidP="007B6BE3">
          <w:pPr>
            <w:tabs>
              <w:tab w:val="left" w:pos="1605"/>
            </w:tabs>
            <w:jc w:val="center"/>
            <w:rPr>
              <w:caps/>
              <w:color w:val="FFFFFF" w:themeColor="background1"/>
            </w:rPr>
          </w:pPr>
        </w:p>
        <w:p w14:paraId="3D3ADEFC" w14:textId="77777777" w:rsidR="007B6BE3" w:rsidRPr="0087376B" w:rsidRDefault="007B6BE3" w:rsidP="007B6BE3">
          <w:pPr>
            <w:tabs>
              <w:tab w:val="left" w:pos="1605"/>
              <w:tab w:val="left" w:pos="3045"/>
              <w:tab w:val="left" w:pos="3510"/>
            </w:tabs>
            <w:rPr>
              <w:caps/>
              <w:color w:val="FFFFFF" w:themeColor="background1"/>
            </w:rPr>
          </w:pPr>
          <w:r w:rsidRPr="0087376B">
            <w:rPr>
              <w:caps/>
              <w:color w:val="FFFFFF" w:themeColor="background1"/>
            </w:rPr>
            <w:tab/>
          </w:r>
          <w:r w:rsidRPr="0087376B">
            <w:rPr>
              <w:caps/>
              <w:color w:val="FFFFFF" w:themeColor="background1"/>
            </w:rPr>
            <w:tab/>
          </w:r>
          <w:r w:rsidRPr="0087376B">
            <w:rPr>
              <w:caps/>
              <w:color w:val="FFFFFF" w:themeColor="background1"/>
            </w:rPr>
            <w:tab/>
          </w:r>
        </w:p>
        <w:p w14:paraId="16892F4F" w14:textId="77777777" w:rsidR="007B6BE3" w:rsidRPr="0087376B" w:rsidRDefault="007B6BE3" w:rsidP="007B6BE3">
          <w:pPr>
            <w:tabs>
              <w:tab w:val="left" w:pos="1605"/>
              <w:tab w:val="left" w:pos="3825"/>
              <w:tab w:val="center" w:pos="4666"/>
            </w:tabs>
            <w:rPr>
              <w:rFonts w:ascii="Arial" w:hAnsi="Arial" w:cs="Arial"/>
              <w:color w:val="538135" w:themeColor="accent6" w:themeShade="BF"/>
              <w:sz w:val="24"/>
              <w:szCs w:val="24"/>
            </w:rPr>
          </w:pPr>
          <w:r w:rsidRPr="0087376B">
            <w:rPr>
              <w:rFonts w:ascii="Arial" w:hAnsi="Arial" w:cs="Arial"/>
              <w:color w:val="538135" w:themeColor="accent6" w:themeShade="BF"/>
              <w:sz w:val="24"/>
              <w:szCs w:val="24"/>
            </w:rPr>
            <w:tab/>
          </w:r>
          <w:r w:rsidRPr="0087376B">
            <w:rPr>
              <w:rFonts w:ascii="Arial" w:hAnsi="Arial" w:cs="Arial"/>
              <w:color w:val="538135" w:themeColor="accent6" w:themeShade="BF"/>
              <w:sz w:val="24"/>
              <w:szCs w:val="24"/>
            </w:rPr>
            <w:tab/>
          </w:r>
          <w:r w:rsidRPr="0087376B">
            <w:rPr>
              <w:rFonts w:ascii="Arial" w:hAnsi="Arial" w:cs="Arial"/>
              <w:color w:val="538135" w:themeColor="accent6" w:themeShade="BF"/>
              <w:sz w:val="24"/>
              <w:szCs w:val="24"/>
            </w:rPr>
            <w:tab/>
          </w:r>
        </w:p>
      </w:sdtContent>
    </w:sdt>
    <w:sdt>
      <w:sdtPr>
        <w:rPr>
          <w:rFonts w:ascii="Arial Narrow" w:eastAsiaTheme="minorHAnsi" w:hAnsi="Arial Narrow" w:cs="Arial"/>
          <w:b w:val="0"/>
          <w:bCs w:val="0"/>
          <w:color w:val="auto"/>
          <w:sz w:val="20"/>
          <w:szCs w:val="20"/>
        </w:rPr>
        <w:id w:val="49129360"/>
        <w:docPartObj>
          <w:docPartGallery w:val="Table of Contents"/>
          <w:docPartUnique/>
        </w:docPartObj>
      </w:sdtPr>
      <w:sdtEndPr>
        <w:rPr>
          <w:rFonts w:asciiTheme="minorHAnsi" w:hAnsiTheme="minorHAnsi" w:cstheme="minorBidi"/>
          <w:sz w:val="22"/>
          <w:szCs w:val="22"/>
        </w:rPr>
      </w:sdtEndPr>
      <w:sdtContent>
        <w:p w14:paraId="27E8A14C" w14:textId="77777777" w:rsidR="007B6BE3" w:rsidRPr="0087376B" w:rsidRDefault="007B6BE3" w:rsidP="007B6BE3">
          <w:pPr>
            <w:pStyle w:val="TOCHeading"/>
            <w:jc w:val="center"/>
            <w:rPr>
              <w:rFonts w:ascii="Arial Narrow" w:eastAsiaTheme="minorHAnsi" w:hAnsi="Arial Narrow" w:cs="Arial"/>
              <w:b w:val="0"/>
              <w:bCs w:val="0"/>
              <w:color w:val="auto"/>
              <w:sz w:val="20"/>
              <w:szCs w:val="20"/>
            </w:rPr>
          </w:pPr>
        </w:p>
        <w:p w14:paraId="2280B1E9" w14:textId="77777777" w:rsidR="007B6BE3" w:rsidRPr="0087376B" w:rsidRDefault="007B6BE3" w:rsidP="007B6BE3">
          <w:pPr>
            <w:rPr>
              <w:rFonts w:ascii="Arial Narrow" w:hAnsi="Arial Narrow" w:cs="Arial"/>
              <w:sz w:val="20"/>
              <w:szCs w:val="20"/>
            </w:rPr>
          </w:pPr>
          <w:r w:rsidRPr="0087376B">
            <w:rPr>
              <w:rFonts w:ascii="Arial Narrow" w:hAnsi="Arial Narrow" w:cs="Arial"/>
              <w:b/>
              <w:bCs/>
              <w:sz w:val="20"/>
              <w:szCs w:val="20"/>
            </w:rPr>
            <w:br w:type="page"/>
          </w:r>
        </w:p>
        <w:p w14:paraId="3E35EE31" w14:textId="77777777" w:rsidR="007B6BE3" w:rsidRPr="0087376B" w:rsidRDefault="005B20F8" w:rsidP="007B6BE3">
          <w:pPr>
            <w:pStyle w:val="TOCHeading"/>
            <w:jc w:val="center"/>
            <w:rPr>
              <w:rFonts w:ascii="Arial" w:hAnsi="Arial" w:cs="Arial"/>
              <w:b w:val="0"/>
              <w:color w:val="auto"/>
              <w:sz w:val="20"/>
              <w:szCs w:val="20"/>
            </w:rPr>
          </w:pPr>
          <w:r>
            <w:rPr>
              <w:rFonts w:ascii="Arial" w:hAnsi="Arial" w:cs="Arial"/>
              <w:b w:val="0"/>
              <w:color w:val="auto"/>
              <w:szCs w:val="20"/>
            </w:rPr>
            <w:lastRenderedPageBreak/>
            <w:t>С</w:t>
          </w:r>
          <w:r w:rsidR="007B6BE3" w:rsidRPr="0087376B">
            <w:rPr>
              <w:rFonts w:ascii="Arial" w:hAnsi="Arial" w:cs="Arial"/>
              <w:b w:val="0"/>
              <w:color w:val="auto"/>
              <w:szCs w:val="20"/>
            </w:rPr>
            <w:t xml:space="preserve"> </w:t>
          </w:r>
          <w:r>
            <w:rPr>
              <w:rFonts w:ascii="Arial" w:hAnsi="Arial" w:cs="Arial"/>
              <w:b w:val="0"/>
              <w:color w:val="auto"/>
              <w:szCs w:val="20"/>
            </w:rPr>
            <w:t>А</w:t>
          </w:r>
          <w:r w:rsidR="007B6BE3" w:rsidRPr="0087376B">
            <w:rPr>
              <w:rFonts w:ascii="Arial" w:hAnsi="Arial" w:cs="Arial"/>
              <w:b w:val="0"/>
              <w:color w:val="auto"/>
              <w:szCs w:val="20"/>
            </w:rPr>
            <w:t xml:space="preserve"> </w:t>
          </w:r>
          <w:r>
            <w:rPr>
              <w:rFonts w:ascii="Arial" w:hAnsi="Arial" w:cs="Arial"/>
              <w:b w:val="0"/>
              <w:color w:val="auto"/>
              <w:szCs w:val="20"/>
            </w:rPr>
            <w:t>Д</w:t>
          </w:r>
          <w:r w:rsidR="007B6BE3" w:rsidRPr="0087376B">
            <w:rPr>
              <w:rFonts w:ascii="Arial" w:hAnsi="Arial" w:cs="Arial"/>
              <w:b w:val="0"/>
              <w:color w:val="auto"/>
              <w:szCs w:val="20"/>
            </w:rPr>
            <w:t xml:space="preserve"> </w:t>
          </w:r>
          <w:r>
            <w:rPr>
              <w:rFonts w:ascii="Arial" w:hAnsi="Arial" w:cs="Arial"/>
              <w:b w:val="0"/>
              <w:color w:val="auto"/>
              <w:szCs w:val="20"/>
            </w:rPr>
            <w:t>Р</w:t>
          </w:r>
          <w:r w:rsidR="007B6BE3" w:rsidRPr="0087376B">
            <w:rPr>
              <w:rFonts w:ascii="Arial" w:hAnsi="Arial" w:cs="Arial"/>
              <w:b w:val="0"/>
              <w:color w:val="auto"/>
              <w:szCs w:val="20"/>
            </w:rPr>
            <w:t xml:space="preserve"> </w:t>
          </w:r>
          <w:r>
            <w:rPr>
              <w:rFonts w:ascii="Arial" w:hAnsi="Arial" w:cs="Arial"/>
              <w:b w:val="0"/>
              <w:color w:val="auto"/>
              <w:szCs w:val="20"/>
            </w:rPr>
            <w:t>Ж</w:t>
          </w:r>
          <w:r w:rsidR="007B6BE3" w:rsidRPr="0087376B">
            <w:rPr>
              <w:rFonts w:ascii="Arial" w:hAnsi="Arial" w:cs="Arial"/>
              <w:b w:val="0"/>
              <w:color w:val="auto"/>
              <w:szCs w:val="20"/>
            </w:rPr>
            <w:t xml:space="preserve"> </w:t>
          </w:r>
          <w:r>
            <w:rPr>
              <w:rFonts w:ascii="Arial" w:hAnsi="Arial" w:cs="Arial"/>
              <w:b w:val="0"/>
              <w:color w:val="auto"/>
              <w:szCs w:val="20"/>
            </w:rPr>
            <w:t>А</w:t>
          </w:r>
          <w:r w:rsidR="007B6BE3" w:rsidRPr="0087376B">
            <w:rPr>
              <w:rFonts w:ascii="Arial" w:hAnsi="Arial" w:cs="Arial"/>
              <w:b w:val="0"/>
              <w:color w:val="auto"/>
              <w:szCs w:val="20"/>
            </w:rPr>
            <w:t xml:space="preserve"> </w:t>
          </w:r>
          <w:r>
            <w:rPr>
              <w:rFonts w:ascii="Arial" w:hAnsi="Arial" w:cs="Arial"/>
              <w:b w:val="0"/>
              <w:color w:val="auto"/>
              <w:szCs w:val="20"/>
            </w:rPr>
            <w:t>Ј</w:t>
          </w:r>
        </w:p>
        <w:p w14:paraId="16115887" w14:textId="7153F3C3" w:rsidR="00A94E1D" w:rsidRDefault="007B6BE3">
          <w:pPr>
            <w:pStyle w:val="TOC1"/>
            <w:rPr>
              <w:rFonts w:asciiTheme="minorHAnsi" w:eastAsiaTheme="minorEastAsia" w:hAnsiTheme="minorHAnsi" w:cstheme="minorBidi"/>
              <w:sz w:val="22"/>
              <w:szCs w:val="22"/>
              <w:lang w:val="en-GB" w:eastAsia="en-GB"/>
            </w:rPr>
          </w:pPr>
          <w:r w:rsidRPr="0087376B">
            <w:rPr>
              <w:noProof w:val="0"/>
              <w:sz w:val="20"/>
              <w:szCs w:val="20"/>
              <w:lang w:val="hr-HR"/>
            </w:rPr>
            <w:fldChar w:fldCharType="begin"/>
          </w:r>
          <w:r w:rsidRPr="0087376B">
            <w:rPr>
              <w:noProof w:val="0"/>
              <w:sz w:val="20"/>
              <w:szCs w:val="20"/>
              <w:lang w:val="hr-HR"/>
            </w:rPr>
            <w:instrText xml:space="preserve"> TOC \o "1-3" \h \z \u </w:instrText>
          </w:r>
          <w:r w:rsidRPr="0087376B">
            <w:rPr>
              <w:noProof w:val="0"/>
              <w:sz w:val="20"/>
              <w:szCs w:val="20"/>
              <w:lang w:val="hr-HR"/>
            </w:rPr>
            <w:fldChar w:fldCharType="separate"/>
          </w:r>
          <w:hyperlink w:anchor="_Toc149810600" w:history="1">
            <w:r w:rsidR="00A94E1D" w:rsidRPr="00AC5F68">
              <w:rPr>
                <w:rStyle w:val="Hyperlink"/>
              </w:rPr>
              <w:t>У В О Д</w:t>
            </w:r>
            <w:r w:rsidR="00A94E1D">
              <w:rPr>
                <w:webHidden/>
              </w:rPr>
              <w:tab/>
            </w:r>
            <w:r w:rsidR="00A94E1D">
              <w:rPr>
                <w:webHidden/>
              </w:rPr>
              <w:fldChar w:fldCharType="begin"/>
            </w:r>
            <w:r w:rsidR="00A94E1D">
              <w:rPr>
                <w:webHidden/>
              </w:rPr>
              <w:instrText xml:space="preserve"> PAGEREF _Toc149810600 \h </w:instrText>
            </w:r>
            <w:r w:rsidR="00A94E1D">
              <w:rPr>
                <w:webHidden/>
              </w:rPr>
            </w:r>
            <w:r w:rsidR="00A94E1D">
              <w:rPr>
                <w:webHidden/>
              </w:rPr>
              <w:fldChar w:fldCharType="separate"/>
            </w:r>
            <w:r w:rsidR="00732673">
              <w:rPr>
                <w:webHidden/>
              </w:rPr>
              <w:t>1</w:t>
            </w:r>
            <w:r w:rsidR="00A94E1D">
              <w:rPr>
                <w:webHidden/>
              </w:rPr>
              <w:fldChar w:fldCharType="end"/>
            </w:r>
          </w:hyperlink>
        </w:p>
        <w:p w14:paraId="327DFF8C" w14:textId="44E70449" w:rsidR="00A94E1D" w:rsidRDefault="006E29FF">
          <w:pPr>
            <w:pStyle w:val="TOC1"/>
            <w:rPr>
              <w:rFonts w:asciiTheme="minorHAnsi" w:eastAsiaTheme="minorEastAsia" w:hAnsiTheme="minorHAnsi" w:cstheme="minorBidi"/>
              <w:sz w:val="22"/>
              <w:szCs w:val="22"/>
              <w:lang w:val="en-GB" w:eastAsia="en-GB"/>
            </w:rPr>
          </w:pPr>
          <w:hyperlink w:anchor="_Toc149810601" w:history="1">
            <w:r w:rsidR="00A94E1D" w:rsidRPr="00AC5F68">
              <w:rPr>
                <w:rStyle w:val="Hyperlink"/>
              </w:rPr>
              <w:t>1.</w:t>
            </w:r>
            <w:r w:rsidR="00A94E1D">
              <w:rPr>
                <w:rFonts w:asciiTheme="minorHAnsi" w:eastAsiaTheme="minorEastAsia" w:hAnsiTheme="minorHAnsi" w:cstheme="minorBidi"/>
                <w:sz w:val="22"/>
                <w:szCs w:val="22"/>
                <w:lang w:val="en-GB" w:eastAsia="en-GB"/>
              </w:rPr>
              <w:tab/>
            </w:r>
            <w:r w:rsidR="00A94E1D" w:rsidRPr="00AC5F68">
              <w:rPr>
                <w:rStyle w:val="Hyperlink"/>
              </w:rPr>
              <w:t>ЦИЉЕВИ И ОБУХВАТ СТРАТЕГИЈЕ УПРАВЉАЊА ДУГОМ</w:t>
            </w:r>
            <w:r w:rsidR="00A94E1D">
              <w:rPr>
                <w:webHidden/>
              </w:rPr>
              <w:tab/>
            </w:r>
            <w:r w:rsidR="00A94E1D">
              <w:rPr>
                <w:webHidden/>
              </w:rPr>
              <w:fldChar w:fldCharType="begin"/>
            </w:r>
            <w:r w:rsidR="00A94E1D">
              <w:rPr>
                <w:webHidden/>
              </w:rPr>
              <w:instrText xml:space="preserve"> PAGEREF _Toc149810601 \h </w:instrText>
            </w:r>
            <w:r w:rsidR="00A94E1D">
              <w:rPr>
                <w:webHidden/>
              </w:rPr>
            </w:r>
            <w:r w:rsidR="00A94E1D">
              <w:rPr>
                <w:webHidden/>
              </w:rPr>
              <w:fldChar w:fldCharType="separate"/>
            </w:r>
            <w:r w:rsidR="00732673">
              <w:rPr>
                <w:webHidden/>
              </w:rPr>
              <w:t>1</w:t>
            </w:r>
            <w:r w:rsidR="00A94E1D">
              <w:rPr>
                <w:webHidden/>
              </w:rPr>
              <w:fldChar w:fldCharType="end"/>
            </w:r>
          </w:hyperlink>
        </w:p>
        <w:p w14:paraId="26C162CC" w14:textId="1E505E40" w:rsidR="00A94E1D" w:rsidRDefault="006E29FF">
          <w:pPr>
            <w:pStyle w:val="TOC2"/>
            <w:rPr>
              <w:rFonts w:eastAsiaTheme="minorEastAsia"/>
              <w:noProof/>
              <w:lang w:val="en-GB" w:eastAsia="en-GB"/>
            </w:rPr>
          </w:pPr>
          <w:hyperlink w:anchor="_Toc149810602" w:history="1">
            <w:r w:rsidR="00A94E1D" w:rsidRPr="00AC5F68">
              <w:rPr>
                <w:rStyle w:val="Hyperlink"/>
                <w:rFonts w:ascii="Arial" w:hAnsi="Arial" w:cs="Arial"/>
                <w:noProof/>
              </w:rPr>
              <w:t>1.1.</w:t>
            </w:r>
            <w:r w:rsidR="00A94E1D">
              <w:rPr>
                <w:rFonts w:eastAsiaTheme="minorEastAsia"/>
                <w:noProof/>
                <w:lang w:val="en-GB" w:eastAsia="en-GB"/>
              </w:rPr>
              <w:tab/>
            </w:r>
            <w:r w:rsidR="00A94E1D" w:rsidRPr="00AC5F68">
              <w:rPr>
                <w:rStyle w:val="Hyperlink"/>
                <w:rFonts w:ascii="Arial" w:hAnsi="Arial" w:cs="Arial"/>
                <w:noProof/>
              </w:rPr>
              <w:t>Циљеви управљања дугом</w:t>
            </w:r>
            <w:r w:rsidR="00A94E1D">
              <w:rPr>
                <w:noProof/>
                <w:webHidden/>
              </w:rPr>
              <w:tab/>
            </w:r>
            <w:r w:rsidR="00A94E1D">
              <w:rPr>
                <w:noProof/>
                <w:webHidden/>
              </w:rPr>
              <w:fldChar w:fldCharType="begin"/>
            </w:r>
            <w:r w:rsidR="00A94E1D">
              <w:rPr>
                <w:noProof/>
                <w:webHidden/>
              </w:rPr>
              <w:instrText xml:space="preserve"> PAGEREF _Toc149810602 \h </w:instrText>
            </w:r>
            <w:r w:rsidR="00A94E1D">
              <w:rPr>
                <w:noProof/>
                <w:webHidden/>
              </w:rPr>
            </w:r>
            <w:r w:rsidR="00A94E1D">
              <w:rPr>
                <w:noProof/>
                <w:webHidden/>
              </w:rPr>
              <w:fldChar w:fldCharType="separate"/>
            </w:r>
            <w:r w:rsidR="00732673">
              <w:rPr>
                <w:noProof/>
                <w:webHidden/>
              </w:rPr>
              <w:t>1</w:t>
            </w:r>
            <w:r w:rsidR="00A94E1D">
              <w:rPr>
                <w:noProof/>
                <w:webHidden/>
              </w:rPr>
              <w:fldChar w:fldCharType="end"/>
            </w:r>
          </w:hyperlink>
        </w:p>
        <w:p w14:paraId="63F7E3C7" w14:textId="095537DD" w:rsidR="00A94E1D" w:rsidRDefault="006E29FF">
          <w:pPr>
            <w:pStyle w:val="TOC2"/>
            <w:rPr>
              <w:rFonts w:eastAsiaTheme="minorEastAsia"/>
              <w:noProof/>
              <w:lang w:val="en-GB" w:eastAsia="en-GB"/>
            </w:rPr>
          </w:pPr>
          <w:hyperlink w:anchor="_Toc149810603" w:history="1">
            <w:r w:rsidR="00A94E1D" w:rsidRPr="00AC5F68">
              <w:rPr>
                <w:rStyle w:val="Hyperlink"/>
                <w:rFonts w:ascii="Arial" w:hAnsi="Arial" w:cs="Arial"/>
                <w:noProof/>
              </w:rPr>
              <w:t>1.2.</w:t>
            </w:r>
            <w:r w:rsidR="00A94E1D">
              <w:rPr>
                <w:rFonts w:eastAsiaTheme="minorEastAsia"/>
                <w:noProof/>
                <w:lang w:val="en-GB" w:eastAsia="en-GB"/>
              </w:rPr>
              <w:tab/>
            </w:r>
            <w:r w:rsidR="00A94E1D" w:rsidRPr="00AC5F68">
              <w:rPr>
                <w:rStyle w:val="Hyperlink"/>
                <w:rFonts w:ascii="Arial" w:hAnsi="Arial" w:cs="Arial"/>
                <w:noProof/>
              </w:rPr>
              <w:t>Обухват Стратегије</w:t>
            </w:r>
            <w:r w:rsidR="00A94E1D">
              <w:rPr>
                <w:noProof/>
                <w:webHidden/>
              </w:rPr>
              <w:tab/>
            </w:r>
            <w:r w:rsidR="00A94E1D">
              <w:rPr>
                <w:noProof/>
                <w:webHidden/>
              </w:rPr>
              <w:fldChar w:fldCharType="begin"/>
            </w:r>
            <w:r w:rsidR="00A94E1D">
              <w:rPr>
                <w:noProof/>
                <w:webHidden/>
              </w:rPr>
              <w:instrText xml:space="preserve"> PAGEREF _Toc149810603 \h </w:instrText>
            </w:r>
            <w:r w:rsidR="00A94E1D">
              <w:rPr>
                <w:noProof/>
                <w:webHidden/>
              </w:rPr>
            </w:r>
            <w:r w:rsidR="00A94E1D">
              <w:rPr>
                <w:noProof/>
                <w:webHidden/>
              </w:rPr>
              <w:fldChar w:fldCharType="separate"/>
            </w:r>
            <w:r w:rsidR="00732673">
              <w:rPr>
                <w:noProof/>
                <w:webHidden/>
              </w:rPr>
              <w:t>1</w:t>
            </w:r>
            <w:r w:rsidR="00A94E1D">
              <w:rPr>
                <w:noProof/>
                <w:webHidden/>
              </w:rPr>
              <w:fldChar w:fldCharType="end"/>
            </w:r>
          </w:hyperlink>
        </w:p>
        <w:p w14:paraId="37EA47EC" w14:textId="0C1F001F" w:rsidR="00A94E1D" w:rsidRDefault="006E29FF">
          <w:pPr>
            <w:pStyle w:val="TOC1"/>
            <w:rPr>
              <w:rFonts w:asciiTheme="minorHAnsi" w:eastAsiaTheme="minorEastAsia" w:hAnsiTheme="minorHAnsi" w:cstheme="minorBidi"/>
              <w:sz w:val="22"/>
              <w:szCs w:val="22"/>
              <w:lang w:val="en-GB" w:eastAsia="en-GB"/>
            </w:rPr>
          </w:pPr>
          <w:hyperlink w:anchor="_Toc149810604" w:history="1">
            <w:r w:rsidR="00A94E1D" w:rsidRPr="00AC5F68">
              <w:rPr>
                <w:rStyle w:val="Hyperlink"/>
              </w:rPr>
              <w:t>2.</w:t>
            </w:r>
            <w:r w:rsidR="00A94E1D">
              <w:rPr>
                <w:rFonts w:asciiTheme="minorHAnsi" w:eastAsiaTheme="minorEastAsia" w:hAnsiTheme="minorHAnsi" w:cstheme="minorBidi"/>
                <w:sz w:val="22"/>
                <w:szCs w:val="22"/>
                <w:lang w:val="en-GB" w:eastAsia="en-GB"/>
              </w:rPr>
              <w:tab/>
            </w:r>
            <w:r w:rsidR="00A94E1D" w:rsidRPr="00AC5F68">
              <w:rPr>
                <w:rStyle w:val="Hyperlink"/>
              </w:rPr>
              <w:t>Портфолио дуга Владе Федерације БиХ</w:t>
            </w:r>
            <w:r w:rsidR="00A94E1D">
              <w:rPr>
                <w:webHidden/>
              </w:rPr>
              <w:tab/>
            </w:r>
            <w:r w:rsidR="00A94E1D">
              <w:rPr>
                <w:webHidden/>
              </w:rPr>
              <w:fldChar w:fldCharType="begin"/>
            </w:r>
            <w:r w:rsidR="00A94E1D">
              <w:rPr>
                <w:webHidden/>
              </w:rPr>
              <w:instrText xml:space="preserve"> PAGEREF _Toc149810604 \h </w:instrText>
            </w:r>
            <w:r w:rsidR="00A94E1D">
              <w:rPr>
                <w:webHidden/>
              </w:rPr>
            </w:r>
            <w:r w:rsidR="00A94E1D">
              <w:rPr>
                <w:webHidden/>
              </w:rPr>
              <w:fldChar w:fldCharType="separate"/>
            </w:r>
            <w:r w:rsidR="00732673">
              <w:rPr>
                <w:webHidden/>
              </w:rPr>
              <w:t>2</w:t>
            </w:r>
            <w:r w:rsidR="00A94E1D">
              <w:rPr>
                <w:webHidden/>
              </w:rPr>
              <w:fldChar w:fldCharType="end"/>
            </w:r>
          </w:hyperlink>
        </w:p>
        <w:p w14:paraId="31D60187" w14:textId="6C588B42" w:rsidR="00A94E1D" w:rsidRDefault="006E29FF">
          <w:pPr>
            <w:pStyle w:val="TOC2"/>
            <w:rPr>
              <w:rFonts w:eastAsiaTheme="minorEastAsia"/>
              <w:noProof/>
              <w:lang w:val="en-GB" w:eastAsia="en-GB"/>
            </w:rPr>
          </w:pPr>
          <w:hyperlink w:anchor="_Toc149810605" w:history="1">
            <w:r w:rsidR="00A94E1D" w:rsidRPr="00AC5F68">
              <w:rPr>
                <w:rStyle w:val="Hyperlink"/>
                <w:rFonts w:ascii="Arial" w:hAnsi="Arial" w:cs="Arial"/>
                <w:noProof/>
              </w:rPr>
              <w:t>2.1.</w:t>
            </w:r>
            <w:r w:rsidR="00A94E1D">
              <w:rPr>
                <w:rFonts w:eastAsiaTheme="minorEastAsia"/>
                <w:noProof/>
                <w:lang w:val="en-GB" w:eastAsia="en-GB"/>
              </w:rPr>
              <w:tab/>
            </w:r>
            <w:r w:rsidR="00A94E1D" w:rsidRPr="00AC5F68">
              <w:rPr>
                <w:rStyle w:val="Hyperlink"/>
                <w:rFonts w:ascii="Arial" w:hAnsi="Arial" w:cs="Arial"/>
                <w:noProof/>
              </w:rPr>
              <w:t>Структура спољног дуга Федерације БиХ на дан 31.12.2022. године</w:t>
            </w:r>
            <w:r w:rsidR="00A94E1D">
              <w:rPr>
                <w:noProof/>
                <w:webHidden/>
              </w:rPr>
              <w:tab/>
            </w:r>
            <w:r w:rsidR="00A94E1D">
              <w:rPr>
                <w:noProof/>
                <w:webHidden/>
              </w:rPr>
              <w:fldChar w:fldCharType="begin"/>
            </w:r>
            <w:r w:rsidR="00A94E1D">
              <w:rPr>
                <w:noProof/>
                <w:webHidden/>
              </w:rPr>
              <w:instrText xml:space="preserve"> PAGEREF _Toc149810605 \h </w:instrText>
            </w:r>
            <w:r w:rsidR="00A94E1D">
              <w:rPr>
                <w:noProof/>
                <w:webHidden/>
              </w:rPr>
            </w:r>
            <w:r w:rsidR="00A94E1D">
              <w:rPr>
                <w:noProof/>
                <w:webHidden/>
              </w:rPr>
              <w:fldChar w:fldCharType="separate"/>
            </w:r>
            <w:r w:rsidR="00732673">
              <w:rPr>
                <w:noProof/>
                <w:webHidden/>
              </w:rPr>
              <w:t>2</w:t>
            </w:r>
            <w:r w:rsidR="00A94E1D">
              <w:rPr>
                <w:noProof/>
                <w:webHidden/>
              </w:rPr>
              <w:fldChar w:fldCharType="end"/>
            </w:r>
          </w:hyperlink>
        </w:p>
        <w:p w14:paraId="7A0554E2" w14:textId="7C46FA21" w:rsidR="00A94E1D" w:rsidRDefault="006E29FF">
          <w:pPr>
            <w:pStyle w:val="TOC3"/>
            <w:rPr>
              <w:rFonts w:eastAsiaTheme="minorEastAsia"/>
              <w:noProof/>
              <w:lang w:val="en-GB" w:eastAsia="en-GB"/>
            </w:rPr>
          </w:pPr>
          <w:hyperlink w:anchor="_Toc149810606" w:history="1">
            <w:r w:rsidR="00A94E1D" w:rsidRPr="00AC5F68">
              <w:rPr>
                <w:rStyle w:val="Hyperlink"/>
                <w:rFonts w:ascii="Arial" w:hAnsi="Arial" w:cs="Arial"/>
                <w:noProof/>
              </w:rPr>
              <w:t>2.1.1.</w:t>
            </w:r>
            <w:r w:rsidR="00A94E1D">
              <w:rPr>
                <w:rFonts w:eastAsiaTheme="minorEastAsia"/>
                <w:noProof/>
                <w:lang w:val="en-GB" w:eastAsia="en-GB"/>
              </w:rPr>
              <w:tab/>
            </w:r>
            <w:r w:rsidR="00A94E1D" w:rsidRPr="00AC5F68">
              <w:rPr>
                <w:rStyle w:val="Hyperlink"/>
                <w:rFonts w:ascii="Arial" w:hAnsi="Arial" w:cs="Arial"/>
                <w:noProof/>
              </w:rPr>
              <w:t>Структура спољног дуга Федерације БиХ по кредиторима</w:t>
            </w:r>
            <w:r w:rsidR="00A94E1D">
              <w:rPr>
                <w:noProof/>
                <w:webHidden/>
              </w:rPr>
              <w:tab/>
            </w:r>
            <w:r w:rsidR="00A94E1D">
              <w:rPr>
                <w:noProof/>
                <w:webHidden/>
              </w:rPr>
              <w:fldChar w:fldCharType="begin"/>
            </w:r>
            <w:r w:rsidR="00A94E1D">
              <w:rPr>
                <w:noProof/>
                <w:webHidden/>
              </w:rPr>
              <w:instrText xml:space="preserve"> PAGEREF _Toc149810606 \h </w:instrText>
            </w:r>
            <w:r w:rsidR="00A94E1D">
              <w:rPr>
                <w:noProof/>
                <w:webHidden/>
              </w:rPr>
            </w:r>
            <w:r w:rsidR="00A94E1D">
              <w:rPr>
                <w:noProof/>
                <w:webHidden/>
              </w:rPr>
              <w:fldChar w:fldCharType="separate"/>
            </w:r>
            <w:r w:rsidR="00732673">
              <w:rPr>
                <w:noProof/>
                <w:webHidden/>
              </w:rPr>
              <w:t>2</w:t>
            </w:r>
            <w:r w:rsidR="00A94E1D">
              <w:rPr>
                <w:noProof/>
                <w:webHidden/>
              </w:rPr>
              <w:fldChar w:fldCharType="end"/>
            </w:r>
          </w:hyperlink>
        </w:p>
        <w:p w14:paraId="39964ED3" w14:textId="1913D185" w:rsidR="00A94E1D" w:rsidRDefault="006E29FF">
          <w:pPr>
            <w:pStyle w:val="TOC3"/>
            <w:rPr>
              <w:rFonts w:eastAsiaTheme="minorEastAsia"/>
              <w:noProof/>
              <w:lang w:val="en-GB" w:eastAsia="en-GB"/>
            </w:rPr>
          </w:pPr>
          <w:hyperlink w:anchor="_Toc149810607" w:history="1">
            <w:r w:rsidR="00A94E1D" w:rsidRPr="00AC5F68">
              <w:rPr>
                <w:rStyle w:val="Hyperlink"/>
                <w:rFonts w:ascii="Arial" w:hAnsi="Arial" w:cs="Arial"/>
                <w:noProof/>
              </w:rPr>
              <w:t>2.1.2.</w:t>
            </w:r>
            <w:r w:rsidR="00A94E1D">
              <w:rPr>
                <w:rFonts w:eastAsiaTheme="minorEastAsia"/>
                <w:noProof/>
                <w:lang w:val="en-GB" w:eastAsia="en-GB"/>
              </w:rPr>
              <w:tab/>
            </w:r>
            <w:r w:rsidR="00A94E1D" w:rsidRPr="00AC5F68">
              <w:rPr>
                <w:rStyle w:val="Hyperlink"/>
                <w:rFonts w:ascii="Arial" w:hAnsi="Arial" w:cs="Arial"/>
                <w:noProof/>
              </w:rPr>
              <w:t>Валутна структура спољног дуга Федерације БиХ</w:t>
            </w:r>
            <w:r w:rsidR="00A94E1D">
              <w:rPr>
                <w:noProof/>
                <w:webHidden/>
              </w:rPr>
              <w:tab/>
            </w:r>
            <w:r w:rsidR="00A94E1D">
              <w:rPr>
                <w:noProof/>
                <w:webHidden/>
              </w:rPr>
              <w:fldChar w:fldCharType="begin"/>
            </w:r>
            <w:r w:rsidR="00A94E1D">
              <w:rPr>
                <w:noProof/>
                <w:webHidden/>
              </w:rPr>
              <w:instrText xml:space="preserve"> PAGEREF _Toc149810607 \h </w:instrText>
            </w:r>
            <w:r w:rsidR="00A94E1D">
              <w:rPr>
                <w:noProof/>
                <w:webHidden/>
              </w:rPr>
            </w:r>
            <w:r w:rsidR="00A94E1D">
              <w:rPr>
                <w:noProof/>
                <w:webHidden/>
              </w:rPr>
              <w:fldChar w:fldCharType="separate"/>
            </w:r>
            <w:r w:rsidR="00732673">
              <w:rPr>
                <w:noProof/>
                <w:webHidden/>
              </w:rPr>
              <w:t>3</w:t>
            </w:r>
            <w:r w:rsidR="00A94E1D">
              <w:rPr>
                <w:noProof/>
                <w:webHidden/>
              </w:rPr>
              <w:fldChar w:fldCharType="end"/>
            </w:r>
          </w:hyperlink>
        </w:p>
        <w:p w14:paraId="565ABDB5" w14:textId="1273C922" w:rsidR="00A94E1D" w:rsidRDefault="006E29FF">
          <w:pPr>
            <w:pStyle w:val="TOC3"/>
            <w:rPr>
              <w:rFonts w:eastAsiaTheme="minorEastAsia"/>
              <w:noProof/>
              <w:lang w:val="en-GB" w:eastAsia="en-GB"/>
            </w:rPr>
          </w:pPr>
          <w:hyperlink w:anchor="_Toc149810608" w:history="1">
            <w:r w:rsidR="00A94E1D" w:rsidRPr="00AC5F68">
              <w:rPr>
                <w:rStyle w:val="Hyperlink"/>
                <w:rFonts w:ascii="Arial" w:hAnsi="Arial" w:cs="Arial"/>
                <w:noProof/>
              </w:rPr>
              <w:t>2.1.3.</w:t>
            </w:r>
            <w:r w:rsidR="00A94E1D">
              <w:rPr>
                <w:rFonts w:eastAsiaTheme="minorEastAsia"/>
                <w:noProof/>
                <w:lang w:val="en-GB" w:eastAsia="en-GB"/>
              </w:rPr>
              <w:tab/>
            </w:r>
            <w:r w:rsidR="00A94E1D" w:rsidRPr="00AC5F68">
              <w:rPr>
                <w:rStyle w:val="Hyperlink"/>
                <w:rFonts w:ascii="Arial" w:hAnsi="Arial" w:cs="Arial"/>
                <w:noProof/>
              </w:rPr>
              <w:t>Каматна структура спољног дуга Федерације БиХ</w:t>
            </w:r>
            <w:r w:rsidR="00A94E1D">
              <w:rPr>
                <w:noProof/>
                <w:webHidden/>
              </w:rPr>
              <w:tab/>
            </w:r>
            <w:r w:rsidR="00A94E1D">
              <w:rPr>
                <w:noProof/>
                <w:webHidden/>
              </w:rPr>
              <w:fldChar w:fldCharType="begin"/>
            </w:r>
            <w:r w:rsidR="00A94E1D">
              <w:rPr>
                <w:noProof/>
                <w:webHidden/>
              </w:rPr>
              <w:instrText xml:space="preserve"> PAGEREF _Toc149810608 \h </w:instrText>
            </w:r>
            <w:r w:rsidR="00A94E1D">
              <w:rPr>
                <w:noProof/>
                <w:webHidden/>
              </w:rPr>
            </w:r>
            <w:r w:rsidR="00A94E1D">
              <w:rPr>
                <w:noProof/>
                <w:webHidden/>
              </w:rPr>
              <w:fldChar w:fldCharType="separate"/>
            </w:r>
            <w:r w:rsidR="00732673">
              <w:rPr>
                <w:noProof/>
                <w:webHidden/>
              </w:rPr>
              <w:t>3</w:t>
            </w:r>
            <w:r w:rsidR="00A94E1D">
              <w:rPr>
                <w:noProof/>
                <w:webHidden/>
              </w:rPr>
              <w:fldChar w:fldCharType="end"/>
            </w:r>
          </w:hyperlink>
        </w:p>
        <w:p w14:paraId="722CA669" w14:textId="03470FE0" w:rsidR="00A94E1D" w:rsidRDefault="006E29FF">
          <w:pPr>
            <w:pStyle w:val="TOC2"/>
            <w:rPr>
              <w:rFonts w:eastAsiaTheme="minorEastAsia"/>
              <w:noProof/>
              <w:lang w:val="en-GB" w:eastAsia="en-GB"/>
            </w:rPr>
          </w:pPr>
          <w:hyperlink w:anchor="_Toc149810609" w:history="1">
            <w:r w:rsidR="00A94E1D" w:rsidRPr="00AC5F68">
              <w:rPr>
                <w:rStyle w:val="Hyperlink"/>
                <w:rFonts w:ascii="Arial" w:hAnsi="Arial" w:cs="Arial"/>
                <w:noProof/>
              </w:rPr>
              <w:t>2.2.</w:t>
            </w:r>
            <w:r w:rsidR="00A94E1D">
              <w:rPr>
                <w:rFonts w:eastAsiaTheme="minorEastAsia"/>
                <w:noProof/>
                <w:lang w:val="en-GB" w:eastAsia="en-GB"/>
              </w:rPr>
              <w:tab/>
            </w:r>
            <w:r w:rsidR="00A94E1D" w:rsidRPr="00AC5F68">
              <w:rPr>
                <w:rStyle w:val="Hyperlink"/>
                <w:rFonts w:ascii="Arial" w:hAnsi="Arial" w:cs="Arial"/>
                <w:noProof/>
              </w:rPr>
              <w:t>Структура унутрашњег дуга Федерације БиХ на дан 31.12.2022. године</w:t>
            </w:r>
            <w:r w:rsidR="00A94E1D">
              <w:rPr>
                <w:noProof/>
                <w:webHidden/>
              </w:rPr>
              <w:tab/>
            </w:r>
            <w:r w:rsidR="00A94E1D">
              <w:rPr>
                <w:noProof/>
                <w:webHidden/>
              </w:rPr>
              <w:fldChar w:fldCharType="begin"/>
            </w:r>
            <w:r w:rsidR="00A94E1D">
              <w:rPr>
                <w:noProof/>
                <w:webHidden/>
              </w:rPr>
              <w:instrText xml:space="preserve"> PAGEREF _Toc149810609 \h </w:instrText>
            </w:r>
            <w:r w:rsidR="00A94E1D">
              <w:rPr>
                <w:noProof/>
                <w:webHidden/>
              </w:rPr>
            </w:r>
            <w:r w:rsidR="00A94E1D">
              <w:rPr>
                <w:noProof/>
                <w:webHidden/>
              </w:rPr>
              <w:fldChar w:fldCharType="separate"/>
            </w:r>
            <w:r w:rsidR="00732673">
              <w:rPr>
                <w:noProof/>
                <w:webHidden/>
              </w:rPr>
              <w:t>4</w:t>
            </w:r>
            <w:r w:rsidR="00A94E1D">
              <w:rPr>
                <w:noProof/>
                <w:webHidden/>
              </w:rPr>
              <w:fldChar w:fldCharType="end"/>
            </w:r>
          </w:hyperlink>
        </w:p>
        <w:p w14:paraId="35F90C4C" w14:textId="10BE9138" w:rsidR="00A94E1D" w:rsidRDefault="006E29FF">
          <w:pPr>
            <w:pStyle w:val="TOC3"/>
            <w:rPr>
              <w:rFonts w:eastAsiaTheme="minorEastAsia"/>
              <w:noProof/>
              <w:lang w:val="en-GB" w:eastAsia="en-GB"/>
            </w:rPr>
          </w:pPr>
          <w:hyperlink w:anchor="_Toc149810610" w:history="1">
            <w:r w:rsidR="00A94E1D" w:rsidRPr="00AC5F68">
              <w:rPr>
                <w:rStyle w:val="Hyperlink"/>
                <w:rFonts w:ascii="Arial" w:hAnsi="Arial" w:cs="Arial"/>
                <w:noProof/>
              </w:rPr>
              <w:t>2.2.1.</w:t>
            </w:r>
            <w:r w:rsidR="00A94E1D">
              <w:rPr>
                <w:rFonts w:eastAsiaTheme="minorEastAsia"/>
                <w:noProof/>
                <w:lang w:val="en-GB" w:eastAsia="en-GB"/>
              </w:rPr>
              <w:tab/>
            </w:r>
            <w:r w:rsidR="00A94E1D" w:rsidRPr="00AC5F68">
              <w:rPr>
                <w:rStyle w:val="Hyperlink"/>
                <w:rFonts w:ascii="Arial" w:hAnsi="Arial" w:cs="Arial"/>
                <w:noProof/>
              </w:rPr>
              <w:t>Каматна структура унутрашњег дуга Федерације БиХ</w:t>
            </w:r>
            <w:r w:rsidR="00A94E1D">
              <w:rPr>
                <w:noProof/>
                <w:webHidden/>
              </w:rPr>
              <w:tab/>
            </w:r>
            <w:r w:rsidR="00A94E1D">
              <w:rPr>
                <w:noProof/>
                <w:webHidden/>
              </w:rPr>
              <w:fldChar w:fldCharType="begin"/>
            </w:r>
            <w:r w:rsidR="00A94E1D">
              <w:rPr>
                <w:noProof/>
                <w:webHidden/>
              </w:rPr>
              <w:instrText xml:space="preserve"> PAGEREF _Toc149810610 \h </w:instrText>
            </w:r>
            <w:r w:rsidR="00A94E1D">
              <w:rPr>
                <w:noProof/>
                <w:webHidden/>
              </w:rPr>
            </w:r>
            <w:r w:rsidR="00A94E1D">
              <w:rPr>
                <w:noProof/>
                <w:webHidden/>
              </w:rPr>
              <w:fldChar w:fldCharType="separate"/>
            </w:r>
            <w:r w:rsidR="00732673">
              <w:rPr>
                <w:noProof/>
                <w:webHidden/>
              </w:rPr>
              <w:t>4</w:t>
            </w:r>
            <w:r w:rsidR="00A94E1D">
              <w:rPr>
                <w:noProof/>
                <w:webHidden/>
              </w:rPr>
              <w:fldChar w:fldCharType="end"/>
            </w:r>
          </w:hyperlink>
        </w:p>
        <w:p w14:paraId="2E5986B8" w14:textId="1C9E336A" w:rsidR="00A94E1D" w:rsidRDefault="006E29FF">
          <w:pPr>
            <w:pStyle w:val="TOC1"/>
            <w:rPr>
              <w:rFonts w:asciiTheme="minorHAnsi" w:eastAsiaTheme="minorEastAsia" w:hAnsiTheme="minorHAnsi" w:cstheme="minorBidi"/>
              <w:sz w:val="22"/>
              <w:szCs w:val="22"/>
              <w:lang w:val="en-GB" w:eastAsia="en-GB"/>
            </w:rPr>
          </w:pPr>
          <w:hyperlink w:anchor="_Toc149810611" w:history="1">
            <w:r w:rsidR="00A94E1D" w:rsidRPr="00AC5F68">
              <w:rPr>
                <w:rStyle w:val="Hyperlink"/>
              </w:rPr>
              <w:t>3.</w:t>
            </w:r>
            <w:r w:rsidR="00A94E1D">
              <w:rPr>
                <w:rFonts w:asciiTheme="minorHAnsi" w:eastAsiaTheme="minorEastAsia" w:hAnsiTheme="minorHAnsi" w:cstheme="minorBidi"/>
                <w:sz w:val="22"/>
                <w:szCs w:val="22"/>
                <w:lang w:val="en-GB" w:eastAsia="en-GB"/>
              </w:rPr>
              <w:tab/>
            </w:r>
            <w:r w:rsidR="00A94E1D" w:rsidRPr="00AC5F68">
              <w:rPr>
                <w:rStyle w:val="Hyperlink"/>
              </w:rPr>
              <w:t>РИЗИЦИ ПОРТФОЛИЈА ДУГА ФЕДЕРАЦИЈЕ БиХ</w:t>
            </w:r>
            <w:r w:rsidR="00A94E1D">
              <w:rPr>
                <w:webHidden/>
              </w:rPr>
              <w:tab/>
            </w:r>
            <w:r w:rsidR="00A94E1D">
              <w:rPr>
                <w:webHidden/>
              </w:rPr>
              <w:fldChar w:fldCharType="begin"/>
            </w:r>
            <w:r w:rsidR="00A94E1D">
              <w:rPr>
                <w:webHidden/>
              </w:rPr>
              <w:instrText xml:space="preserve"> PAGEREF _Toc149810611 \h </w:instrText>
            </w:r>
            <w:r w:rsidR="00A94E1D">
              <w:rPr>
                <w:webHidden/>
              </w:rPr>
            </w:r>
            <w:r w:rsidR="00A94E1D">
              <w:rPr>
                <w:webHidden/>
              </w:rPr>
              <w:fldChar w:fldCharType="separate"/>
            </w:r>
            <w:r w:rsidR="00732673">
              <w:rPr>
                <w:webHidden/>
              </w:rPr>
              <w:t>4</w:t>
            </w:r>
            <w:r w:rsidR="00A94E1D">
              <w:rPr>
                <w:webHidden/>
              </w:rPr>
              <w:fldChar w:fldCharType="end"/>
            </w:r>
          </w:hyperlink>
        </w:p>
        <w:p w14:paraId="3B9202C8" w14:textId="074A1649" w:rsidR="00A94E1D" w:rsidRDefault="006E29FF">
          <w:pPr>
            <w:pStyle w:val="TOC2"/>
            <w:rPr>
              <w:rFonts w:eastAsiaTheme="minorEastAsia"/>
              <w:noProof/>
              <w:lang w:val="en-GB" w:eastAsia="en-GB"/>
            </w:rPr>
          </w:pPr>
          <w:hyperlink w:anchor="_Toc149810612" w:history="1">
            <w:r w:rsidR="00A94E1D" w:rsidRPr="00AC5F68">
              <w:rPr>
                <w:rStyle w:val="Hyperlink"/>
                <w:rFonts w:ascii="Arial" w:hAnsi="Arial" w:cs="Arial"/>
                <w:noProof/>
              </w:rPr>
              <w:t>3.1.</w:t>
            </w:r>
            <w:r w:rsidR="00A94E1D">
              <w:rPr>
                <w:rFonts w:eastAsiaTheme="minorEastAsia"/>
                <w:noProof/>
                <w:lang w:val="en-GB" w:eastAsia="en-GB"/>
              </w:rPr>
              <w:tab/>
            </w:r>
            <w:r w:rsidR="00A94E1D" w:rsidRPr="00AC5F68">
              <w:rPr>
                <w:rStyle w:val="Hyperlink"/>
                <w:rFonts w:ascii="Arial" w:hAnsi="Arial" w:cs="Arial"/>
                <w:noProof/>
              </w:rPr>
              <w:t>Карактеристике трошкова и ризика портфолија дуга Федерације БиХ</w:t>
            </w:r>
            <w:r w:rsidR="00A94E1D">
              <w:rPr>
                <w:noProof/>
                <w:webHidden/>
              </w:rPr>
              <w:tab/>
            </w:r>
            <w:r w:rsidR="00A94E1D">
              <w:rPr>
                <w:noProof/>
                <w:webHidden/>
              </w:rPr>
              <w:fldChar w:fldCharType="begin"/>
            </w:r>
            <w:r w:rsidR="00A94E1D">
              <w:rPr>
                <w:noProof/>
                <w:webHidden/>
              </w:rPr>
              <w:instrText xml:space="preserve"> PAGEREF _Toc149810612 \h </w:instrText>
            </w:r>
            <w:r w:rsidR="00A94E1D">
              <w:rPr>
                <w:noProof/>
                <w:webHidden/>
              </w:rPr>
            </w:r>
            <w:r w:rsidR="00A94E1D">
              <w:rPr>
                <w:noProof/>
                <w:webHidden/>
              </w:rPr>
              <w:fldChar w:fldCharType="separate"/>
            </w:r>
            <w:r w:rsidR="00732673">
              <w:rPr>
                <w:noProof/>
                <w:webHidden/>
              </w:rPr>
              <w:t>4</w:t>
            </w:r>
            <w:r w:rsidR="00A94E1D">
              <w:rPr>
                <w:noProof/>
                <w:webHidden/>
              </w:rPr>
              <w:fldChar w:fldCharType="end"/>
            </w:r>
          </w:hyperlink>
        </w:p>
        <w:p w14:paraId="6B818680" w14:textId="4C476F95" w:rsidR="00A94E1D" w:rsidRDefault="006E29FF">
          <w:pPr>
            <w:pStyle w:val="TOC2"/>
            <w:rPr>
              <w:rFonts w:eastAsiaTheme="minorEastAsia"/>
              <w:noProof/>
              <w:lang w:val="en-GB" w:eastAsia="en-GB"/>
            </w:rPr>
          </w:pPr>
          <w:hyperlink w:anchor="_Toc149810613" w:history="1">
            <w:r w:rsidR="00A94E1D" w:rsidRPr="00AC5F68">
              <w:rPr>
                <w:rStyle w:val="Hyperlink"/>
                <w:rFonts w:ascii="Arial" w:hAnsi="Arial" w:cs="Arial"/>
                <w:noProof/>
              </w:rPr>
              <w:t>3.2.</w:t>
            </w:r>
            <w:r w:rsidR="00A94E1D">
              <w:rPr>
                <w:rFonts w:eastAsiaTheme="minorEastAsia"/>
                <w:noProof/>
                <w:lang w:val="en-GB" w:eastAsia="en-GB"/>
              </w:rPr>
              <w:tab/>
            </w:r>
            <w:r w:rsidR="00A94E1D" w:rsidRPr="00AC5F68">
              <w:rPr>
                <w:rStyle w:val="Hyperlink"/>
                <w:rFonts w:ascii="Arial" w:hAnsi="Arial" w:cs="Arial"/>
                <w:noProof/>
              </w:rPr>
              <w:t>Ризик рефинансирања</w:t>
            </w:r>
            <w:r w:rsidR="00A94E1D">
              <w:rPr>
                <w:noProof/>
                <w:webHidden/>
              </w:rPr>
              <w:tab/>
            </w:r>
            <w:r w:rsidR="00A94E1D">
              <w:rPr>
                <w:noProof/>
                <w:webHidden/>
              </w:rPr>
              <w:fldChar w:fldCharType="begin"/>
            </w:r>
            <w:r w:rsidR="00A94E1D">
              <w:rPr>
                <w:noProof/>
                <w:webHidden/>
              </w:rPr>
              <w:instrText xml:space="preserve"> PAGEREF _Toc149810613 \h </w:instrText>
            </w:r>
            <w:r w:rsidR="00A94E1D">
              <w:rPr>
                <w:noProof/>
                <w:webHidden/>
              </w:rPr>
            </w:r>
            <w:r w:rsidR="00A94E1D">
              <w:rPr>
                <w:noProof/>
                <w:webHidden/>
              </w:rPr>
              <w:fldChar w:fldCharType="separate"/>
            </w:r>
            <w:r w:rsidR="00732673">
              <w:rPr>
                <w:noProof/>
                <w:webHidden/>
              </w:rPr>
              <w:t>5</w:t>
            </w:r>
            <w:r w:rsidR="00A94E1D">
              <w:rPr>
                <w:noProof/>
                <w:webHidden/>
              </w:rPr>
              <w:fldChar w:fldCharType="end"/>
            </w:r>
          </w:hyperlink>
        </w:p>
        <w:p w14:paraId="6311C027" w14:textId="215A3FA6" w:rsidR="00A94E1D" w:rsidRDefault="006E29FF">
          <w:pPr>
            <w:pStyle w:val="TOC2"/>
            <w:rPr>
              <w:rFonts w:eastAsiaTheme="minorEastAsia"/>
              <w:noProof/>
              <w:lang w:val="en-GB" w:eastAsia="en-GB"/>
            </w:rPr>
          </w:pPr>
          <w:hyperlink w:anchor="_Toc149810614" w:history="1">
            <w:r w:rsidR="00A94E1D" w:rsidRPr="00AC5F68">
              <w:rPr>
                <w:rStyle w:val="Hyperlink"/>
                <w:rFonts w:ascii="Arial" w:hAnsi="Arial" w:cs="Arial"/>
                <w:noProof/>
              </w:rPr>
              <w:t>3.3.</w:t>
            </w:r>
            <w:r w:rsidR="00A94E1D">
              <w:rPr>
                <w:rFonts w:eastAsiaTheme="minorEastAsia"/>
                <w:noProof/>
                <w:lang w:val="en-GB" w:eastAsia="en-GB"/>
              </w:rPr>
              <w:tab/>
            </w:r>
            <w:r w:rsidR="00A94E1D" w:rsidRPr="00AC5F68">
              <w:rPr>
                <w:rStyle w:val="Hyperlink"/>
                <w:rFonts w:ascii="Arial" w:hAnsi="Arial" w:cs="Arial"/>
                <w:noProof/>
              </w:rPr>
              <w:t>Каматни ризик</w:t>
            </w:r>
            <w:r w:rsidR="00A94E1D">
              <w:rPr>
                <w:noProof/>
                <w:webHidden/>
              </w:rPr>
              <w:tab/>
            </w:r>
            <w:r w:rsidR="00A94E1D">
              <w:rPr>
                <w:noProof/>
                <w:webHidden/>
              </w:rPr>
              <w:fldChar w:fldCharType="begin"/>
            </w:r>
            <w:r w:rsidR="00A94E1D">
              <w:rPr>
                <w:noProof/>
                <w:webHidden/>
              </w:rPr>
              <w:instrText xml:space="preserve"> PAGEREF _Toc149810614 \h </w:instrText>
            </w:r>
            <w:r w:rsidR="00A94E1D">
              <w:rPr>
                <w:noProof/>
                <w:webHidden/>
              </w:rPr>
            </w:r>
            <w:r w:rsidR="00A94E1D">
              <w:rPr>
                <w:noProof/>
                <w:webHidden/>
              </w:rPr>
              <w:fldChar w:fldCharType="separate"/>
            </w:r>
            <w:r w:rsidR="00732673">
              <w:rPr>
                <w:noProof/>
                <w:webHidden/>
              </w:rPr>
              <w:t>6</w:t>
            </w:r>
            <w:r w:rsidR="00A94E1D">
              <w:rPr>
                <w:noProof/>
                <w:webHidden/>
              </w:rPr>
              <w:fldChar w:fldCharType="end"/>
            </w:r>
          </w:hyperlink>
        </w:p>
        <w:p w14:paraId="3B05887C" w14:textId="5E381A5C" w:rsidR="00A94E1D" w:rsidRDefault="006E29FF">
          <w:pPr>
            <w:pStyle w:val="TOC2"/>
            <w:rPr>
              <w:rFonts w:eastAsiaTheme="minorEastAsia"/>
              <w:noProof/>
              <w:lang w:val="en-GB" w:eastAsia="en-GB"/>
            </w:rPr>
          </w:pPr>
          <w:hyperlink w:anchor="_Toc149810615" w:history="1">
            <w:r w:rsidR="00A94E1D" w:rsidRPr="00AC5F68">
              <w:rPr>
                <w:rStyle w:val="Hyperlink"/>
                <w:rFonts w:ascii="Arial" w:hAnsi="Arial" w:cs="Arial"/>
                <w:noProof/>
              </w:rPr>
              <w:t>3.4.</w:t>
            </w:r>
            <w:r w:rsidR="00A94E1D">
              <w:rPr>
                <w:rFonts w:eastAsiaTheme="minorEastAsia"/>
                <w:noProof/>
                <w:lang w:val="en-GB" w:eastAsia="en-GB"/>
              </w:rPr>
              <w:tab/>
            </w:r>
            <w:r w:rsidR="00A94E1D" w:rsidRPr="00AC5F68">
              <w:rPr>
                <w:rStyle w:val="Hyperlink"/>
                <w:rFonts w:ascii="Arial" w:hAnsi="Arial" w:cs="Arial"/>
                <w:noProof/>
              </w:rPr>
              <w:t>Валутни ризик портфолија дуга Федерације БиХ</w:t>
            </w:r>
            <w:r w:rsidR="00A94E1D">
              <w:rPr>
                <w:noProof/>
                <w:webHidden/>
              </w:rPr>
              <w:tab/>
            </w:r>
            <w:r w:rsidR="00A94E1D">
              <w:rPr>
                <w:noProof/>
                <w:webHidden/>
              </w:rPr>
              <w:fldChar w:fldCharType="begin"/>
            </w:r>
            <w:r w:rsidR="00A94E1D">
              <w:rPr>
                <w:noProof/>
                <w:webHidden/>
              </w:rPr>
              <w:instrText xml:space="preserve"> PAGEREF _Toc149810615 \h </w:instrText>
            </w:r>
            <w:r w:rsidR="00A94E1D">
              <w:rPr>
                <w:noProof/>
                <w:webHidden/>
              </w:rPr>
            </w:r>
            <w:r w:rsidR="00A94E1D">
              <w:rPr>
                <w:noProof/>
                <w:webHidden/>
              </w:rPr>
              <w:fldChar w:fldCharType="separate"/>
            </w:r>
            <w:r w:rsidR="00732673">
              <w:rPr>
                <w:noProof/>
                <w:webHidden/>
              </w:rPr>
              <w:t>6</w:t>
            </w:r>
            <w:r w:rsidR="00A94E1D">
              <w:rPr>
                <w:noProof/>
                <w:webHidden/>
              </w:rPr>
              <w:fldChar w:fldCharType="end"/>
            </w:r>
          </w:hyperlink>
        </w:p>
        <w:p w14:paraId="5E51E199" w14:textId="356DA368" w:rsidR="00A94E1D" w:rsidRDefault="006E29FF">
          <w:pPr>
            <w:pStyle w:val="TOC1"/>
            <w:rPr>
              <w:rFonts w:asciiTheme="minorHAnsi" w:eastAsiaTheme="minorEastAsia" w:hAnsiTheme="minorHAnsi" w:cstheme="minorBidi"/>
              <w:sz w:val="22"/>
              <w:szCs w:val="22"/>
              <w:lang w:val="en-GB" w:eastAsia="en-GB"/>
            </w:rPr>
          </w:pPr>
          <w:hyperlink w:anchor="_Toc149810616" w:history="1">
            <w:r w:rsidR="00A94E1D" w:rsidRPr="00AC5F68">
              <w:rPr>
                <w:rStyle w:val="Hyperlink"/>
              </w:rPr>
              <w:t>4.</w:t>
            </w:r>
            <w:r w:rsidR="00A94E1D">
              <w:rPr>
                <w:rFonts w:asciiTheme="minorHAnsi" w:eastAsiaTheme="minorEastAsia" w:hAnsiTheme="minorHAnsi" w:cstheme="minorBidi"/>
                <w:sz w:val="22"/>
                <w:szCs w:val="22"/>
                <w:lang w:val="en-GB" w:eastAsia="en-GB"/>
              </w:rPr>
              <w:tab/>
            </w:r>
            <w:r w:rsidR="00A94E1D" w:rsidRPr="00AC5F68">
              <w:rPr>
                <w:rStyle w:val="Hyperlink"/>
              </w:rPr>
              <w:t>МАКРОЕКОНОМСКИ ОКВИР</w:t>
            </w:r>
            <w:r w:rsidR="00A94E1D">
              <w:rPr>
                <w:webHidden/>
              </w:rPr>
              <w:tab/>
            </w:r>
            <w:r w:rsidR="00A94E1D">
              <w:rPr>
                <w:webHidden/>
              </w:rPr>
              <w:fldChar w:fldCharType="begin"/>
            </w:r>
            <w:r w:rsidR="00A94E1D">
              <w:rPr>
                <w:webHidden/>
              </w:rPr>
              <w:instrText xml:space="preserve"> PAGEREF _Toc149810616 \h </w:instrText>
            </w:r>
            <w:r w:rsidR="00A94E1D">
              <w:rPr>
                <w:webHidden/>
              </w:rPr>
            </w:r>
            <w:r w:rsidR="00A94E1D">
              <w:rPr>
                <w:webHidden/>
              </w:rPr>
              <w:fldChar w:fldCharType="separate"/>
            </w:r>
            <w:r w:rsidR="00732673">
              <w:rPr>
                <w:webHidden/>
              </w:rPr>
              <w:t>8</w:t>
            </w:r>
            <w:r w:rsidR="00A94E1D">
              <w:rPr>
                <w:webHidden/>
              </w:rPr>
              <w:fldChar w:fldCharType="end"/>
            </w:r>
          </w:hyperlink>
        </w:p>
        <w:p w14:paraId="0648A1A6" w14:textId="2CC1060F" w:rsidR="00A94E1D" w:rsidRDefault="006E29FF">
          <w:pPr>
            <w:pStyle w:val="TOC1"/>
            <w:rPr>
              <w:rFonts w:asciiTheme="minorHAnsi" w:eastAsiaTheme="minorEastAsia" w:hAnsiTheme="minorHAnsi" w:cstheme="minorBidi"/>
              <w:sz w:val="22"/>
              <w:szCs w:val="22"/>
              <w:lang w:val="en-GB" w:eastAsia="en-GB"/>
            </w:rPr>
          </w:pPr>
          <w:hyperlink w:anchor="_Toc149810617" w:history="1">
            <w:r w:rsidR="00A94E1D" w:rsidRPr="00AC5F68">
              <w:rPr>
                <w:rStyle w:val="Hyperlink"/>
              </w:rPr>
              <w:t>5.</w:t>
            </w:r>
            <w:r w:rsidR="00A94E1D">
              <w:rPr>
                <w:rFonts w:asciiTheme="minorHAnsi" w:eastAsiaTheme="minorEastAsia" w:hAnsiTheme="minorHAnsi" w:cstheme="minorBidi"/>
                <w:sz w:val="22"/>
                <w:szCs w:val="22"/>
                <w:lang w:val="en-GB" w:eastAsia="en-GB"/>
              </w:rPr>
              <w:tab/>
            </w:r>
            <w:r w:rsidR="00A94E1D" w:rsidRPr="00AC5F68">
              <w:rPr>
                <w:rStyle w:val="Hyperlink"/>
              </w:rPr>
              <w:t>ИЗВОРИ  ФИНАНСИРАЊА</w:t>
            </w:r>
            <w:r w:rsidR="00A94E1D">
              <w:rPr>
                <w:webHidden/>
              </w:rPr>
              <w:tab/>
            </w:r>
            <w:r w:rsidR="00A94E1D">
              <w:rPr>
                <w:webHidden/>
              </w:rPr>
              <w:fldChar w:fldCharType="begin"/>
            </w:r>
            <w:r w:rsidR="00A94E1D">
              <w:rPr>
                <w:webHidden/>
              </w:rPr>
              <w:instrText xml:space="preserve"> PAGEREF _Toc149810617 \h </w:instrText>
            </w:r>
            <w:r w:rsidR="00A94E1D">
              <w:rPr>
                <w:webHidden/>
              </w:rPr>
            </w:r>
            <w:r w:rsidR="00A94E1D">
              <w:rPr>
                <w:webHidden/>
              </w:rPr>
              <w:fldChar w:fldCharType="separate"/>
            </w:r>
            <w:r w:rsidR="00732673">
              <w:rPr>
                <w:webHidden/>
              </w:rPr>
              <w:t>10</w:t>
            </w:r>
            <w:r w:rsidR="00A94E1D">
              <w:rPr>
                <w:webHidden/>
              </w:rPr>
              <w:fldChar w:fldCharType="end"/>
            </w:r>
          </w:hyperlink>
        </w:p>
        <w:p w14:paraId="2B6E0279" w14:textId="49269782" w:rsidR="00A94E1D" w:rsidRDefault="006E29FF">
          <w:pPr>
            <w:pStyle w:val="TOC2"/>
            <w:rPr>
              <w:rFonts w:eastAsiaTheme="minorEastAsia"/>
              <w:noProof/>
              <w:lang w:val="en-GB" w:eastAsia="en-GB"/>
            </w:rPr>
          </w:pPr>
          <w:hyperlink w:anchor="_Toc149810618" w:history="1">
            <w:r w:rsidR="00A94E1D" w:rsidRPr="00AC5F68">
              <w:rPr>
                <w:rStyle w:val="Hyperlink"/>
                <w:rFonts w:ascii="Arial" w:hAnsi="Arial" w:cs="Arial"/>
                <w:noProof/>
              </w:rPr>
              <w:t>5.1.</w:t>
            </w:r>
            <w:r w:rsidR="00A94E1D">
              <w:rPr>
                <w:rFonts w:eastAsiaTheme="minorEastAsia"/>
                <w:noProof/>
                <w:lang w:val="en-GB" w:eastAsia="en-GB"/>
              </w:rPr>
              <w:tab/>
            </w:r>
            <w:r w:rsidR="00A94E1D" w:rsidRPr="00AC5F68">
              <w:rPr>
                <w:rStyle w:val="Hyperlink"/>
                <w:rFonts w:ascii="Arial" w:hAnsi="Arial" w:cs="Arial"/>
                <w:noProof/>
              </w:rPr>
              <w:t>Спољни извори финансирања</w:t>
            </w:r>
            <w:r w:rsidR="00A94E1D">
              <w:rPr>
                <w:noProof/>
                <w:webHidden/>
              </w:rPr>
              <w:tab/>
            </w:r>
            <w:r w:rsidR="00A94E1D">
              <w:rPr>
                <w:noProof/>
                <w:webHidden/>
              </w:rPr>
              <w:fldChar w:fldCharType="begin"/>
            </w:r>
            <w:r w:rsidR="00A94E1D">
              <w:rPr>
                <w:noProof/>
                <w:webHidden/>
              </w:rPr>
              <w:instrText xml:space="preserve"> PAGEREF _Toc149810618 \h </w:instrText>
            </w:r>
            <w:r w:rsidR="00A94E1D">
              <w:rPr>
                <w:noProof/>
                <w:webHidden/>
              </w:rPr>
            </w:r>
            <w:r w:rsidR="00A94E1D">
              <w:rPr>
                <w:noProof/>
                <w:webHidden/>
              </w:rPr>
              <w:fldChar w:fldCharType="separate"/>
            </w:r>
            <w:r w:rsidR="00732673">
              <w:rPr>
                <w:noProof/>
                <w:webHidden/>
              </w:rPr>
              <w:t>10</w:t>
            </w:r>
            <w:r w:rsidR="00A94E1D">
              <w:rPr>
                <w:noProof/>
                <w:webHidden/>
              </w:rPr>
              <w:fldChar w:fldCharType="end"/>
            </w:r>
          </w:hyperlink>
        </w:p>
        <w:p w14:paraId="36619308" w14:textId="575957AD" w:rsidR="00A94E1D" w:rsidRDefault="006E29FF">
          <w:pPr>
            <w:pStyle w:val="TOC2"/>
            <w:rPr>
              <w:rFonts w:eastAsiaTheme="minorEastAsia"/>
              <w:noProof/>
              <w:lang w:val="en-GB" w:eastAsia="en-GB"/>
            </w:rPr>
          </w:pPr>
          <w:hyperlink w:anchor="_Toc149810619" w:history="1">
            <w:r w:rsidR="00A94E1D" w:rsidRPr="00AC5F68">
              <w:rPr>
                <w:rStyle w:val="Hyperlink"/>
                <w:rFonts w:ascii="Arial" w:hAnsi="Arial" w:cs="Arial"/>
                <w:noProof/>
              </w:rPr>
              <w:t>5.2.</w:t>
            </w:r>
            <w:r w:rsidR="00A94E1D">
              <w:rPr>
                <w:rFonts w:eastAsiaTheme="minorEastAsia"/>
                <w:noProof/>
                <w:lang w:val="en-GB" w:eastAsia="en-GB"/>
              </w:rPr>
              <w:tab/>
            </w:r>
            <w:r w:rsidR="00A94E1D" w:rsidRPr="00AC5F68">
              <w:rPr>
                <w:rStyle w:val="Hyperlink"/>
                <w:rFonts w:ascii="Arial" w:hAnsi="Arial" w:cs="Arial"/>
                <w:noProof/>
              </w:rPr>
              <w:t>Домаћи извори финансирања</w:t>
            </w:r>
            <w:r w:rsidR="00A94E1D">
              <w:rPr>
                <w:noProof/>
                <w:webHidden/>
              </w:rPr>
              <w:tab/>
            </w:r>
            <w:r w:rsidR="00A94E1D">
              <w:rPr>
                <w:noProof/>
                <w:webHidden/>
              </w:rPr>
              <w:fldChar w:fldCharType="begin"/>
            </w:r>
            <w:r w:rsidR="00A94E1D">
              <w:rPr>
                <w:noProof/>
                <w:webHidden/>
              </w:rPr>
              <w:instrText xml:space="preserve"> PAGEREF _Toc149810619 \h </w:instrText>
            </w:r>
            <w:r w:rsidR="00A94E1D">
              <w:rPr>
                <w:noProof/>
                <w:webHidden/>
              </w:rPr>
            </w:r>
            <w:r w:rsidR="00A94E1D">
              <w:rPr>
                <w:noProof/>
                <w:webHidden/>
              </w:rPr>
              <w:fldChar w:fldCharType="separate"/>
            </w:r>
            <w:r w:rsidR="00732673">
              <w:rPr>
                <w:noProof/>
                <w:webHidden/>
              </w:rPr>
              <w:t>11</w:t>
            </w:r>
            <w:r w:rsidR="00A94E1D">
              <w:rPr>
                <w:noProof/>
                <w:webHidden/>
              </w:rPr>
              <w:fldChar w:fldCharType="end"/>
            </w:r>
          </w:hyperlink>
        </w:p>
        <w:p w14:paraId="585260CA" w14:textId="2DE1A486" w:rsidR="00A94E1D" w:rsidRDefault="006E29FF">
          <w:pPr>
            <w:pStyle w:val="TOC1"/>
            <w:rPr>
              <w:rFonts w:asciiTheme="minorHAnsi" w:eastAsiaTheme="minorEastAsia" w:hAnsiTheme="minorHAnsi" w:cstheme="minorBidi"/>
              <w:sz w:val="22"/>
              <w:szCs w:val="22"/>
              <w:lang w:val="en-GB" w:eastAsia="en-GB"/>
            </w:rPr>
          </w:pPr>
          <w:hyperlink w:anchor="_Toc149810620" w:history="1">
            <w:r w:rsidR="00A94E1D" w:rsidRPr="00AC5F68">
              <w:rPr>
                <w:rStyle w:val="Hyperlink"/>
              </w:rPr>
              <w:t>6.</w:t>
            </w:r>
            <w:r w:rsidR="00A94E1D">
              <w:rPr>
                <w:rFonts w:asciiTheme="minorHAnsi" w:eastAsiaTheme="minorEastAsia" w:hAnsiTheme="minorHAnsi" w:cstheme="minorBidi"/>
                <w:sz w:val="22"/>
                <w:szCs w:val="22"/>
                <w:lang w:val="en-GB" w:eastAsia="en-GB"/>
              </w:rPr>
              <w:tab/>
            </w:r>
            <w:r w:rsidR="00A94E1D" w:rsidRPr="00AC5F68">
              <w:rPr>
                <w:rStyle w:val="Hyperlink"/>
              </w:rPr>
              <w:t>ПРЕТПОСТАВКЕ ЦИЈЕНА И ОПИСИ СЦЕНАРИЈА ШОКА</w:t>
            </w:r>
            <w:r w:rsidR="00A94E1D">
              <w:rPr>
                <w:webHidden/>
              </w:rPr>
              <w:tab/>
            </w:r>
            <w:r w:rsidR="00A94E1D">
              <w:rPr>
                <w:webHidden/>
              </w:rPr>
              <w:fldChar w:fldCharType="begin"/>
            </w:r>
            <w:r w:rsidR="00A94E1D">
              <w:rPr>
                <w:webHidden/>
              </w:rPr>
              <w:instrText xml:space="preserve"> PAGEREF _Toc149810620 \h </w:instrText>
            </w:r>
            <w:r w:rsidR="00A94E1D">
              <w:rPr>
                <w:webHidden/>
              </w:rPr>
            </w:r>
            <w:r w:rsidR="00A94E1D">
              <w:rPr>
                <w:webHidden/>
              </w:rPr>
              <w:fldChar w:fldCharType="separate"/>
            </w:r>
            <w:r w:rsidR="00732673">
              <w:rPr>
                <w:webHidden/>
              </w:rPr>
              <w:t>13</w:t>
            </w:r>
            <w:r w:rsidR="00A94E1D">
              <w:rPr>
                <w:webHidden/>
              </w:rPr>
              <w:fldChar w:fldCharType="end"/>
            </w:r>
          </w:hyperlink>
        </w:p>
        <w:p w14:paraId="6B57F8C7" w14:textId="4F6A13DA" w:rsidR="00A94E1D" w:rsidRDefault="006E29FF">
          <w:pPr>
            <w:pStyle w:val="TOC2"/>
            <w:rPr>
              <w:rFonts w:eastAsiaTheme="minorEastAsia"/>
              <w:noProof/>
              <w:lang w:val="en-GB" w:eastAsia="en-GB"/>
            </w:rPr>
          </w:pPr>
          <w:hyperlink w:anchor="_Toc149810621" w:history="1">
            <w:r w:rsidR="00A94E1D" w:rsidRPr="00AC5F68">
              <w:rPr>
                <w:rStyle w:val="Hyperlink"/>
                <w:rFonts w:ascii="Arial" w:hAnsi="Arial" w:cs="Arial"/>
                <w:noProof/>
              </w:rPr>
              <w:t>6.1.</w:t>
            </w:r>
            <w:r w:rsidR="00A94E1D">
              <w:rPr>
                <w:rFonts w:eastAsiaTheme="minorEastAsia"/>
                <w:noProof/>
                <w:lang w:val="en-GB" w:eastAsia="en-GB"/>
              </w:rPr>
              <w:tab/>
            </w:r>
            <w:r w:rsidR="00A94E1D" w:rsidRPr="00AC5F68">
              <w:rPr>
                <w:rStyle w:val="Hyperlink"/>
                <w:rFonts w:ascii="Arial" w:hAnsi="Arial" w:cs="Arial"/>
                <w:noProof/>
              </w:rPr>
              <w:t>Сценариј непредвиђених догађаја (Шок сценариј)</w:t>
            </w:r>
            <w:r w:rsidR="00A94E1D">
              <w:rPr>
                <w:noProof/>
                <w:webHidden/>
              </w:rPr>
              <w:tab/>
            </w:r>
            <w:r w:rsidR="00A94E1D">
              <w:rPr>
                <w:noProof/>
                <w:webHidden/>
              </w:rPr>
              <w:fldChar w:fldCharType="begin"/>
            </w:r>
            <w:r w:rsidR="00A94E1D">
              <w:rPr>
                <w:noProof/>
                <w:webHidden/>
              </w:rPr>
              <w:instrText xml:space="preserve"> PAGEREF _Toc149810621 \h </w:instrText>
            </w:r>
            <w:r w:rsidR="00A94E1D">
              <w:rPr>
                <w:noProof/>
                <w:webHidden/>
              </w:rPr>
            </w:r>
            <w:r w:rsidR="00A94E1D">
              <w:rPr>
                <w:noProof/>
                <w:webHidden/>
              </w:rPr>
              <w:fldChar w:fldCharType="separate"/>
            </w:r>
            <w:r w:rsidR="00732673">
              <w:rPr>
                <w:noProof/>
                <w:webHidden/>
              </w:rPr>
              <w:t>13</w:t>
            </w:r>
            <w:r w:rsidR="00A94E1D">
              <w:rPr>
                <w:noProof/>
                <w:webHidden/>
              </w:rPr>
              <w:fldChar w:fldCharType="end"/>
            </w:r>
          </w:hyperlink>
        </w:p>
        <w:p w14:paraId="28EFCA81" w14:textId="165D07A6" w:rsidR="00A94E1D" w:rsidRDefault="006E29FF">
          <w:pPr>
            <w:pStyle w:val="TOC2"/>
            <w:rPr>
              <w:rFonts w:eastAsiaTheme="minorEastAsia"/>
              <w:noProof/>
              <w:lang w:val="en-GB" w:eastAsia="en-GB"/>
            </w:rPr>
          </w:pPr>
          <w:hyperlink w:anchor="_Toc149810622" w:history="1">
            <w:r w:rsidR="00A94E1D" w:rsidRPr="00AC5F68">
              <w:rPr>
                <w:rStyle w:val="Hyperlink"/>
                <w:rFonts w:ascii="Arial" w:hAnsi="Arial" w:cs="Arial"/>
                <w:noProof/>
              </w:rPr>
              <w:t>6.2.</w:t>
            </w:r>
            <w:r w:rsidR="00A94E1D">
              <w:rPr>
                <w:rFonts w:eastAsiaTheme="minorEastAsia"/>
                <w:noProof/>
                <w:lang w:val="en-GB" w:eastAsia="en-GB"/>
              </w:rPr>
              <w:tab/>
            </w:r>
            <w:r w:rsidR="00A94E1D" w:rsidRPr="00AC5F68">
              <w:rPr>
                <w:rStyle w:val="Hyperlink"/>
                <w:rFonts w:ascii="Arial" w:hAnsi="Arial" w:cs="Arial"/>
                <w:noProof/>
              </w:rPr>
              <w:t>Опис алтернативних стратегија управљања дугом</w:t>
            </w:r>
            <w:r w:rsidR="00A94E1D">
              <w:rPr>
                <w:noProof/>
                <w:webHidden/>
              </w:rPr>
              <w:tab/>
            </w:r>
            <w:r w:rsidR="00A94E1D">
              <w:rPr>
                <w:noProof/>
                <w:webHidden/>
              </w:rPr>
              <w:fldChar w:fldCharType="begin"/>
            </w:r>
            <w:r w:rsidR="00A94E1D">
              <w:rPr>
                <w:noProof/>
                <w:webHidden/>
              </w:rPr>
              <w:instrText xml:space="preserve"> PAGEREF _Toc149810622 \h </w:instrText>
            </w:r>
            <w:r w:rsidR="00A94E1D">
              <w:rPr>
                <w:noProof/>
                <w:webHidden/>
              </w:rPr>
            </w:r>
            <w:r w:rsidR="00A94E1D">
              <w:rPr>
                <w:noProof/>
                <w:webHidden/>
              </w:rPr>
              <w:fldChar w:fldCharType="separate"/>
            </w:r>
            <w:r w:rsidR="00732673">
              <w:rPr>
                <w:noProof/>
                <w:webHidden/>
              </w:rPr>
              <w:t>16</w:t>
            </w:r>
            <w:r w:rsidR="00A94E1D">
              <w:rPr>
                <w:noProof/>
                <w:webHidden/>
              </w:rPr>
              <w:fldChar w:fldCharType="end"/>
            </w:r>
          </w:hyperlink>
        </w:p>
        <w:p w14:paraId="12387309" w14:textId="01CD30D9" w:rsidR="00A94E1D" w:rsidRDefault="006E29FF">
          <w:pPr>
            <w:pStyle w:val="TOC2"/>
            <w:rPr>
              <w:rFonts w:eastAsiaTheme="minorEastAsia"/>
              <w:noProof/>
              <w:lang w:val="en-GB" w:eastAsia="en-GB"/>
            </w:rPr>
          </w:pPr>
          <w:hyperlink w:anchor="_Toc149810623" w:history="1">
            <w:r w:rsidR="00A94E1D" w:rsidRPr="00AC5F68">
              <w:rPr>
                <w:rStyle w:val="Hyperlink"/>
                <w:rFonts w:ascii="Arial" w:hAnsi="Arial" w:cs="Arial"/>
                <w:noProof/>
              </w:rPr>
              <w:t>6.3.</w:t>
            </w:r>
            <w:r w:rsidR="00A94E1D">
              <w:rPr>
                <w:rFonts w:eastAsiaTheme="minorEastAsia"/>
                <w:noProof/>
                <w:lang w:val="en-GB" w:eastAsia="en-GB"/>
              </w:rPr>
              <w:tab/>
            </w:r>
            <w:r w:rsidR="00A94E1D" w:rsidRPr="00AC5F68">
              <w:rPr>
                <w:rStyle w:val="Hyperlink"/>
                <w:rFonts w:ascii="Arial" w:hAnsi="Arial" w:cs="Arial"/>
                <w:noProof/>
              </w:rPr>
              <w:t>Анализа трошкова и ризика базне и алтернативних стратегија задуживања</w:t>
            </w:r>
            <w:r w:rsidR="00A94E1D">
              <w:rPr>
                <w:noProof/>
                <w:webHidden/>
              </w:rPr>
              <w:tab/>
            </w:r>
            <w:r w:rsidR="00A94E1D">
              <w:rPr>
                <w:noProof/>
                <w:webHidden/>
              </w:rPr>
              <w:fldChar w:fldCharType="begin"/>
            </w:r>
            <w:r w:rsidR="00A94E1D">
              <w:rPr>
                <w:noProof/>
                <w:webHidden/>
              </w:rPr>
              <w:instrText xml:space="preserve"> PAGEREF _Toc149810623 \h </w:instrText>
            </w:r>
            <w:r w:rsidR="00A94E1D">
              <w:rPr>
                <w:noProof/>
                <w:webHidden/>
              </w:rPr>
            </w:r>
            <w:r w:rsidR="00A94E1D">
              <w:rPr>
                <w:noProof/>
                <w:webHidden/>
              </w:rPr>
              <w:fldChar w:fldCharType="separate"/>
            </w:r>
            <w:r w:rsidR="00732673">
              <w:rPr>
                <w:noProof/>
                <w:webHidden/>
              </w:rPr>
              <w:t>16</w:t>
            </w:r>
            <w:r w:rsidR="00A94E1D">
              <w:rPr>
                <w:noProof/>
                <w:webHidden/>
              </w:rPr>
              <w:fldChar w:fldCharType="end"/>
            </w:r>
          </w:hyperlink>
        </w:p>
        <w:p w14:paraId="1AA1CE47" w14:textId="69C7D4B2" w:rsidR="00A94E1D" w:rsidRDefault="006E29FF">
          <w:pPr>
            <w:pStyle w:val="TOC2"/>
            <w:rPr>
              <w:rFonts w:eastAsiaTheme="minorEastAsia"/>
              <w:noProof/>
              <w:lang w:val="en-GB" w:eastAsia="en-GB"/>
            </w:rPr>
          </w:pPr>
          <w:hyperlink w:anchor="_Toc149810624" w:history="1">
            <w:r w:rsidR="00A94E1D" w:rsidRPr="00AC5F68">
              <w:rPr>
                <w:rStyle w:val="Hyperlink"/>
                <w:rFonts w:ascii="Arial" w:hAnsi="Arial" w:cs="Arial"/>
                <w:noProof/>
              </w:rPr>
              <w:t>6.4.</w:t>
            </w:r>
            <w:r w:rsidR="00A94E1D">
              <w:rPr>
                <w:rFonts w:eastAsiaTheme="minorEastAsia"/>
                <w:noProof/>
                <w:lang w:val="en-GB" w:eastAsia="en-GB"/>
              </w:rPr>
              <w:tab/>
            </w:r>
            <w:r w:rsidR="00A94E1D" w:rsidRPr="00AC5F68">
              <w:rPr>
                <w:rStyle w:val="Hyperlink"/>
                <w:rFonts w:ascii="Arial" w:hAnsi="Arial" w:cs="Arial"/>
                <w:noProof/>
              </w:rPr>
              <w:t>Индикатори ризика алтернативних стратегија</w:t>
            </w:r>
            <w:r w:rsidR="00A94E1D">
              <w:rPr>
                <w:noProof/>
                <w:webHidden/>
              </w:rPr>
              <w:tab/>
            </w:r>
            <w:r w:rsidR="00A94E1D">
              <w:rPr>
                <w:noProof/>
                <w:webHidden/>
              </w:rPr>
              <w:fldChar w:fldCharType="begin"/>
            </w:r>
            <w:r w:rsidR="00A94E1D">
              <w:rPr>
                <w:noProof/>
                <w:webHidden/>
              </w:rPr>
              <w:instrText xml:space="preserve"> PAGEREF _Toc149810624 \h </w:instrText>
            </w:r>
            <w:r w:rsidR="00A94E1D">
              <w:rPr>
                <w:noProof/>
                <w:webHidden/>
              </w:rPr>
            </w:r>
            <w:r w:rsidR="00A94E1D">
              <w:rPr>
                <w:noProof/>
                <w:webHidden/>
              </w:rPr>
              <w:fldChar w:fldCharType="separate"/>
            </w:r>
            <w:r w:rsidR="00732673">
              <w:rPr>
                <w:noProof/>
                <w:webHidden/>
              </w:rPr>
              <w:t>18</w:t>
            </w:r>
            <w:r w:rsidR="00A94E1D">
              <w:rPr>
                <w:noProof/>
                <w:webHidden/>
              </w:rPr>
              <w:fldChar w:fldCharType="end"/>
            </w:r>
          </w:hyperlink>
        </w:p>
        <w:p w14:paraId="4C734180" w14:textId="1B3BC0D6" w:rsidR="00A94E1D" w:rsidRDefault="006E29FF">
          <w:pPr>
            <w:pStyle w:val="TOC1"/>
            <w:rPr>
              <w:rFonts w:asciiTheme="minorHAnsi" w:eastAsiaTheme="minorEastAsia" w:hAnsiTheme="minorHAnsi" w:cstheme="minorBidi"/>
              <w:sz w:val="22"/>
              <w:szCs w:val="22"/>
              <w:lang w:val="en-GB" w:eastAsia="en-GB"/>
            </w:rPr>
          </w:pPr>
          <w:hyperlink w:anchor="_Toc149810625" w:history="1">
            <w:r w:rsidR="00A94E1D" w:rsidRPr="00AC5F68">
              <w:rPr>
                <w:rStyle w:val="Hyperlink"/>
              </w:rPr>
              <w:t>7.</w:t>
            </w:r>
            <w:r w:rsidR="00A94E1D">
              <w:rPr>
                <w:rFonts w:asciiTheme="minorHAnsi" w:eastAsiaTheme="minorEastAsia" w:hAnsiTheme="minorHAnsi" w:cstheme="minorBidi"/>
                <w:sz w:val="22"/>
                <w:szCs w:val="22"/>
                <w:lang w:val="en-GB" w:eastAsia="en-GB"/>
              </w:rPr>
              <w:tab/>
            </w:r>
            <w:r w:rsidR="00A94E1D" w:rsidRPr="00AC5F68">
              <w:rPr>
                <w:rStyle w:val="Hyperlink"/>
              </w:rPr>
              <w:t>СМЈЕРНИЦЕ ЗА УПРАВЉАЊЕ ДУГОМ</w:t>
            </w:r>
            <w:r w:rsidR="00A94E1D">
              <w:rPr>
                <w:webHidden/>
              </w:rPr>
              <w:tab/>
            </w:r>
            <w:r w:rsidR="00A94E1D">
              <w:rPr>
                <w:webHidden/>
              </w:rPr>
              <w:fldChar w:fldCharType="begin"/>
            </w:r>
            <w:r w:rsidR="00A94E1D">
              <w:rPr>
                <w:webHidden/>
              </w:rPr>
              <w:instrText xml:space="preserve"> PAGEREF _Toc149810625 \h </w:instrText>
            </w:r>
            <w:r w:rsidR="00A94E1D">
              <w:rPr>
                <w:webHidden/>
              </w:rPr>
            </w:r>
            <w:r w:rsidR="00A94E1D">
              <w:rPr>
                <w:webHidden/>
              </w:rPr>
              <w:fldChar w:fldCharType="separate"/>
            </w:r>
            <w:r w:rsidR="00732673">
              <w:rPr>
                <w:webHidden/>
              </w:rPr>
              <w:t>19</w:t>
            </w:r>
            <w:r w:rsidR="00A94E1D">
              <w:rPr>
                <w:webHidden/>
              </w:rPr>
              <w:fldChar w:fldCharType="end"/>
            </w:r>
          </w:hyperlink>
        </w:p>
        <w:p w14:paraId="7CA49ED1" w14:textId="5E4EE65E" w:rsidR="00A94E1D" w:rsidRDefault="006E29FF">
          <w:pPr>
            <w:pStyle w:val="TOC2"/>
            <w:rPr>
              <w:rFonts w:eastAsiaTheme="minorEastAsia"/>
              <w:noProof/>
              <w:lang w:val="en-GB" w:eastAsia="en-GB"/>
            </w:rPr>
          </w:pPr>
          <w:hyperlink w:anchor="_Toc149810626" w:history="1">
            <w:r w:rsidR="00A94E1D" w:rsidRPr="00AC5F68">
              <w:rPr>
                <w:rStyle w:val="Hyperlink"/>
                <w:rFonts w:ascii="Arial" w:hAnsi="Arial" w:cs="Arial"/>
                <w:noProof/>
              </w:rPr>
              <w:t>7.1.</w:t>
            </w:r>
            <w:r w:rsidR="00A94E1D">
              <w:rPr>
                <w:rFonts w:eastAsiaTheme="minorEastAsia"/>
                <w:noProof/>
                <w:lang w:val="en-GB" w:eastAsia="en-GB"/>
              </w:rPr>
              <w:tab/>
            </w:r>
            <w:r w:rsidR="00A94E1D" w:rsidRPr="00AC5F68">
              <w:rPr>
                <w:rStyle w:val="Hyperlink"/>
                <w:rFonts w:ascii="Arial" w:hAnsi="Arial" w:cs="Arial"/>
                <w:noProof/>
              </w:rPr>
              <w:t>Свеукупна структура портфолија дуга</w:t>
            </w:r>
            <w:r w:rsidR="00A94E1D">
              <w:rPr>
                <w:noProof/>
                <w:webHidden/>
              </w:rPr>
              <w:tab/>
            </w:r>
            <w:r w:rsidR="00A94E1D">
              <w:rPr>
                <w:noProof/>
                <w:webHidden/>
              </w:rPr>
              <w:fldChar w:fldCharType="begin"/>
            </w:r>
            <w:r w:rsidR="00A94E1D">
              <w:rPr>
                <w:noProof/>
                <w:webHidden/>
              </w:rPr>
              <w:instrText xml:space="preserve"> PAGEREF _Toc149810626 \h </w:instrText>
            </w:r>
            <w:r w:rsidR="00A94E1D">
              <w:rPr>
                <w:noProof/>
                <w:webHidden/>
              </w:rPr>
            </w:r>
            <w:r w:rsidR="00A94E1D">
              <w:rPr>
                <w:noProof/>
                <w:webHidden/>
              </w:rPr>
              <w:fldChar w:fldCharType="separate"/>
            </w:r>
            <w:r w:rsidR="00732673">
              <w:rPr>
                <w:noProof/>
                <w:webHidden/>
              </w:rPr>
              <w:t>19</w:t>
            </w:r>
            <w:r w:rsidR="00A94E1D">
              <w:rPr>
                <w:noProof/>
                <w:webHidden/>
              </w:rPr>
              <w:fldChar w:fldCharType="end"/>
            </w:r>
          </w:hyperlink>
        </w:p>
        <w:p w14:paraId="526DB787" w14:textId="5BCE26B5" w:rsidR="00A94E1D" w:rsidRDefault="006E29FF">
          <w:pPr>
            <w:pStyle w:val="TOC2"/>
            <w:rPr>
              <w:rFonts w:eastAsiaTheme="minorEastAsia"/>
              <w:noProof/>
              <w:lang w:val="en-GB" w:eastAsia="en-GB"/>
            </w:rPr>
          </w:pPr>
          <w:hyperlink w:anchor="_Toc149810627" w:history="1">
            <w:r w:rsidR="00A94E1D" w:rsidRPr="00AC5F68">
              <w:rPr>
                <w:rStyle w:val="Hyperlink"/>
                <w:rFonts w:ascii="Arial" w:hAnsi="Arial" w:cs="Arial"/>
                <w:noProof/>
              </w:rPr>
              <w:t>7.2.</w:t>
            </w:r>
            <w:r w:rsidR="00A94E1D">
              <w:rPr>
                <w:rFonts w:eastAsiaTheme="minorEastAsia"/>
                <w:noProof/>
                <w:lang w:val="en-GB" w:eastAsia="en-GB"/>
              </w:rPr>
              <w:tab/>
            </w:r>
            <w:r w:rsidR="00A94E1D" w:rsidRPr="00AC5F68">
              <w:rPr>
                <w:rStyle w:val="Hyperlink"/>
                <w:rFonts w:ascii="Arial" w:hAnsi="Arial" w:cs="Arial"/>
                <w:noProof/>
              </w:rPr>
              <w:t>Смјернице за задуживање</w:t>
            </w:r>
            <w:r w:rsidR="00A94E1D">
              <w:rPr>
                <w:noProof/>
                <w:webHidden/>
              </w:rPr>
              <w:tab/>
            </w:r>
            <w:r w:rsidR="00A94E1D">
              <w:rPr>
                <w:noProof/>
                <w:webHidden/>
              </w:rPr>
              <w:fldChar w:fldCharType="begin"/>
            </w:r>
            <w:r w:rsidR="00A94E1D">
              <w:rPr>
                <w:noProof/>
                <w:webHidden/>
              </w:rPr>
              <w:instrText xml:space="preserve"> PAGEREF _Toc149810627 \h </w:instrText>
            </w:r>
            <w:r w:rsidR="00A94E1D">
              <w:rPr>
                <w:noProof/>
                <w:webHidden/>
              </w:rPr>
            </w:r>
            <w:r w:rsidR="00A94E1D">
              <w:rPr>
                <w:noProof/>
                <w:webHidden/>
              </w:rPr>
              <w:fldChar w:fldCharType="separate"/>
            </w:r>
            <w:r w:rsidR="00732673">
              <w:rPr>
                <w:noProof/>
                <w:webHidden/>
              </w:rPr>
              <w:t>19</w:t>
            </w:r>
            <w:r w:rsidR="00A94E1D">
              <w:rPr>
                <w:noProof/>
                <w:webHidden/>
              </w:rPr>
              <w:fldChar w:fldCharType="end"/>
            </w:r>
          </w:hyperlink>
        </w:p>
        <w:p w14:paraId="56269CC5" w14:textId="0988B862" w:rsidR="00A94E1D" w:rsidRDefault="006E29FF">
          <w:pPr>
            <w:pStyle w:val="TOC2"/>
            <w:rPr>
              <w:rFonts w:eastAsiaTheme="minorEastAsia"/>
              <w:noProof/>
              <w:lang w:val="en-GB" w:eastAsia="en-GB"/>
            </w:rPr>
          </w:pPr>
          <w:hyperlink w:anchor="_Toc149810628" w:history="1">
            <w:r w:rsidR="00A94E1D" w:rsidRPr="00AC5F68">
              <w:rPr>
                <w:rStyle w:val="Hyperlink"/>
                <w:rFonts w:ascii="Arial" w:hAnsi="Arial" w:cs="Arial"/>
                <w:noProof/>
              </w:rPr>
              <w:t>7.3.</w:t>
            </w:r>
            <w:r w:rsidR="00A94E1D">
              <w:rPr>
                <w:rFonts w:eastAsiaTheme="minorEastAsia"/>
                <w:noProof/>
                <w:lang w:val="en-GB" w:eastAsia="en-GB"/>
              </w:rPr>
              <w:tab/>
            </w:r>
            <w:r w:rsidR="00A94E1D" w:rsidRPr="00AC5F68">
              <w:rPr>
                <w:rStyle w:val="Hyperlink"/>
                <w:rFonts w:ascii="Arial" w:hAnsi="Arial" w:cs="Arial"/>
                <w:noProof/>
              </w:rPr>
              <w:t>Квантитативни циљеви</w:t>
            </w:r>
            <w:r w:rsidR="00A94E1D">
              <w:rPr>
                <w:noProof/>
                <w:webHidden/>
              </w:rPr>
              <w:tab/>
            </w:r>
            <w:r w:rsidR="00A94E1D">
              <w:rPr>
                <w:noProof/>
                <w:webHidden/>
              </w:rPr>
              <w:fldChar w:fldCharType="begin"/>
            </w:r>
            <w:r w:rsidR="00A94E1D">
              <w:rPr>
                <w:noProof/>
                <w:webHidden/>
              </w:rPr>
              <w:instrText xml:space="preserve"> PAGEREF _Toc149810628 \h </w:instrText>
            </w:r>
            <w:r w:rsidR="00A94E1D">
              <w:rPr>
                <w:noProof/>
                <w:webHidden/>
              </w:rPr>
            </w:r>
            <w:r w:rsidR="00A94E1D">
              <w:rPr>
                <w:noProof/>
                <w:webHidden/>
              </w:rPr>
              <w:fldChar w:fldCharType="separate"/>
            </w:r>
            <w:r w:rsidR="00732673">
              <w:rPr>
                <w:noProof/>
                <w:webHidden/>
              </w:rPr>
              <w:t>19</w:t>
            </w:r>
            <w:r w:rsidR="00A94E1D">
              <w:rPr>
                <w:noProof/>
                <w:webHidden/>
              </w:rPr>
              <w:fldChar w:fldCharType="end"/>
            </w:r>
          </w:hyperlink>
        </w:p>
        <w:p w14:paraId="21B1E41F" w14:textId="22590C88" w:rsidR="007B6BE3" w:rsidRPr="0087376B" w:rsidRDefault="007B6BE3" w:rsidP="007B6BE3">
          <w:r w:rsidRPr="0087376B">
            <w:rPr>
              <w:rFonts w:ascii="Arial" w:hAnsi="Arial" w:cs="Arial"/>
              <w:sz w:val="20"/>
              <w:szCs w:val="20"/>
            </w:rPr>
            <w:fldChar w:fldCharType="end"/>
          </w:r>
        </w:p>
      </w:sdtContent>
    </w:sdt>
    <w:p w14:paraId="40894AA2" w14:textId="77777777" w:rsidR="007B6BE3" w:rsidRPr="0087376B" w:rsidRDefault="007B6BE3" w:rsidP="007B6BE3">
      <w:pPr>
        <w:spacing w:line="240" w:lineRule="auto"/>
        <w:ind w:left="-426"/>
        <w:jc w:val="center"/>
        <w:rPr>
          <w:rFonts w:ascii="Arial" w:hAnsi="Arial" w:cs="Arial"/>
          <w:sz w:val="24"/>
          <w:szCs w:val="24"/>
        </w:rPr>
      </w:pPr>
      <w:r w:rsidRPr="0087376B">
        <w:rPr>
          <w:rFonts w:ascii="Arial" w:hAnsi="Arial" w:cs="Arial"/>
          <w:sz w:val="24"/>
          <w:szCs w:val="24"/>
        </w:rPr>
        <w:br w:type="page"/>
      </w:r>
    </w:p>
    <w:p w14:paraId="6E010CBA" w14:textId="77777777" w:rsidR="007B6BE3" w:rsidRPr="0087376B" w:rsidRDefault="005B20F8" w:rsidP="007B6BE3">
      <w:pPr>
        <w:spacing w:line="240" w:lineRule="auto"/>
        <w:ind w:left="-426"/>
        <w:jc w:val="center"/>
        <w:rPr>
          <w:rFonts w:ascii="Arial" w:hAnsi="Arial" w:cs="Arial"/>
          <w:sz w:val="24"/>
          <w:szCs w:val="24"/>
        </w:rPr>
      </w:pPr>
      <w:r>
        <w:rPr>
          <w:rFonts w:ascii="Arial" w:hAnsi="Arial" w:cs="Arial"/>
          <w:sz w:val="24"/>
          <w:szCs w:val="24"/>
        </w:rPr>
        <w:lastRenderedPageBreak/>
        <w:t>СКРАЋЕНИЦЕ</w:t>
      </w:r>
    </w:p>
    <w:p w14:paraId="395240A5" w14:textId="77777777" w:rsidR="007B6BE3" w:rsidRPr="0087376B" w:rsidRDefault="007B6BE3" w:rsidP="007B6BE3">
      <w:pPr>
        <w:spacing w:line="240" w:lineRule="auto"/>
        <w:ind w:left="-426"/>
        <w:jc w:val="center"/>
        <w:rPr>
          <w:rFonts w:ascii="Arial" w:hAnsi="Arial" w:cs="Arial"/>
          <w:sz w:val="24"/>
          <w:szCs w:val="24"/>
        </w:rPr>
      </w:pPr>
    </w:p>
    <w:tbl>
      <w:tblPr>
        <w:tblW w:w="10207" w:type="dxa"/>
        <w:tblInd w:w="-426" w:type="dxa"/>
        <w:tblLook w:val="04A0" w:firstRow="1" w:lastRow="0" w:firstColumn="1" w:lastColumn="0" w:noHBand="0" w:noVBand="1"/>
      </w:tblPr>
      <w:tblGrid>
        <w:gridCol w:w="883"/>
        <w:gridCol w:w="290"/>
        <w:gridCol w:w="9034"/>
      </w:tblGrid>
      <w:tr w:rsidR="007B6BE3" w:rsidRPr="0087376B" w14:paraId="1D1A7455" w14:textId="77777777" w:rsidTr="007B6BE3">
        <w:trPr>
          <w:trHeight w:val="567"/>
        </w:trPr>
        <w:tc>
          <w:tcPr>
            <w:tcW w:w="883" w:type="dxa"/>
            <w:shd w:val="clear" w:color="auto" w:fill="auto"/>
            <w:noWrap/>
            <w:hideMark/>
          </w:tcPr>
          <w:p w14:paraId="2386C433" w14:textId="77777777" w:rsidR="007B6BE3" w:rsidRPr="0087376B" w:rsidRDefault="005B20F8" w:rsidP="007B6BE3">
            <w:pPr>
              <w:spacing w:after="0" w:line="240" w:lineRule="auto"/>
              <w:rPr>
                <w:rFonts w:ascii="Arial" w:eastAsia="Times New Roman" w:hAnsi="Arial" w:cs="Arial"/>
                <w:szCs w:val="24"/>
                <w:lang w:eastAsia="bs-Latn-BA"/>
              </w:rPr>
            </w:pPr>
            <w:r>
              <w:rPr>
                <w:rFonts w:ascii="Arial" w:eastAsia="Times New Roman" w:hAnsi="Arial" w:cs="Arial"/>
                <w:szCs w:val="24"/>
                <w:lang w:eastAsia="bs-Latn-BA"/>
              </w:rPr>
              <w:t>АТМ</w:t>
            </w:r>
          </w:p>
        </w:tc>
        <w:tc>
          <w:tcPr>
            <w:tcW w:w="290" w:type="dxa"/>
            <w:shd w:val="clear" w:color="auto" w:fill="auto"/>
            <w:noWrap/>
            <w:hideMark/>
          </w:tcPr>
          <w:p w14:paraId="04218C3B" w14:textId="77777777" w:rsidR="007B6BE3" w:rsidRPr="0087376B" w:rsidRDefault="007B6BE3" w:rsidP="007B6BE3">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160D73A6" w14:textId="77777777" w:rsidR="007B6BE3" w:rsidRPr="00625E9C" w:rsidRDefault="005B20F8" w:rsidP="007B6BE3">
            <w:pPr>
              <w:spacing w:after="0" w:line="240" w:lineRule="auto"/>
              <w:rPr>
                <w:rFonts w:ascii="Arial" w:eastAsia="Times New Roman" w:hAnsi="Arial" w:cs="Arial"/>
                <w:szCs w:val="24"/>
                <w:lang w:eastAsia="bs-Latn-BA"/>
              </w:rPr>
            </w:pPr>
            <w:r w:rsidRPr="00625E9C">
              <w:rPr>
                <w:rFonts w:ascii="Arial" w:eastAsia="Times New Roman" w:hAnsi="Arial" w:cs="Arial"/>
                <w:szCs w:val="24"/>
                <w:lang w:eastAsia="bs-Latn-BA"/>
              </w:rPr>
              <w:t>Просјечно</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вријеме</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доспијећа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Average Time to Maturity</w:t>
            </w:r>
            <w:r w:rsidR="007B6BE3" w:rsidRPr="00625E9C">
              <w:rPr>
                <w:rFonts w:ascii="Arial" w:eastAsia="Times New Roman" w:hAnsi="Arial" w:cs="Arial"/>
                <w:szCs w:val="24"/>
                <w:lang w:eastAsia="bs-Latn-BA"/>
              </w:rPr>
              <w:t>)</w:t>
            </w:r>
          </w:p>
        </w:tc>
      </w:tr>
      <w:tr w:rsidR="007B6BE3" w:rsidRPr="0087376B" w14:paraId="4E9DC4CE" w14:textId="77777777" w:rsidTr="007B6BE3">
        <w:trPr>
          <w:trHeight w:val="567"/>
        </w:trPr>
        <w:tc>
          <w:tcPr>
            <w:tcW w:w="883" w:type="dxa"/>
            <w:shd w:val="clear" w:color="auto" w:fill="auto"/>
            <w:noWrap/>
            <w:hideMark/>
          </w:tcPr>
          <w:p w14:paraId="1AEDB03B" w14:textId="77777777" w:rsidR="007B6BE3" w:rsidRPr="0087376B" w:rsidRDefault="005B20F8" w:rsidP="005B20F8">
            <w:pPr>
              <w:spacing w:after="0" w:line="240" w:lineRule="auto"/>
              <w:rPr>
                <w:rFonts w:ascii="Arial" w:eastAsia="Times New Roman" w:hAnsi="Arial" w:cs="Arial"/>
                <w:szCs w:val="24"/>
                <w:lang w:eastAsia="bs-Latn-BA"/>
              </w:rPr>
            </w:pPr>
            <w:r>
              <w:rPr>
                <w:rFonts w:ascii="Arial" w:eastAsia="Times New Roman" w:hAnsi="Arial" w:cs="Arial"/>
                <w:szCs w:val="24"/>
                <w:lang w:eastAsia="bs-Latn-BA"/>
              </w:rPr>
              <w:t>АТR</w:t>
            </w:r>
          </w:p>
        </w:tc>
        <w:tc>
          <w:tcPr>
            <w:tcW w:w="290" w:type="dxa"/>
            <w:shd w:val="clear" w:color="auto" w:fill="auto"/>
            <w:noWrap/>
            <w:hideMark/>
          </w:tcPr>
          <w:p w14:paraId="2B8E889F" w14:textId="77777777" w:rsidR="007B6BE3" w:rsidRPr="0087376B" w:rsidRDefault="007B6BE3" w:rsidP="007B6BE3">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161C16A7" w14:textId="77777777" w:rsidR="007B6BE3" w:rsidRPr="00625E9C" w:rsidRDefault="005B20F8" w:rsidP="007B6BE3">
            <w:pPr>
              <w:spacing w:after="0" w:line="240" w:lineRule="auto"/>
              <w:rPr>
                <w:rFonts w:ascii="Arial" w:eastAsia="Times New Roman" w:hAnsi="Arial" w:cs="Arial"/>
                <w:szCs w:val="24"/>
                <w:lang w:eastAsia="bs-Latn-BA"/>
              </w:rPr>
            </w:pPr>
            <w:r w:rsidRPr="00625E9C">
              <w:rPr>
                <w:rFonts w:ascii="Arial" w:eastAsia="Times New Roman" w:hAnsi="Arial" w:cs="Arial"/>
                <w:szCs w:val="24"/>
                <w:lang w:eastAsia="bs-Latn-BA"/>
              </w:rPr>
              <w:t>Просјечно</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вријеме</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рефиксирања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Average Time to Refixing</w:t>
            </w:r>
            <w:r w:rsidR="007B6BE3" w:rsidRPr="00625E9C">
              <w:rPr>
                <w:rFonts w:ascii="Arial" w:eastAsia="Times New Roman" w:hAnsi="Arial" w:cs="Arial"/>
                <w:szCs w:val="24"/>
                <w:lang w:eastAsia="bs-Latn-BA"/>
              </w:rPr>
              <w:t>)</w:t>
            </w:r>
          </w:p>
        </w:tc>
      </w:tr>
      <w:tr w:rsidR="007B6BE3" w:rsidRPr="0087376B" w14:paraId="337CB544" w14:textId="77777777" w:rsidTr="007B6BE3">
        <w:trPr>
          <w:trHeight w:val="567"/>
        </w:trPr>
        <w:tc>
          <w:tcPr>
            <w:tcW w:w="883" w:type="dxa"/>
            <w:shd w:val="clear" w:color="auto" w:fill="auto"/>
            <w:noWrap/>
            <w:hideMark/>
          </w:tcPr>
          <w:p w14:paraId="1593FF43" w14:textId="77777777" w:rsidR="007B6BE3" w:rsidRPr="0087376B" w:rsidRDefault="005B20F8" w:rsidP="007B6BE3">
            <w:pPr>
              <w:spacing w:after="0" w:line="240" w:lineRule="auto"/>
              <w:rPr>
                <w:rFonts w:ascii="Arial" w:eastAsia="Times New Roman" w:hAnsi="Arial" w:cs="Arial"/>
                <w:szCs w:val="24"/>
                <w:lang w:eastAsia="bs-Latn-BA"/>
              </w:rPr>
            </w:pPr>
            <w:r>
              <w:rPr>
                <w:rFonts w:ascii="Arial" w:eastAsia="Times New Roman" w:hAnsi="Arial" w:cs="Arial"/>
                <w:szCs w:val="24"/>
                <w:lang w:eastAsia="bs-Latn-BA"/>
              </w:rPr>
              <w:t>БДП</w:t>
            </w:r>
          </w:p>
        </w:tc>
        <w:tc>
          <w:tcPr>
            <w:tcW w:w="290" w:type="dxa"/>
            <w:shd w:val="clear" w:color="auto" w:fill="auto"/>
            <w:noWrap/>
            <w:hideMark/>
          </w:tcPr>
          <w:p w14:paraId="69B45A72" w14:textId="77777777" w:rsidR="007B6BE3" w:rsidRPr="0087376B" w:rsidRDefault="007B6BE3" w:rsidP="007B6BE3">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46FEAE97" w14:textId="77777777" w:rsidR="007B6BE3" w:rsidRPr="00625E9C" w:rsidRDefault="005B20F8" w:rsidP="007B6BE3">
            <w:pPr>
              <w:spacing w:after="0" w:line="240" w:lineRule="auto"/>
              <w:rPr>
                <w:rFonts w:ascii="Arial" w:eastAsia="Times New Roman" w:hAnsi="Arial" w:cs="Arial"/>
                <w:szCs w:val="24"/>
                <w:lang w:eastAsia="bs-Latn-BA"/>
              </w:rPr>
            </w:pPr>
            <w:r w:rsidRPr="00625E9C">
              <w:rPr>
                <w:rFonts w:ascii="Arial" w:eastAsia="Times New Roman" w:hAnsi="Arial" w:cs="Arial"/>
                <w:szCs w:val="24"/>
                <w:lang w:eastAsia="bs-Latn-BA"/>
              </w:rPr>
              <w:t>Бруто</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домаћи</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производ</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Gross Domestic Product</w:t>
            </w:r>
            <w:r w:rsidR="007B6BE3" w:rsidRPr="00625E9C">
              <w:rPr>
                <w:rFonts w:ascii="Arial" w:eastAsia="Times New Roman" w:hAnsi="Arial" w:cs="Arial"/>
                <w:szCs w:val="24"/>
                <w:lang w:eastAsia="bs-Latn-BA"/>
              </w:rPr>
              <w:t>)</w:t>
            </w:r>
          </w:p>
        </w:tc>
      </w:tr>
      <w:tr w:rsidR="007B6BE3" w:rsidRPr="0087376B" w14:paraId="07CB7F88" w14:textId="77777777" w:rsidTr="007B6BE3">
        <w:trPr>
          <w:trHeight w:val="567"/>
        </w:trPr>
        <w:tc>
          <w:tcPr>
            <w:tcW w:w="883" w:type="dxa"/>
            <w:shd w:val="clear" w:color="auto" w:fill="auto"/>
            <w:noWrap/>
            <w:hideMark/>
          </w:tcPr>
          <w:p w14:paraId="5242C672" w14:textId="77777777" w:rsidR="007B6BE3" w:rsidRPr="0087376B" w:rsidRDefault="005B20F8" w:rsidP="007B6BE3">
            <w:pPr>
              <w:spacing w:after="0" w:line="240" w:lineRule="auto"/>
              <w:rPr>
                <w:rFonts w:ascii="Arial" w:eastAsia="Times New Roman" w:hAnsi="Arial" w:cs="Arial"/>
                <w:szCs w:val="24"/>
                <w:lang w:eastAsia="bs-Latn-BA"/>
              </w:rPr>
            </w:pPr>
            <w:r>
              <w:rPr>
                <w:rFonts w:ascii="Arial" w:eastAsia="Times New Roman" w:hAnsi="Arial" w:cs="Arial"/>
                <w:szCs w:val="24"/>
                <w:lang w:eastAsia="bs-Latn-BA"/>
              </w:rPr>
              <w:t>ДОБ</w:t>
            </w:r>
          </w:p>
        </w:tc>
        <w:tc>
          <w:tcPr>
            <w:tcW w:w="290" w:type="dxa"/>
            <w:shd w:val="clear" w:color="auto" w:fill="auto"/>
            <w:noWrap/>
            <w:hideMark/>
          </w:tcPr>
          <w:p w14:paraId="66C3EDF6" w14:textId="77777777" w:rsidR="007B6BE3" w:rsidRPr="0087376B" w:rsidRDefault="007B6BE3" w:rsidP="007B6BE3">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058CDB73" w14:textId="77777777" w:rsidR="007B6BE3" w:rsidRPr="00625E9C" w:rsidRDefault="005B20F8" w:rsidP="007B6BE3">
            <w:pPr>
              <w:spacing w:after="0" w:line="240" w:lineRule="auto"/>
              <w:rPr>
                <w:rFonts w:ascii="Arial" w:eastAsia="Times New Roman" w:hAnsi="Arial" w:cs="Arial"/>
                <w:szCs w:val="24"/>
                <w:lang w:eastAsia="bs-Latn-BA"/>
              </w:rPr>
            </w:pPr>
            <w:r w:rsidRPr="00625E9C">
              <w:rPr>
                <w:rFonts w:ascii="Arial" w:eastAsia="Times New Roman" w:hAnsi="Arial" w:cs="Arial"/>
                <w:szCs w:val="24"/>
                <w:lang w:eastAsia="bs-Latn-BA"/>
              </w:rPr>
              <w:t>Документ</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оквирног</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буџета</w:t>
            </w:r>
          </w:p>
        </w:tc>
      </w:tr>
      <w:tr w:rsidR="007B6BE3" w:rsidRPr="0087376B" w14:paraId="4E90D61D" w14:textId="77777777" w:rsidTr="007B6BE3">
        <w:trPr>
          <w:trHeight w:val="567"/>
        </w:trPr>
        <w:tc>
          <w:tcPr>
            <w:tcW w:w="883" w:type="dxa"/>
            <w:shd w:val="clear" w:color="auto" w:fill="auto"/>
            <w:noWrap/>
            <w:hideMark/>
          </w:tcPr>
          <w:p w14:paraId="24E83317" w14:textId="77777777" w:rsidR="007B6BE3" w:rsidRPr="0087376B" w:rsidRDefault="005B20F8" w:rsidP="0012317B">
            <w:pPr>
              <w:spacing w:after="0" w:line="240" w:lineRule="auto"/>
              <w:rPr>
                <w:rFonts w:ascii="Arial" w:eastAsia="Times New Roman" w:hAnsi="Arial" w:cs="Arial"/>
                <w:szCs w:val="24"/>
                <w:lang w:eastAsia="bs-Latn-BA"/>
              </w:rPr>
            </w:pPr>
            <w:r>
              <w:rPr>
                <w:rFonts w:ascii="Arial" w:eastAsia="Times New Roman" w:hAnsi="Arial" w:cs="Arial"/>
                <w:szCs w:val="24"/>
                <w:lang w:eastAsia="bs-Latn-BA"/>
              </w:rPr>
              <w:t>Е</w:t>
            </w:r>
            <w:r w:rsidR="0012317B">
              <w:rPr>
                <w:rFonts w:ascii="Arial" w:eastAsia="Times New Roman" w:hAnsi="Arial" w:cs="Arial"/>
                <w:szCs w:val="24"/>
                <w:lang w:eastAsia="bs-Latn-BA"/>
              </w:rPr>
              <w:t>BRD</w:t>
            </w:r>
          </w:p>
        </w:tc>
        <w:tc>
          <w:tcPr>
            <w:tcW w:w="290" w:type="dxa"/>
            <w:shd w:val="clear" w:color="auto" w:fill="auto"/>
            <w:noWrap/>
            <w:hideMark/>
          </w:tcPr>
          <w:p w14:paraId="7AFCB30C" w14:textId="77777777" w:rsidR="007B6BE3" w:rsidRPr="0087376B" w:rsidRDefault="007B6BE3" w:rsidP="007B6BE3">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hideMark/>
          </w:tcPr>
          <w:p w14:paraId="4B6DCE51" w14:textId="77777777" w:rsidR="007B6BE3" w:rsidRPr="00625E9C" w:rsidRDefault="005B20F8" w:rsidP="007B6BE3">
            <w:pPr>
              <w:spacing w:after="0" w:line="240" w:lineRule="auto"/>
              <w:rPr>
                <w:rFonts w:ascii="Arial" w:eastAsia="Times New Roman" w:hAnsi="Arial" w:cs="Arial"/>
                <w:szCs w:val="24"/>
                <w:lang w:eastAsia="bs-Latn-BA"/>
              </w:rPr>
            </w:pPr>
            <w:r w:rsidRPr="00625E9C">
              <w:rPr>
                <w:rFonts w:ascii="Arial" w:eastAsia="Times New Roman" w:hAnsi="Arial" w:cs="Arial"/>
                <w:szCs w:val="24"/>
                <w:lang w:eastAsia="bs-Latn-BA"/>
              </w:rPr>
              <w:t>Европска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банка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за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обнову</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и</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развој</w:t>
            </w:r>
            <w:r w:rsidR="007B6BE3" w:rsidRPr="00625E9C">
              <w:rPr>
                <w:rFonts w:ascii="Arial" w:eastAsia="Times New Roman" w:hAnsi="Arial" w:cs="Arial"/>
                <w:szCs w:val="24"/>
                <w:lang w:eastAsia="bs-Latn-BA"/>
              </w:rPr>
              <w:t xml:space="preserve"> (</w:t>
            </w:r>
            <w:r w:rsidR="0012317B" w:rsidRPr="00625E9C">
              <w:rPr>
                <w:rFonts w:ascii="Arial" w:eastAsia="Times New Roman" w:hAnsi="Arial" w:cs="Arial"/>
                <w:szCs w:val="24"/>
                <w:lang w:eastAsia="bs-Latn-BA"/>
              </w:rPr>
              <w:t>European Bank for Reconstruction and Development</w:t>
            </w:r>
            <w:r w:rsidR="007B6BE3" w:rsidRPr="00625E9C">
              <w:rPr>
                <w:rFonts w:ascii="Arial" w:eastAsia="Times New Roman" w:hAnsi="Arial" w:cs="Arial"/>
                <w:szCs w:val="24"/>
                <w:lang w:eastAsia="bs-Latn-BA"/>
              </w:rPr>
              <w:t>)</w:t>
            </w:r>
          </w:p>
        </w:tc>
      </w:tr>
      <w:tr w:rsidR="007B6BE3" w:rsidRPr="0087376B" w14:paraId="6FF11D3C" w14:textId="77777777" w:rsidTr="007B6BE3">
        <w:trPr>
          <w:trHeight w:val="567"/>
        </w:trPr>
        <w:tc>
          <w:tcPr>
            <w:tcW w:w="883" w:type="dxa"/>
            <w:shd w:val="clear" w:color="auto" w:fill="auto"/>
            <w:noWrap/>
            <w:hideMark/>
          </w:tcPr>
          <w:p w14:paraId="2572E476" w14:textId="77777777" w:rsidR="007B6BE3" w:rsidRPr="0087376B" w:rsidRDefault="005B20F8" w:rsidP="0012317B">
            <w:pPr>
              <w:spacing w:after="0" w:line="240" w:lineRule="auto"/>
              <w:rPr>
                <w:rFonts w:ascii="Arial" w:eastAsia="Times New Roman" w:hAnsi="Arial" w:cs="Arial"/>
                <w:szCs w:val="24"/>
                <w:lang w:eastAsia="bs-Latn-BA"/>
              </w:rPr>
            </w:pPr>
            <w:r>
              <w:rPr>
                <w:rFonts w:ascii="Arial" w:eastAsia="Times New Roman" w:hAnsi="Arial" w:cs="Arial"/>
                <w:szCs w:val="24"/>
                <w:lang w:eastAsia="bs-Latn-BA"/>
              </w:rPr>
              <w:t>Е</w:t>
            </w:r>
            <w:r w:rsidR="0012317B">
              <w:rPr>
                <w:rFonts w:ascii="Arial" w:eastAsia="Times New Roman" w:hAnsi="Arial" w:cs="Arial"/>
                <w:szCs w:val="24"/>
                <w:lang w:eastAsia="bs-Latn-BA"/>
              </w:rPr>
              <w:t>IB</w:t>
            </w:r>
          </w:p>
        </w:tc>
        <w:tc>
          <w:tcPr>
            <w:tcW w:w="290" w:type="dxa"/>
            <w:shd w:val="clear" w:color="auto" w:fill="auto"/>
            <w:noWrap/>
            <w:hideMark/>
          </w:tcPr>
          <w:p w14:paraId="43B3591C" w14:textId="77777777" w:rsidR="007B6BE3" w:rsidRPr="0087376B" w:rsidRDefault="007B6BE3" w:rsidP="007B6BE3">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526E63A2" w14:textId="77777777" w:rsidR="007B6BE3" w:rsidRPr="00625E9C" w:rsidRDefault="005B20F8" w:rsidP="007B6BE3">
            <w:pPr>
              <w:spacing w:after="0" w:line="240" w:lineRule="auto"/>
              <w:rPr>
                <w:rFonts w:ascii="Arial" w:eastAsia="Times New Roman" w:hAnsi="Arial" w:cs="Arial"/>
                <w:szCs w:val="24"/>
                <w:lang w:eastAsia="bs-Latn-BA"/>
              </w:rPr>
            </w:pPr>
            <w:r w:rsidRPr="00625E9C">
              <w:rPr>
                <w:rFonts w:ascii="Arial" w:eastAsia="Times New Roman" w:hAnsi="Arial" w:cs="Arial"/>
                <w:szCs w:val="24"/>
                <w:lang w:eastAsia="bs-Latn-BA"/>
              </w:rPr>
              <w:t>Европска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инвестицијска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банка</w:t>
            </w:r>
            <w:r w:rsidR="007B6BE3" w:rsidRPr="00625E9C">
              <w:rPr>
                <w:rFonts w:ascii="Arial" w:eastAsia="Times New Roman" w:hAnsi="Arial" w:cs="Arial"/>
                <w:szCs w:val="24"/>
                <w:lang w:eastAsia="bs-Latn-BA"/>
              </w:rPr>
              <w:t xml:space="preserve"> (</w:t>
            </w:r>
            <w:r w:rsidR="003670AF" w:rsidRPr="00625E9C">
              <w:rPr>
                <w:rFonts w:ascii="Arial" w:eastAsia="Times New Roman" w:hAnsi="Arial" w:cs="Arial"/>
                <w:szCs w:val="24"/>
                <w:lang w:eastAsia="bs-Latn-BA"/>
              </w:rPr>
              <w:t>European Investment Bank</w:t>
            </w:r>
            <w:r w:rsidR="007B6BE3" w:rsidRPr="00625E9C">
              <w:rPr>
                <w:rFonts w:ascii="Arial" w:eastAsia="Times New Roman" w:hAnsi="Arial" w:cs="Arial"/>
                <w:szCs w:val="24"/>
                <w:lang w:eastAsia="bs-Latn-BA"/>
              </w:rPr>
              <w:t>)</w:t>
            </w:r>
          </w:p>
        </w:tc>
      </w:tr>
      <w:tr w:rsidR="007B6BE3" w:rsidRPr="0087376B" w14:paraId="55CF1E82" w14:textId="77777777" w:rsidTr="007B6BE3">
        <w:trPr>
          <w:trHeight w:val="567"/>
        </w:trPr>
        <w:tc>
          <w:tcPr>
            <w:tcW w:w="883" w:type="dxa"/>
            <w:shd w:val="clear" w:color="auto" w:fill="auto"/>
            <w:noWrap/>
            <w:hideMark/>
          </w:tcPr>
          <w:p w14:paraId="0FFB6968" w14:textId="77777777" w:rsidR="007B6BE3" w:rsidRPr="0087376B" w:rsidRDefault="00625E9C" w:rsidP="007B6BE3">
            <w:pPr>
              <w:spacing w:after="0" w:line="240" w:lineRule="auto"/>
              <w:rPr>
                <w:rFonts w:ascii="Arial" w:eastAsia="Times New Roman" w:hAnsi="Arial" w:cs="Arial"/>
                <w:szCs w:val="24"/>
                <w:lang w:eastAsia="bs-Latn-BA"/>
              </w:rPr>
            </w:pPr>
            <w:r>
              <w:rPr>
                <w:rFonts w:ascii="Arial" w:eastAsia="Times New Roman" w:hAnsi="Arial" w:cs="Arial"/>
                <w:szCs w:val="24"/>
                <w:lang w:eastAsia="bs-Latn-BA"/>
              </w:rPr>
              <w:t>IBRD</w:t>
            </w:r>
          </w:p>
        </w:tc>
        <w:tc>
          <w:tcPr>
            <w:tcW w:w="290" w:type="dxa"/>
            <w:shd w:val="clear" w:color="auto" w:fill="auto"/>
            <w:noWrap/>
            <w:hideMark/>
          </w:tcPr>
          <w:p w14:paraId="3B076FC2" w14:textId="77777777" w:rsidR="007B6BE3" w:rsidRPr="0087376B" w:rsidRDefault="007B6BE3" w:rsidP="007B6BE3">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hideMark/>
          </w:tcPr>
          <w:p w14:paraId="27572910" w14:textId="77777777" w:rsidR="007B6BE3" w:rsidRPr="00625E9C" w:rsidRDefault="005B20F8" w:rsidP="007B6BE3">
            <w:pPr>
              <w:spacing w:after="0" w:line="240" w:lineRule="auto"/>
              <w:rPr>
                <w:rFonts w:ascii="Arial" w:eastAsia="Times New Roman" w:hAnsi="Arial" w:cs="Arial"/>
                <w:szCs w:val="24"/>
                <w:lang w:eastAsia="bs-Latn-BA"/>
              </w:rPr>
            </w:pPr>
            <w:r w:rsidRPr="00625E9C">
              <w:rPr>
                <w:rFonts w:ascii="Arial" w:eastAsia="Times New Roman" w:hAnsi="Arial" w:cs="Arial"/>
                <w:szCs w:val="24"/>
                <w:lang w:eastAsia="bs-Latn-BA"/>
              </w:rPr>
              <w:t>Међународна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банка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за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обнову</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и</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развој</w:t>
            </w:r>
            <w:r w:rsidR="007B6BE3" w:rsidRPr="00625E9C">
              <w:rPr>
                <w:rFonts w:ascii="Arial" w:eastAsia="Times New Roman" w:hAnsi="Arial" w:cs="Arial"/>
                <w:szCs w:val="24"/>
                <w:lang w:eastAsia="bs-Latn-BA"/>
              </w:rPr>
              <w:t xml:space="preserve"> (</w:t>
            </w:r>
            <w:r w:rsidR="00625E9C" w:rsidRPr="00625E9C">
              <w:rPr>
                <w:rFonts w:ascii="Arial" w:eastAsia="Times New Roman" w:hAnsi="Arial" w:cs="Arial"/>
                <w:szCs w:val="24"/>
                <w:lang w:eastAsia="bs-Latn-BA"/>
              </w:rPr>
              <w:t>International Bank For Recontruction and Development</w:t>
            </w:r>
            <w:r w:rsidR="007B6BE3" w:rsidRPr="00625E9C">
              <w:rPr>
                <w:rFonts w:ascii="Arial" w:eastAsia="Times New Roman" w:hAnsi="Arial" w:cs="Arial"/>
                <w:szCs w:val="24"/>
                <w:lang w:eastAsia="bs-Latn-BA"/>
              </w:rPr>
              <w:t>)</w:t>
            </w:r>
          </w:p>
        </w:tc>
      </w:tr>
      <w:tr w:rsidR="007B6BE3" w:rsidRPr="0087376B" w14:paraId="770B6FED" w14:textId="77777777" w:rsidTr="007B6BE3">
        <w:trPr>
          <w:trHeight w:val="567"/>
        </w:trPr>
        <w:tc>
          <w:tcPr>
            <w:tcW w:w="883" w:type="dxa"/>
            <w:shd w:val="clear" w:color="auto" w:fill="auto"/>
            <w:noWrap/>
            <w:hideMark/>
          </w:tcPr>
          <w:p w14:paraId="05D236F3" w14:textId="77777777" w:rsidR="007B6BE3" w:rsidRPr="0087376B" w:rsidRDefault="00625E9C" w:rsidP="007B6BE3">
            <w:pPr>
              <w:spacing w:after="0" w:line="240" w:lineRule="auto"/>
              <w:rPr>
                <w:rFonts w:ascii="Arial" w:eastAsia="Times New Roman" w:hAnsi="Arial" w:cs="Arial"/>
                <w:szCs w:val="24"/>
                <w:lang w:eastAsia="bs-Latn-BA"/>
              </w:rPr>
            </w:pPr>
            <w:r>
              <w:rPr>
                <w:rFonts w:ascii="Arial" w:eastAsia="Times New Roman" w:hAnsi="Arial" w:cs="Arial"/>
                <w:szCs w:val="24"/>
                <w:lang w:eastAsia="bs-Latn-BA"/>
              </w:rPr>
              <w:t>IDA</w:t>
            </w:r>
          </w:p>
        </w:tc>
        <w:tc>
          <w:tcPr>
            <w:tcW w:w="290" w:type="dxa"/>
            <w:shd w:val="clear" w:color="auto" w:fill="auto"/>
            <w:noWrap/>
            <w:hideMark/>
          </w:tcPr>
          <w:p w14:paraId="6C92B3F5" w14:textId="77777777" w:rsidR="007B6BE3" w:rsidRPr="0087376B" w:rsidRDefault="007B6BE3" w:rsidP="007B6BE3">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530EBA3C" w14:textId="77777777" w:rsidR="007B6BE3" w:rsidRPr="00625E9C" w:rsidRDefault="005B20F8" w:rsidP="007B6BE3">
            <w:pPr>
              <w:spacing w:after="0" w:line="240" w:lineRule="auto"/>
              <w:rPr>
                <w:rFonts w:ascii="Arial" w:eastAsia="Times New Roman" w:hAnsi="Arial" w:cs="Arial"/>
                <w:szCs w:val="24"/>
                <w:lang w:eastAsia="bs-Latn-BA"/>
              </w:rPr>
            </w:pPr>
            <w:r w:rsidRPr="00625E9C">
              <w:rPr>
                <w:rFonts w:ascii="Arial" w:eastAsia="Times New Roman" w:hAnsi="Arial" w:cs="Arial"/>
                <w:szCs w:val="24"/>
                <w:lang w:eastAsia="bs-Latn-BA"/>
              </w:rPr>
              <w:t>Међународна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асоцијација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за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развој</w:t>
            </w:r>
            <w:r w:rsidR="007B6BE3" w:rsidRPr="00625E9C">
              <w:rPr>
                <w:rFonts w:ascii="Arial" w:eastAsia="Times New Roman" w:hAnsi="Arial" w:cs="Arial"/>
                <w:szCs w:val="24"/>
                <w:lang w:eastAsia="bs-Latn-BA"/>
              </w:rPr>
              <w:t xml:space="preserve"> (</w:t>
            </w:r>
            <w:r w:rsidR="00625E9C" w:rsidRPr="00625E9C">
              <w:rPr>
                <w:rFonts w:ascii="Arial" w:eastAsia="Times New Roman" w:hAnsi="Arial" w:cs="Arial"/>
                <w:szCs w:val="24"/>
                <w:lang w:eastAsia="bs-Latn-BA"/>
              </w:rPr>
              <w:t xml:space="preserve">International Development Association </w:t>
            </w:r>
            <w:r w:rsidRPr="00625E9C">
              <w:rPr>
                <w:rFonts w:ascii="Arial" w:eastAsia="Times New Roman" w:hAnsi="Arial" w:cs="Arial"/>
                <w:szCs w:val="24"/>
                <w:lang w:eastAsia="bs-Latn-BA"/>
              </w:rPr>
              <w:t>тион</w:t>
            </w:r>
            <w:r w:rsidR="007B6BE3" w:rsidRPr="00625E9C">
              <w:rPr>
                <w:rFonts w:ascii="Arial" w:eastAsia="Times New Roman" w:hAnsi="Arial" w:cs="Arial"/>
                <w:szCs w:val="24"/>
                <w:lang w:eastAsia="bs-Latn-BA"/>
              </w:rPr>
              <w:t>)</w:t>
            </w:r>
          </w:p>
        </w:tc>
      </w:tr>
      <w:tr w:rsidR="007B6BE3" w:rsidRPr="0087376B" w14:paraId="3F59A08D" w14:textId="77777777" w:rsidTr="007B6BE3">
        <w:trPr>
          <w:trHeight w:val="567"/>
        </w:trPr>
        <w:tc>
          <w:tcPr>
            <w:tcW w:w="883" w:type="dxa"/>
            <w:shd w:val="clear" w:color="auto" w:fill="auto"/>
            <w:noWrap/>
            <w:hideMark/>
          </w:tcPr>
          <w:p w14:paraId="0CD1D907" w14:textId="77777777" w:rsidR="007B6BE3" w:rsidRPr="0087376B" w:rsidRDefault="00625E9C" w:rsidP="00625E9C">
            <w:pPr>
              <w:spacing w:after="0" w:line="240" w:lineRule="auto"/>
              <w:rPr>
                <w:rFonts w:ascii="Arial" w:eastAsia="Times New Roman" w:hAnsi="Arial" w:cs="Arial"/>
                <w:szCs w:val="24"/>
                <w:lang w:eastAsia="bs-Latn-BA"/>
              </w:rPr>
            </w:pPr>
            <w:r>
              <w:rPr>
                <w:rFonts w:ascii="Arial" w:eastAsia="Times New Roman" w:hAnsi="Arial" w:cs="Arial"/>
                <w:szCs w:val="24"/>
                <w:lang w:eastAsia="bs-Latn-BA"/>
              </w:rPr>
              <w:t>Kf</w:t>
            </w:r>
            <w:r w:rsidR="007B6BE3" w:rsidRPr="0087376B">
              <w:rPr>
                <w:rFonts w:ascii="Arial" w:eastAsia="Times New Roman" w:hAnsi="Arial" w:cs="Arial"/>
                <w:szCs w:val="24"/>
                <w:lang w:eastAsia="bs-Latn-BA"/>
              </w:rPr>
              <w:t>W</w:t>
            </w:r>
          </w:p>
        </w:tc>
        <w:tc>
          <w:tcPr>
            <w:tcW w:w="290" w:type="dxa"/>
            <w:shd w:val="clear" w:color="auto" w:fill="auto"/>
            <w:noWrap/>
            <w:hideMark/>
          </w:tcPr>
          <w:p w14:paraId="697F93D1" w14:textId="77777777" w:rsidR="007B6BE3" w:rsidRPr="0087376B" w:rsidRDefault="007B6BE3" w:rsidP="007B6BE3">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5E56B48E" w14:textId="77777777" w:rsidR="007B6BE3" w:rsidRPr="00625E9C" w:rsidRDefault="005B20F8" w:rsidP="007B6BE3">
            <w:pPr>
              <w:spacing w:after="0" w:line="240" w:lineRule="auto"/>
              <w:rPr>
                <w:rFonts w:ascii="Arial" w:eastAsia="Times New Roman" w:hAnsi="Arial" w:cs="Arial"/>
                <w:szCs w:val="24"/>
                <w:lang w:eastAsia="bs-Latn-BA"/>
              </w:rPr>
            </w:pPr>
            <w:r w:rsidRPr="00625E9C">
              <w:rPr>
                <w:rFonts w:ascii="Arial" w:eastAsia="Times New Roman" w:hAnsi="Arial" w:cs="Arial"/>
                <w:szCs w:val="24"/>
                <w:lang w:eastAsia="bs-Latn-BA"/>
              </w:rPr>
              <w:t>Њемачка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банка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за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обнову</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и</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развој</w:t>
            </w:r>
            <w:r w:rsidR="007B6BE3" w:rsidRPr="00625E9C">
              <w:rPr>
                <w:rFonts w:ascii="Arial" w:eastAsia="Times New Roman" w:hAnsi="Arial" w:cs="Arial"/>
                <w:szCs w:val="24"/>
                <w:lang w:eastAsia="bs-Latn-BA"/>
              </w:rPr>
              <w:t xml:space="preserve"> (</w:t>
            </w:r>
            <w:r w:rsidR="00625E9C" w:rsidRPr="00625E9C">
              <w:rPr>
                <w:rFonts w:ascii="Arial" w:eastAsia="Times New Roman" w:hAnsi="Arial" w:cs="Arial"/>
                <w:szCs w:val="24"/>
                <w:lang w:eastAsia="bs-Latn-BA"/>
              </w:rPr>
              <w:t>KfW Development Bank</w:t>
            </w:r>
            <w:r w:rsidR="007B6BE3" w:rsidRPr="00625E9C">
              <w:rPr>
                <w:rFonts w:ascii="Arial" w:eastAsia="Times New Roman" w:hAnsi="Arial" w:cs="Arial"/>
                <w:szCs w:val="24"/>
                <w:lang w:eastAsia="bs-Latn-BA"/>
              </w:rPr>
              <w:t>)</w:t>
            </w:r>
          </w:p>
        </w:tc>
      </w:tr>
      <w:tr w:rsidR="007B6BE3" w:rsidRPr="0087376B" w14:paraId="58AC8322" w14:textId="77777777" w:rsidTr="007B6BE3">
        <w:trPr>
          <w:trHeight w:val="567"/>
        </w:trPr>
        <w:tc>
          <w:tcPr>
            <w:tcW w:w="883" w:type="dxa"/>
            <w:shd w:val="clear" w:color="auto" w:fill="auto"/>
            <w:noWrap/>
            <w:hideMark/>
          </w:tcPr>
          <w:p w14:paraId="6C710973" w14:textId="77777777" w:rsidR="007B6BE3" w:rsidRPr="0087376B" w:rsidRDefault="00625E9C" w:rsidP="007B6BE3">
            <w:pPr>
              <w:spacing w:after="0" w:line="240" w:lineRule="auto"/>
              <w:rPr>
                <w:rFonts w:ascii="Arial" w:eastAsia="Times New Roman" w:hAnsi="Arial" w:cs="Arial"/>
                <w:szCs w:val="24"/>
                <w:lang w:eastAsia="bs-Latn-BA"/>
              </w:rPr>
            </w:pPr>
            <w:r>
              <w:rPr>
                <w:rFonts w:ascii="Arial" w:eastAsia="Times New Roman" w:hAnsi="Arial" w:cs="Arial"/>
                <w:szCs w:val="24"/>
                <w:lang w:eastAsia="bs-Latn-BA"/>
              </w:rPr>
              <w:t>IMF</w:t>
            </w:r>
          </w:p>
        </w:tc>
        <w:tc>
          <w:tcPr>
            <w:tcW w:w="290" w:type="dxa"/>
            <w:shd w:val="clear" w:color="auto" w:fill="auto"/>
            <w:noWrap/>
            <w:hideMark/>
          </w:tcPr>
          <w:p w14:paraId="478484E0" w14:textId="77777777" w:rsidR="007B6BE3" w:rsidRPr="0087376B" w:rsidRDefault="007B6BE3" w:rsidP="007B6BE3">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41EA6835" w14:textId="77777777" w:rsidR="007B6BE3" w:rsidRPr="00625E9C" w:rsidRDefault="005B20F8" w:rsidP="007B6BE3">
            <w:pPr>
              <w:spacing w:after="0" w:line="240" w:lineRule="auto"/>
              <w:rPr>
                <w:rFonts w:ascii="Arial" w:eastAsia="Times New Roman" w:hAnsi="Arial" w:cs="Arial"/>
                <w:szCs w:val="24"/>
                <w:lang w:eastAsia="bs-Latn-BA"/>
              </w:rPr>
            </w:pPr>
            <w:r w:rsidRPr="00625E9C">
              <w:rPr>
                <w:rFonts w:ascii="Arial" w:eastAsia="Times New Roman" w:hAnsi="Arial" w:cs="Arial"/>
                <w:szCs w:val="24"/>
                <w:lang w:eastAsia="bs-Latn-BA"/>
              </w:rPr>
              <w:t>Међународни</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монетарни</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фонд</w:t>
            </w:r>
            <w:r w:rsidR="007B6BE3" w:rsidRPr="00625E9C">
              <w:rPr>
                <w:rFonts w:ascii="Arial" w:eastAsia="Times New Roman" w:hAnsi="Arial" w:cs="Arial"/>
                <w:szCs w:val="24"/>
                <w:lang w:eastAsia="bs-Latn-BA"/>
              </w:rPr>
              <w:t xml:space="preserve"> (</w:t>
            </w:r>
            <w:r w:rsidR="00625E9C" w:rsidRPr="00625E9C">
              <w:rPr>
                <w:rFonts w:ascii="Arial" w:eastAsia="Times New Roman" w:hAnsi="Arial" w:cs="Arial"/>
                <w:szCs w:val="24"/>
                <w:lang w:eastAsia="bs-Latn-BA"/>
              </w:rPr>
              <w:t>International Monetary Fund</w:t>
            </w:r>
            <w:r w:rsidR="007B6BE3" w:rsidRPr="00625E9C">
              <w:rPr>
                <w:rFonts w:ascii="Arial" w:eastAsia="Times New Roman" w:hAnsi="Arial" w:cs="Arial"/>
                <w:szCs w:val="24"/>
                <w:lang w:eastAsia="bs-Latn-BA"/>
              </w:rPr>
              <w:t>)</w:t>
            </w:r>
          </w:p>
        </w:tc>
      </w:tr>
      <w:tr w:rsidR="007B6BE3" w:rsidRPr="0087376B" w14:paraId="1F93DBB3" w14:textId="77777777" w:rsidTr="007B6BE3">
        <w:trPr>
          <w:trHeight w:val="567"/>
        </w:trPr>
        <w:tc>
          <w:tcPr>
            <w:tcW w:w="883" w:type="dxa"/>
            <w:shd w:val="clear" w:color="auto" w:fill="auto"/>
            <w:noWrap/>
            <w:hideMark/>
          </w:tcPr>
          <w:p w14:paraId="6D2F8CEF" w14:textId="77777777" w:rsidR="007B6BE3" w:rsidRPr="0087376B" w:rsidRDefault="007B6BE3" w:rsidP="00625E9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W</w:t>
            </w:r>
            <w:r w:rsidR="00625E9C">
              <w:rPr>
                <w:rFonts w:ascii="Arial" w:eastAsia="Times New Roman" w:hAnsi="Arial" w:cs="Arial"/>
                <w:szCs w:val="24"/>
                <w:lang w:eastAsia="bs-Latn-BA"/>
              </w:rPr>
              <w:t>B</w:t>
            </w:r>
          </w:p>
        </w:tc>
        <w:tc>
          <w:tcPr>
            <w:tcW w:w="290" w:type="dxa"/>
            <w:shd w:val="clear" w:color="auto" w:fill="auto"/>
            <w:noWrap/>
            <w:hideMark/>
          </w:tcPr>
          <w:p w14:paraId="543EA801" w14:textId="77777777" w:rsidR="007B6BE3" w:rsidRPr="0087376B" w:rsidRDefault="007B6BE3" w:rsidP="007B6BE3">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02C01FE2" w14:textId="77777777" w:rsidR="007B6BE3" w:rsidRPr="00625E9C" w:rsidRDefault="005B20F8" w:rsidP="007B6BE3">
            <w:pPr>
              <w:spacing w:after="0" w:line="240" w:lineRule="auto"/>
              <w:rPr>
                <w:rFonts w:ascii="Arial" w:eastAsia="Times New Roman" w:hAnsi="Arial" w:cs="Arial"/>
                <w:szCs w:val="24"/>
                <w:lang w:eastAsia="bs-Latn-BA"/>
              </w:rPr>
            </w:pPr>
            <w:r w:rsidRPr="00625E9C">
              <w:rPr>
                <w:rFonts w:ascii="Arial" w:eastAsia="Times New Roman" w:hAnsi="Arial" w:cs="Arial"/>
                <w:szCs w:val="24"/>
                <w:lang w:eastAsia="bs-Latn-BA"/>
              </w:rPr>
              <w:t>Свјетска</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банка</w:t>
            </w:r>
            <w:r w:rsidR="007B6BE3" w:rsidRPr="00625E9C">
              <w:rPr>
                <w:rFonts w:ascii="Arial" w:eastAsia="Times New Roman" w:hAnsi="Arial" w:cs="Arial"/>
                <w:szCs w:val="24"/>
                <w:lang w:eastAsia="bs-Latn-BA"/>
              </w:rPr>
              <w:t xml:space="preserve"> (</w:t>
            </w:r>
            <w:r w:rsidR="00625E9C" w:rsidRPr="00625E9C">
              <w:rPr>
                <w:rFonts w:ascii="Arial" w:eastAsia="Times New Roman" w:hAnsi="Arial" w:cs="Arial"/>
                <w:szCs w:val="24"/>
                <w:lang w:eastAsia="bs-Latn-BA"/>
              </w:rPr>
              <w:t>World Bank</w:t>
            </w:r>
            <w:r w:rsidR="007B6BE3" w:rsidRPr="00625E9C">
              <w:rPr>
                <w:rFonts w:ascii="Arial" w:eastAsia="Times New Roman" w:hAnsi="Arial" w:cs="Arial"/>
                <w:szCs w:val="24"/>
                <w:lang w:eastAsia="bs-Latn-BA"/>
              </w:rPr>
              <w:t>)</w:t>
            </w:r>
          </w:p>
        </w:tc>
      </w:tr>
      <w:tr w:rsidR="007B6BE3" w:rsidRPr="0087376B" w14:paraId="532D5003" w14:textId="77777777" w:rsidTr="007B6BE3">
        <w:trPr>
          <w:trHeight w:val="567"/>
        </w:trPr>
        <w:tc>
          <w:tcPr>
            <w:tcW w:w="883" w:type="dxa"/>
            <w:shd w:val="clear" w:color="auto" w:fill="auto"/>
            <w:noWrap/>
          </w:tcPr>
          <w:p w14:paraId="06601728" w14:textId="77777777" w:rsidR="007B6BE3" w:rsidRPr="0087376B" w:rsidRDefault="005B20F8" w:rsidP="00625E9C">
            <w:pPr>
              <w:spacing w:after="0" w:line="240" w:lineRule="auto"/>
              <w:rPr>
                <w:rFonts w:ascii="Arial" w:eastAsia="Times New Roman" w:hAnsi="Arial" w:cs="Arial"/>
                <w:szCs w:val="24"/>
                <w:lang w:eastAsia="bs-Latn-BA"/>
              </w:rPr>
            </w:pPr>
            <w:r>
              <w:rPr>
                <w:rFonts w:ascii="Arial" w:eastAsia="Times New Roman" w:hAnsi="Arial" w:cs="Arial"/>
                <w:szCs w:val="24"/>
                <w:lang w:eastAsia="bs-Latn-BA"/>
              </w:rPr>
              <w:t>Е</w:t>
            </w:r>
            <w:r w:rsidR="00625E9C">
              <w:rPr>
                <w:rFonts w:ascii="Arial" w:eastAsia="Times New Roman" w:hAnsi="Arial" w:cs="Arial"/>
                <w:szCs w:val="24"/>
                <w:lang w:eastAsia="bs-Latn-BA"/>
              </w:rPr>
              <w:t>FF</w:t>
            </w:r>
          </w:p>
        </w:tc>
        <w:tc>
          <w:tcPr>
            <w:tcW w:w="290" w:type="dxa"/>
            <w:shd w:val="clear" w:color="auto" w:fill="auto"/>
            <w:noWrap/>
          </w:tcPr>
          <w:p w14:paraId="2F651BB2" w14:textId="77777777" w:rsidR="007B6BE3" w:rsidRPr="0087376B" w:rsidRDefault="007B6BE3" w:rsidP="007B6BE3">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tcPr>
          <w:p w14:paraId="54E43E0D" w14:textId="77777777" w:rsidR="007B6BE3" w:rsidRPr="00625E9C" w:rsidRDefault="005B20F8" w:rsidP="007B6BE3">
            <w:pPr>
              <w:spacing w:after="0" w:line="240" w:lineRule="auto"/>
              <w:rPr>
                <w:rFonts w:ascii="Arial" w:eastAsia="Times New Roman" w:hAnsi="Arial" w:cs="Arial"/>
                <w:szCs w:val="24"/>
                <w:lang w:eastAsia="bs-Latn-BA"/>
              </w:rPr>
            </w:pPr>
            <w:r w:rsidRPr="00625E9C">
              <w:rPr>
                <w:rFonts w:ascii="Arial" w:eastAsia="Times New Roman" w:hAnsi="Arial" w:cs="Arial"/>
                <w:szCs w:val="24"/>
                <w:lang w:eastAsia="bs-Latn-BA"/>
              </w:rPr>
              <w:t>Проширени</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аранжман</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ИМФ</w:t>
            </w:r>
            <w:r w:rsidR="007B6BE3" w:rsidRPr="00625E9C">
              <w:rPr>
                <w:rFonts w:ascii="Arial" w:eastAsia="Times New Roman" w:hAnsi="Arial" w:cs="Arial"/>
                <w:szCs w:val="24"/>
                <w:lang w:eastAsia="bs-Latn-BA"/>
              </w:rPr>
              <w:t>-</w:t>
            </w:r>
            <w:r w:rsidRPr="00625E9C">
              <w:rPr>
                <w:rFonts w:ascii="Arial" w:eastAsia="Times New Roman" w:hAnsi="Arial" w:cs="Arial"/>
                <w:szCs w:val="24"/>
                <w:lang w:eastAsia="bs-Latn-BA"/>
              </w:rPr>
              <w:t>а</w:t>
            </w:r>
            <w:r w:rsidR="007B6BE3" w:rsidRPr="00625E9C">
              <w:rPr>
                <w:rFonts w:ascii="Arial" w:eastAsia="Times New Roman" w:hAnsi="Arial" w:cs="Arial"/>
                <w:szCs w:val="24"/>
                <w:lang w:eastAsia="bs-Latn-BA"/>
              </w:rPr>
              <w:t xml:space="preserve"> (</w:t>
            </w:r>
            <w:r w:rsidR="00625E9C" w:rsidRPr="00625E9C">
              <w:rPr>
                <w:rFonts w:ascii="Arial" w:eastAsia="Times New Roman" w:hAnsi="Arial" w:cs="Arial"/>
                <w:szCs w:val="24"/>
                <w:lang w:eastAsia="bs-Latn-BA"/>
              </w:rPr>
              <w:t>Extended Fund Facility</w:t>
            </w:r>
            <w:r w:rsidR="007B6BE3" w:rsidRPr="00625E9C">
              <w:rPr>
                <w:rFonts w:ascii="Arial" w:eastAsia="Times New Roman" w:hAnsi="Arial" w:cs="Arial"/>
                <w:szCs w:val="24"/>
                <w:lang w:eastAsia="bs-Latn-BA"/>
              </w:rPr>
              <w:t xml:space="preserve">) </w:t>
            </w:r>
          </w:p>
        </w:tc>
      </w:tr>
      <w:tr w:rsidR="007B6BE3" w:rsidRPr="0087376B" w14:paraId="7D300BB6" w14:textId="77777777" w:rsidTr="007B6BE3">
        <w:trPr>
          <w:trHeight w:val="567"/>
        </w:trPr>
        <w:tc>
          <w:tcPr>
            <w:tcW w:w="883" w:type="dxa"/>
            <w:shd w:val="clear" w:color="auto" w:fill="auto"/>
            <w:noWrap/>
          </w:tcPr>
          <w:p w14:paraId="0C637463" w14:textId="77777777" w:rsidR="007B6BE3" w:rsidRPr="0087376B" w:rsidRDefault="00625E9C" w:rsidP="007B6BE3">
            <w:pPr>
              <w:spacing w:after="0" w:line="240" w:lineRule="auto"/>
              <w:rPr>
                <w:rFonts w:ascii="Arial" w:eastAsia="Times New Roman" w:hAnsi="Arial" w:cs="Arial"/>
                <w:szCs w:val="24"/>
                <w:lang w:eastAsia="bs-Latn-BA"/>
              </w:rPr>
            </w:pPr>
            <w:r>
              <w:rPr>
                <w:rFonts w:ascii="Arial" w:eastAsia="Times New Roman" w:hAnsi="Arial" w:cs="Arial"/>
                <w:szCs w:val="24"/>
                <w:lang w:eastAsia="bs-Latn-BA"/>
              </w:rPr>
              <w:t>RFI</w:t>
            </w:r>
          </w:p>
        </w:tc>
        <w:tc>
          <w:tcPr>
            <w:tcW w:w="290" w:type="dxa"/>
            <w:shd w:val="clear" w:color="auto" w:fill="auto"/>
            <w:noWrap/>
          </w:tcPr>
          <w:p w14:paraId="5E749FA7" w14:textId="77777777" w:rsidR="007B6BE3" w:rsidRPr="0087376B" w:rsidRDefault="007B6BE3" w:rsidP="007B6BE3">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 xml:space="preserve">- </w:t>
            </w:r>
          </w:p>
        </w:tc>
        <w:tc>
          <w:tcPr>
            <w:tcW w:w="9034" w:type="dxa"/>
            <w:shd w:val="clear" w:color="auto" w:fill="auto"/>
            <w:noWrap/>
          </w:tcPr>
          <w:p w14:paraId="3B1DB185" w14:textId="77777777" w:rsidR="007B6BE3" w:rsidRPr="00625E9C" w:rsidRDefault="005B20F8" w:rsidP="007B6BE3">
            <w:pPr>
              <w:spacing w:after="0" w:line="240" w:lineRule="auto"/>
              <w:rPr>
                <w:rFonts w:ascii="Arial" w:eastAsia="Times New Roman" w:hAnsi="Arial" w:cs="Arial"/>
                <w:szCs w:val="24"/>
                <w:lang w:eastAsia="bs-Latn-BA"/>
              </w:rPr>
            </w:pPr>
            <w:r w:rsidRPr="00625E9C">
              <w:rPr>
                <w:rFonts w:ascii="Arial" w:eastAsia="Times New Roman" w:hAnsi="Arial" w:cs="Arial"/>
                <w:szCs w:val="24"/>
                <w:lang w:eastAsia="bs-Latn-BA"/>
              </w:rPr>
              <w:t>Инструмент</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брзог</w:t>
            </w:r>
            <w:r w:rsidR="007B6BE3" w:rsidRPr="00625E9C">
              <w:rPr>
                <w:rFonts w:ascii="Arial" w:eastAsia="Times New Roman" w:hAnsi="Arial" w:cs="Arial"/>
                <w:szCs w:val="24"/>
                <w:lang w:eastAsia="bs-Latn-BA"/>
              </w:rPr>
              <w:t xml:space="preserve"> </w:t>
            </w:r>
            <w:r w:rsidRPr="00625E9C">
              <w:rPr>
                <w:rFonts w:ascii="Arial" w:eastAsia="Times New Roman" w:hAnsi="Arial" w:cs="Arial"/>
                <w:szCs w:val="24"/>
                <w:lang w:eastAsia="bs-Latn-BA"/>
              </w:rPr>
              <w:t>финансирања</w:t>
            </w:r>
            <w:r w:rsidR="007B6BE3" w:rsidRPr="00625E9C">
              <w:rPr>
                <w:rFonts w:ascii="Arial" w:eastAsia="Times New Roman" w:hAnsi="Arial" w:cs="Arial"/>
                <w:szCs w:val="24"/>
                <w:lang w:eastAsia="bs-Latn-BA"/>
              </w:rPr>
              <w:t xml:space="preserve"> (</w:t>
            </w:r>
            <w:r w:rsidR="00625E9C" w:rsidRPr="00625E9C">
              <w:rPr>
                <w:rFonts w:ascii="Arial" w:eastAsia="Times New Roman" w:hAnsi="Arial" w:cs="Arial"/>
                <w:szCs w:val="24"/>
                <w:lang w:eastAsia="bs-Latn-BA"/>
              </w:rPr>
              <w:t>Rapid Financing Instrument</w:t>
            </w:r>
            <w:r w:rsidR="007B6BE3" w:rsidRPr="00625E9C">
              <w:rPr>
                <w:rFonts w:ascii="Arial" w:eastAsia="Times New Roman" w:hAnsi="Arial" w:cs="Arial"/>
                <w:szCs w:val="24"/>
                <w:lang w:eastAsia="bs-Latn-BA"/>
              </w:rPr>
              <w:t>)</w:t>
            </w:r>
          </w:p>
        </w:tc>
      </w:tr>
    </w:tbl>
    <w:p w14:paraId="373E4180" w14:textId="77777777" w:rsidR="007B6BE3" w:rsidRPr="0087376B" w:rsidRDefault="007B6BE3" w:rsidP="007B6BE3"/>
    <w:p w14:paraId="6A63930E" w14:textId="77777777" w:rsidR="007B6BE3" w:rsidRPr="0087376B" w:rsidRDefault="007B6BE3" w:rsidP="007B6BE3">
      <w:pPr>
        <w:rPr>
          <w:color w:val="538135" w:themeColor="accent6" w:themeShade="BF"/>
        </w:rPr>
      </w:pPr>
    </w:p>
    <w:p w14:paraId="090D6BD6" w14:textId="77777777" w:rsidR="007B6BE3" w:rsidRPr="0087376B" w:rsidRDefault="007B6BE3" w:rsidP="007B6BE3">
      <w:pPr>
        <w:rPr>
          <w:color w:val="538135" w:themeColor="accent6" w:themeShade="BF"/>
          <w:sz w:val="20"/>
        </w:rPr>
      </w:pPr>
    </w:p>
    <w:p w14:paraId="62EEABDC" w14:textId="77777777" w:rsidR="007B6BE3" w:rsidRPr="0087376B" w:rsidRDefault="007B6BE3" w:rsidP="007B6BE3">
      <w:pPr>
        <w:rPr>
          <w:rFonts w:ascii="Arial" w:eastAsiaTheme="majorEastAsia" w:hAnsi="Arial" w:cs="Arial"/>
          <w:bCs/>
          <w:sz w:val="28"/>
          <w:szCs w:val="28"/>
        </w:rPr>
      </w:pPr>
      <w:r w:rsidRPr="0087376B">
        <w:rPr>
          <w:rFonts w:ascii="Arial" w:hAnsi="Arial" w:cs="Arial"/>
          <w:b/>
        </w:rPr>
        <w:br w:type="page"/>
      </w:r>
    </w:p>
    <w:p w14:paraId="7943FCD2" w14:textId="77777777" w:rsidR="007B6BE3" w:rsidRPr="0087376B" w:rsidRDefault="007B6BE3" w:rsidP="007B6BE3">
      <w:pPr>
        <w:pStyle w:val="Heading1"/>
        <w:jc w:val="center"/>
        <w:rPr>
          <w:rFonts w:ascii="Arial" w:hAnsi="Arial" w:cs="Arial"/>
          <w:b w:val="0"/>
          <w:color w:val="auto"/>
        </w:rPr>
        <w:sectPr w:rsidR="007B6BE3" w:rsidRPr="0087376B" w:rsidSect="007B6BE3">
          <w:footerReference w:type="default" r:id="rId10"/>
          <w:footerReference w:type="first" r:id="rId11"/>
          <w:pgSz w:w="11906" w:h="16838"/>
          <w:pgMar w:top="1135" w:right="1133" w:bottom="709" w:left="1440" w:header="708" w:footer="708" w:gutter="0"/>
          <w:pgNumType w:start="1" w:chapStyle="1"/>
          <w:cols w:space="708"/>
          <w:titlePg/>
          <w:docGrid w:linePitch="360"/>
        </w:sectPr>
      </w:pPr>
    </w:p>
    <w:p w14:paraId="404705B1" w14:textId="77777777" w:rsidR="007B6BE3" w:rsidRPr="0087376B" w:rsidRDefault="005B20F8" w:rsidP="007B6BE3">
      <w:pPr>
        <w:pStyle w:val="Heading1"/>
        <w:jc w:val="center"/>
        <w:rPr>
          <w:rFonts w:ascii="Arial" w:hAnsi="Arial" w:cs="Arial"/>
          <w:b w:val="0"/>
          <w:color w:val="auto"/>
        </w:rPr>
      </w:pPr>
      <w:bookmarkStart w:id="0" w:name="_Toc149810600"/>
      <w:r>
        <w:rPr>
          <w:rFonts w:ascii="Arial" w:hAnsi="Arial" w:cs="Arial"/>
          <w:b w:val="0"/>
          <w:color w:val="auto"/>
        </w:rPr>
        <w:lastRenderedPageBreak/>
        <w:t>У</w:t>
      </w:r>
      <w:r w:rsidR="007B6BE3" w:rsidRPr="0087376B">
        <w:rPr>
          <w:rFonts w:ascii="Arial" w:hAnsi="Arial" w:cs="Arial"/>
          <w:b w:val="0"/>
          <w:color w:val="auto"/>
        </w:rPr>
        <w:t xml:space="preserve"> </w:t>
      </w:r>
      <w:r>
        <w:rPr>
          <w:rFonts w:ascii="Arial" w:hAnsi="Arial" w:cs="Arial"/>
          <w:b w:val="0"/>
          <w:color w:val="auto"/>
        </w:rPr>
        <w:t>В</w:t>
      </w:r>
      <w:r w:rsidR="007B6BE3" w:rsidRPr="0087376B">
        <w:rPr>
          <w:rFonts w:ascii="Arial" w:hAnsi="Arial" w:cs="Arial"/>
          <w:b w:val="0"/>
          <w:color w:val="auto"/>
        </w:rPr>
        <w:t xml:space="preserve"> </w:t>
      </w:r>
      <w:r>
        <w:rPr>
          <w:rFonts w:ascii="Arial" w:hAnsi="Arial" w:cs="Arial"/>
          <w:b w:val="0"/>
          <w:color w:val="auto"/>
        </w:rPr>
        <w:t>О</w:t>
      </w:r>
      <w:r w:rsidR="007B6BE3" w:rsidRPr="0087376B">
        <w:rPr>
          <w:rFonts w:ascii="Arial" w:hAnsi="Arial" w:cs="Arial"/>
          <w:b w:val="0"/>
          <w:color w:val="auto"/>
        </w:rPr>
        <w:t xml:space="preserve"> </w:t>
      </w:r>
      <w:r>
        <w:rPr>
          <w:rFonts w:ascii="Arial" w:hAnsi="Arial" w:cs="Arial"/>
          <w:b w:val="0"/>
          <w:color w:val="auto"/>
        </w:rPr>
        <w:t>Д</w:t>
      </w:r>
      <w:bookmarkEnd w:id="0"/>
    </w:p>
    <w:p w14:paraId="7FB22573" w14:textId="77777777" w:rsidR="007B6BE3" w:rsidRPr="0087376B" w:rsidRDefault="007B6BE3" w:rsidP="007B6BE3">
      <w:pPr>
        <w:spacing w:after="0"/>
        <w:jc w:val="both"/>
        <w:rPr>
          <w:rFonts w:ascii="Arial" w:hAnsi="Arial" w:cs="Arial"/>
          <w:sz w:val="24"/>
          <w:szCs w:val="24"/>
        </w:rPr>
      </w:pPr>
    </w:p>
    <w:p w14:paraId="705397EC" w14:textId="77777777" w:rsidR="007B6BE3" w:rsidRPr="0087376B" w:rsidRDefault="005B20F8" w:rsidP="007B6BE3">
      <w:pPr>
        <w:spacing w:after="0"/>
        <w:ind w:firstLine="360"/>
        <w:jc w:val="both"/>
        <w:rPr>
          <w:rFonts w:ascii="Arial" w:hAnsi="Arial" w:cs="Arial"/>
          <w:szCs w:val="24"/>
        </w:rPr>
      </w:pPr>
      <w:r>
        <w:rPr>
          <w:rFonts w:ascii="Arial" w:hAnsi="Arial" w:cs="Arial"/>
          <w:szCs w:val="24"/>
        </w:rPr>
        <w:t>Стратегија</w:t>
      </w:r>
      <w:r w:rsidR="007B6BE3" w:rsidRPr="0087376B">
        <w:rPr>
          <w:rFonts w:ascii="Arial" w:hAnsi="Arial" w:cs="Arial"/>
          <w:szCs w:val="24"/>
        </w:rPr>
        <w:t xml:space="preserve"> </w:t>
      </w:r>
      <w:r>
        <w:rPr>
          <w:rFonts w:ascii="Arial" w:hAnsi="Arial" w:cs="Arial"/>
          <w:szCs w:val="24"/>
        </w:rPr>
        <w:t>управљања</w:t>
      </w:r>
      <w:r w:rsidR="007B6BE3" w:rsidRPr="0087376B">
        <w:rPr>
          <w:rFonts w:ascii="Arial" w:hAnsi="Arial" w:cs="Arial"/>
          <w:szCs w:val="24"/>
        </w:rPr>
        <w:t xml:space="preserve"> </w:t>
      </w:r>
      <w:r>
        <w:rPr>
          <w:rFonts w:ascii="Arial" w:hAnsi="Arial" w:cs="Arial"/>
          <w:szCs w:val="24"/>
        </w:rPr>
        <w:t>дугом</w:t>
      </w:r>
      <w:r w:rsidR="007B6BE3" w:rsidRPr="0087376B">
        <w:rPr>
          <w:rFonts w:ascii="Arial" w:hAnsi="Arial" w:cs="Arial"/>
          <w:szCs w:val="24"/>
        </w:rPr>
        <w:t xml:space="preserve"> 2023 – 2025. (</w:t>
      </w:r>
      <w:r>
        <w:rPr>
          <w:rFonts w:ascii="Arial" w:hAnsi="Arial" w:cs="Arial"/>
          <w:szCs w:val="24"/>
        </w:rPr>
        <w:t>у</w:t>
      </w:r>
      <w:r w:rsidR="007B6BE3" w:rsidRPr="0087376B">
        <w:rPr>
          <w:rFonts w:ascii="Arial" w:hAnsi="Arial" w:cs="Arial"/>
          <w:szCs w:val="24"/>
        </w:rPr>
        <w:t xml:space="preserve"> </w:t>
      </w:r>
      <w:r>
        <w:rPr>
          <w:rFonts w:ascii="Arial" w:hAnsi="Arial" w:cs="Arial"/>
          <w:szCs w:val="24"/>
        </w:rPr>
        <w:t>даљем</w:t>
      </w:r>
      <w:r w:rsidR="007B6BE3" w:rsidRPr="0087376B">
        <w:rPr>
          <w:rFonts w:ascii="Arial" w:hAnsi="Arial" w:cs="Arial"/>
          <w:szCs w:val="24"/>
        </w:rPr>
        <w:t xml:space="preserve"> </w:t>
      </w:r>
      <w:r>
        <w:rPr>
          <w:rFonts w:ascii="Arial" w:hAnsi="Arial" w:cs="Arial"/>
          <w:szCs w:val="24"/>
        </w:rPr>
        <w:t>тексту</w:t>
      </w:r>
      <w:r w:rsidR="007B6BE3" w:rsidRPr="0087376B">
        <w:rPr>
          <w:rFonts w:ascii="Arial" w:hAnsi="Arial" w:cs="Arial"/>
          <w:szCs w:val="24"/>
        </w:rPr>
        <w:t xml:space="preserve">: </w:t>
      </w:r>
      <w:r>
        <w:rPr>
          <w:rFonts w:ascii="Arial" w:hAnsi="Arial" w:cs="Arial"/>
          <w:szCs w:val="24"/>
        </w:rPr>
        <w:t>Стратегија</w:t>
      </w:r>
      <w:r w:rsidR="007B6BE3" w:rsidRPr="0087376B">
        <w:rPr>
          <w:rFonts w:ascii="Arial" w:hAnsi="Arial" w:cs="Arial"/>
          <w:szCs w:val="24"/>
        </w:rPr>
        <w:t xml:space="preserve">) </w:t>
      </w:r>
      <w:r>
        <w:rPr>
          <w:rFonts w:ascii="Arial" w:hAnsi="Arial" w:cs="Arial"/>
          <w:szCs w:val="24"/>
        </w:rPr>
        <w:t>представља</w:t>
      </w:r>
      <w:r w:rsidR="007B6BE3" w:rsidRPr="0087376B">
        <w:rPr>
          <w:rFonts w:ascii="Arial" w:hAnsi="Arial" w:cs="Arial"/>
          <w:szCs w:val="24"/>
        </w:rPr>
        <w:t xml:space="preserve"> </w:t>
      </w:r>
      <w:r>
        <w:rPr>
          <w:rFonts w:ascii="Arial" w:hAnsi="Arial" w:cs="Arial"/>
          <w:szCs w:val="24"/>
        </w:rPr>
        <w:t>сажетак</w:t>
      </w:r>
      <w:r w:rsidR="007B6BE3" w:rsidRPr="0087376B">
        <w:rPr>
          <w:rFonts w:ascii="Arial" w:hAnsi="Arial" w:cs="Arial"/>
          <w:szCs w:val="24"/>
        </w:rPr>
        <w:t xml:space="preserve"> </w:t>
      </w:r>
      <w:r>
        <w:rPr>
          <w:rFonts w:ascii="Arial" w:hAnsi="Arial" w:cs="Arial"/>
          <w:szCs w:val="24"/>
        </w:rPr>
        <w:t>главних</w:t>
      </w:r>
      <w:r w:rsidR="007B6BE3" w:rsidRPr="0087376B">
        <w:rPr>
          <w:rFonts w:ascii="Arial" w:hAnsi="Arial" w:cs="Arial"/>
          <w:szCs w:val="24"/>
        </w:rPr>
        <w:t xml:space="preserve"> </w:t>
      </w:r>
      <w:r>
        <w:rPr>
          <w:rFonts w:ascii="Arial" w:hAnsi="Arial" w:cs="Arial"/>
          <w:szCs w:val="24"/>
        </w:rPr>
        <w:t>начела</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смјерница</w:t>
      </w:r>
      <w:r w:rsidR="007B6BE3" w:rsidRPr="0087376B">
        <w:rPr>
          <w:rFonts w:ascii="Arial" w:hAnsi="Arial" w:cs="Arial"/>
          <w:szCs w:val="24"/>
        </w:rPr>
        <w:t xml:space="preserve"> </w:t>
      </w:r>
      <w:r>
        <w:rPr>
          <w:rFonts w:ascii="Arial" w:hAnsi="Arial" w:cs="Arial"/>
          <w:szCs w:val="24"/>
        </w:rPr>
        <w:t>за</w:t>
      </w:r>
      <w:r w:rsidR="007B6BE3" w:rsidRPr="0087376B">
        <w:rPr>
          <w:rFonts w:ascii="Arial" w:hAnsi="Arial" w:cs="Arial"/>
          <w:szCs w:val="24"/>
        </w:rPr>
        <w:t xml:space="preserve"> </w:t>
      </w:r>
      <w:r>
        <w:rPr>
          <w:rFonts w:ascii="Arial" w:hAnsi="Arial" w:cs="Arial"/>
          <w:szCs w:val="24"/>
        </w:rPr>
        <w:t>политику</w:t>
      </w:r>
      <w:r w:rsidR="007B6BE3" w:rsidRPr="0087376B">
        <w:rPr>
          <w:rFonts w:ascii="Arial" w:hAnsi="Arial" w:cs="Arial"/>
          <w:szCs w:val="24"/>
        </w:rPr>
        <w:t xml:space="preserve"> </w:t>
      </w:r>
      <w:r>
        <w:rPr>
          <w:rFonts w:ascii="Arial" w:hAnsi="Arial" w:cs="Arial"/>
          <w:szCs w:val="24"/>
        </w:rPr>
        <w:t>управљања</w:t>
      </w:r>
      <w:r w:rsidR="007B6BE3" w:rsidRPr="0087376B">
        <w:rPr>
          <w:rFonts w:ascii="Arial" w:hAnsi="Arial" w:cs="Arial"/>
          <w:szCs w:val="24"/>
        </w:rPr>
        <w:t xml:space="preserve"> </w:t>
      </w:r>
      <w:r>
        <w:rPr>
          <w:rFonts w:ascii="Arial" w:hAnsi="Arial" w:cs="Arial"/>
          <w:szCs w:val="24"/>
        </w:rPr>
        <w:t>дугом</w:t>
      </w:r>
      <w:r w:rsidR="007B6BE3" w:rsidRPr="0087376B">
        <w:rPr>
          <w:rFonts w:ascii="Arial" w:hAnsi="Arial" w:cs="Arial"/>
          <w:szCs w:val="24"/>
        </w:rPr>
        <w:t xml:space="preserve"> </w:t>
      </w:r>
      <w:r>
        <w:rPr>
          <w:rFonts w:ascii="Arial" w:hAnsi="Arial" w:cs="Arial"/>
          <w:szCs w:val="24"/>
        </w:rPr>
        <w:t>Федерације</w:t>
      </w:r>
      <w:r w:rsidR="007B6BE3" w:rsidRPr="0087376B">
        <w:rPr>
          <w:rFonts w:ascii="Arial" w:hAnsi="Arial" w:cs="Arial"/>
          <w:szCs w:val="24"/>
        </w:rPr>
        <w:t xml:space="preserve"> </w:t>
      </w:r>
      <w:r>
        <w:rPr>
          <w:rFonts w:ascii="Arial" w:hAnsi="Arial" w:cs="Arial"/>
          <w:szCs w:val="24"/>
        </w:rPr>
        <w:t>БиХ</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наведеном</w:t>
      </w:r>
      <w:r w:rsidR="007B6BE3" w:rsidRPr="0087376B">
        <w:rPr>
          <w:rFonts w:ascii="Arial" w:hAnsi="Arial" w:cs="Arial"/>
          <w:szCs w:val="24"/>
        </w:rPr>
        <w:t xml:space="preserve"> </w:t>
      </w:r>
      <w:r>
        <w:rPr>
          <w:rFonts w:ascii="Arial" w:hAnsi="Arial" w:cs="Arial"/>
          <w:szCs w:val="24"/>
        </w:rPr>
        <w:t>периоду</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од</w:t>
      </w:r>
      <w:r w:rsidR="007B6BE3" w:rsidRPr="0087376B">
        <w:rPr>
          <w:rFonts w:ascii="Arial" w:hAnsi="Arial" w:cs="Arial"/>
          <w:szCs w:val="24"/>
        </w:rPr>
        <w:t xml:space="preserve"> 2015. </w:t>
      </w:r>
      <w:r>
        <w:rPr>
          <w:rFonts w:ascii="Arial" w:hAnsi="Arial" w:cs="Arial"/>
          <w:szCs w:val="24"/>
        </w:rPr>
        <w:t>године</w:t>
      </w:r>
      <w:r w:rsidR="007B6BE3" w:rsidRPr="0087376B">
        <w:rPr>
          <w:rFonts w:ascii="Arial" w:hAnsi="Arial" w:cs="Arial"/>
          <w:szCs w:val="24"/>
        </w:rPr>
        <w:t xml:space="preserve"> </w:t>
      </w:r>
      <w:r>
        <w:rPr>
          <w:rFonts w:ascii="Arial" w:hAnsi="Arial" w:cs="Arial"/>
          <w:szCs w:val="24"/>
        </w:rPr>
        <w:t>представља</w:t>
      </w:r>
      <w:r w:rsidR="007B6BE3" w:rsidRPr="0087376B">
        <w:rPr>
          <w:rFonts w:ascii="Arial" w:hAnsi="Arial" w:cs="Arial"/>
          <w:szCs w:val="24"/>
        </w:rPr>
        <w:t xml:space="preserve"> </w:t>
      </w:r>
      <w:r>
        <w:rPr>
          <w:rFonts w:ascii="Arial" w:hAnsi="Arial" w:cs="Arial"/>
          <w:szCs w:val="24"/>
        </w:rPr>
        <w:t>један</w:t>
      </w:r>
      <w:r w:rsidR="007B6BE3" w:rsidRPr="0087376B">
        <w:rPr>
          <w:rFonts w:ascii="Arial" w:hAnsi="Arial" w:cs="Arial"/>
          <w:szCs w:val="24"/>
        </w:rPr>
        <w:t xml:space="preserve"> </w:t>
      </w:r>
      <w:r>
        <w:rPr>
          <w:rFonts w:ascii="Arial" w:hAnsi="Arial" w:cs="Arial"/>
          <w:szCs w:val="24"/>
        </w:rPr>
        <w:t>од</w:t>
      </w:r>
      <w:r w:rsidR="007B6BE3" w:rsidRPr="0087376B">
        <w:rPr>
          <w:rFonts w:ascii="Arial" w:hAnsi="Arial" w:cs="Arial"/>
          <w:szCs w:val="24"/>
        </w:rPr>
        <w:t xml:space="preserve"> </w:t>
      </w:r>
      <w:r>
        <w:rPr>
          <w:rFonts w:ascii="Arial" w:hAnsi="Arial" w:cs="Arial"/>
          <w:szCs w:val="24"/>
        </w:rPr>
        <w:t>стратешких</w:t>
      </w:r>
      <w:r w:rsidR="007B6BE3" w:rsidRPr="0087376B">
        <w:rPr>
          <w:rFonts w:ascii="Arial" w:hAnsi="Arial" w:cs="Arial"/>
          <w:szCs w:val="24"/>
        </w:rPr>
        <w:t xml:space="preserve"> </w:t>
      </w:r>
      <w:r>
        <w:rPr>
          <w:rFonts w:ascii="Arial" w:hAnsi="Arial" w:cs="Arial"/>
          <w:szCs w:val="24"/>
        </w:rPr>
        <w:t>докумената</w:t>
      </w:r>
      <w:r w:rsidR="007B6BE3" w:rsidRPr="0087376B">
        <w:rPr>
          <w:rFonts w:ascii="Arial" w:hAnsi="Arial" w:cs="Arial"/>
          <w:szCs w:val="24"/>
        </w:rPr>
        <w:t xml:space="preserve"> </w:t>
      </w:r>
      <w:r>
        <w:rPr>
          <w:rFonts w:ascii="Arial" w:hAnsi="Arial" w:cs="Arial"/>
          <w:szCs w:val="24"/>
        </w:rPr>
        <w:t>Владе</w:t>
      </w:r>
      <w:r w:rsidR="007B6BE3" w:rsidRPr="0087376B">
        <w:rPr>
          <w:rFonts w:ascii="Arial" w:hAnsi="Arial" w:cs="Arial"/>
          <w:szCs w:val="24"/>
        </w:rPr>
        <w:t xml:space="preserve"> </w:t>
      </w:r>
      <w:r>
        <w:rPr>
          <w:rFonts w:ascii="Arial" w:hAnsi="Arial" w:cs="Arial"/>
          <w:szCs w:val="24"/>
        </w:rPr>
        <w:t>Федерације</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домени</w:t>
      </w:r>
      <w:r w:rsidR="007B6BE3" w:rsidRPr="0087376B">
        <w:rPr>
          <w:rFonts w:ascii="Arial" w:hAnsi="Arial" w:cs="Arial"/>
          <w:szCs w:val="24"/>
        </w:rPr>
        <w:t xml:space="preserve"> </w:t>
      </w:r>
      <w:r>
        <w:rPr>
          <w:rFonts w:ascii="Arial" w:hAnsi="Arial" w:cs="Arial"/>
          <w:szCs w:val="24"/>
        </w:rPr>
        <w:t>управљања</w:t>
      </w:r>
      <w:r w:rsidR="007B6BE3" w:rsidRPr="0087376B">
        <w:rPr>
          <w:rFonts w:ascii="Arial" w:hAnsi="Arial" w:cs="Arial"/>
          <w:szCs w:val="24"/>
        </w:rPr>
        <w:t xml:space="preserve"> </w:t>
      </w:r>
      <w:r>
        <w:rPr>
          <w:rFonts w:ascii="Arial" w:hAnsi="Arial" w:cs="Arial"/>
          <w:szCs w:val="24"/>
        </w:rPr>
        <w:t>дугом</w:t>
      </w:r>
      <w:r w:rsidR="007B6BE3" w:rsidRPr="0087376B">
        <w:rPr>
          <w:rFonts w:ascii="Arial" w:hAnsi="Arial" w:cs="Arial"/>
          <w:szCs w:val="24"/>
        </w:rPr>
        <w:t xml:space="preserve">. </w:t>
      </w:r>
      <w:r>
        <w:rPr>
          <w:rFonts w:ascii="Arial" w:hAnsi="Arial" w:cs="Arial"/>
          <w:szCs w:val="24"/>
        </w:rPr>
        <w:t>Стратегија</w:t>
      </w:r>
      <w:r w:rsidR="007B6BE3" w:rsidRPr="0087376B">
        <w:rPr>
          <w:rFonts w:ascii="Arial" w:hAnsi="Arial" w:cs="Arial"/>
          <w:szCs w:val="24"/>
        </w:rPr>
        <w:t xml:space="preserve">  </w:t>
      </w:r>
      <w:r>
        <w:rPr>
          <w:rFonts w:ascii="Arial" w:hAnsi="Arial" w:cs="Arial"/>
          <w:szCs w:val="24"/>
        </w:rPr>
        <w:t>се</w:t>
      </w:r>
      <w:r w:rsidR="007B6BE3" w:rsidRPr="0087376B">
        <w:rPr>
          <w:rFonts w:ascii="Arial" w:hAnsi="Arial" w:cs="Arial"/>
          <w:szCs w:val="24"/>
        </w:rPr>
        <w:t xml:space="preserve"> </w:t>
      </w:r>
      <w:r>
        <w:rPr>
          <w:rFonts w:ascii="Arial" w:hAnsi="Arial" w:cs="Arial"/>
          <w:szCs w:val="24"/>
        </w:rPr>
        <w:t>темељи</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постојећем</w:t>
      </w:r>
      <w:r w:rsidR="007B6BE3" w:rsidRPr="0087376B">
        <w:rPr>
          <w:rFonts w:ascii="Arial" w:hAnsi="Arial" w:cs="Arial"/>
          <w:szCs w:val="24"/>
        </w:rPr>
        <w:t xml:space="preserve"> </w:t>
      </w:r>
      <w:r>
        <w:rPr>
          <w:rFonts w:ascii="Arial" w:hAnsi="Arial" w:cs="Arial"/>
          <w:szCs w:val="24"/>
        </w:rPr>
        <w:t>портфолију</w:t>
      </w:r>
      <w:r w:rsidR="007B6BE3" w:rsidRPr="0087376B">
        <w:rPr>
          <w:rFonts w:ascii="Arial" w:hAnsi="Arial" w:cs="Arial"/>
          <w:szCs w:val="24"/>
        </w:rPr>
        <w:t xml:space="preserve"> </w:t>
      </w:r>
      <w:r>
        <w:rPr>
          <w:rFonts w:ascii="Arial" w:hAnsi="Arial" w:cs="Arial"/>
          <w:szCs w:val="24"/>
        </w:rPr>
        <w:t>дуга</w:t>
      </w:r>
      <w:r w:rsidR="007B6BE3" w:rsidRPr="0087376B">
        <w:rPr>
          <w:rFonts w:ascii="Arial" w:hAnsi="Arial" w:cs="Arial"/>
          <w:szCs w:val="24"/>
        </w:rPr>
        <w:t xml:space="preserve"> </w:t>
      </w:r>
      <w:r>
        <w:rPr>
          <w:rFonts w:ascii="Arial" w:hAnsi="Arial" w:cs="Arial"/>
          <w:szCs w:val="24"/>
        </w:rPr>
        <w:t>Федерације</w:t>
      </w:r>
      <w:r w:rsidR="007B6BE3" w:rsidRPr="0087376B">
        <w:rPr>
          <w:rFonts w:ascii="Arial" w:hAnsi="Arial" w:cs="Arial"/>
          <w:szCs w:val="24"/>
        </w:rPr>
        <w:t xml:space="preserve"> </w:t>
      </w:r>
      <w:r>
        <w:rPr>
          <w:rFonts w:ascii="Arial" w:hAnsi="Arial" w:cs="Arial"/>
          <w:szCs w:val="24"/>
        </w:rPr>
        <w:t>БиХ</w:t>
      </w:r>
      <w:r w:rsidR="007B6BE3" w:rsidRPr="0087376B">
        <w:rPr>
          <w:rFonts w:ascii="Arial" w:hAnsi="Arial" w:cs="Arial"/>
          <w:szCs w:val="24"/>
        </w:rPr>
        <w:t xml:space="preserve">, </w:t>
      </w:r>
      <w:r>
        <w:rPr>
          <w:rFonts w:ascii="Arial" w:hAnsi="Arial" w:cs="Arial"/>
          <w:szCs w:val="24"/>
        </w:rPr>
        <w:t>Програму</w:t>
      </w:r>
      <w:r w:rsidR="007B6BE3" w:rsidRPr="0087376B">
        <w:rPr>
          <w:rFonts w:ascii="Arial" w:hAnsi="Arial" w:cs="Arial"/>
          <w:szCs w:val="24"/>
        </w:rPr>
        <w:t xml:space="preserve"> </w:t>
      </w:r>
      <w:r>
        <w:rPr>
          <w:rFonts w:ascii="Arial" w:hAnsi="Arial" w:cs="Arial"/>
          <w:szCs w:val="24"/>
        </w:rPr>
        <w:t>јавних</w:t>
      </w:r>
      <w:r w:rsidR="007B6BE3" w:rsidRPr="0087376B">
        <w:rPr>
          <w:rFonts w:ascii="Arial" w:hAnsi="Arial" w:cs="Arial"/>
          <w:szCs w:val="24"/>
        </w:rPr>
        <w:t xml:space="preserve"> </w:t>
      </w:r>
      <w:r>
        <w:rPr>
          <w:rFonts w:ascii="Arial" w:hAnsi="Arial" w:cs="Arial"/>
          <w:szCs w:val="24"/>
        </w:rPr>
        <w:t>инвестиција</w:t>
      </w:r>
      <w:r w:rsidR="007B6BE3" w:rsidRPr="0087376B">
        <w:rPr>
          <w:rFonts w:ascii="Arial" w:hAnsi="Arial" w:cs="Arial"/>
          <w:szCs w:val="24"/>
        </w:rPr>
        <w:t xml:space="preserve"> </w:t>
      </w:r>
      <w:r>
        <w:rPr>
          <w:rFonts w:ascii="Arial" w:hAnsi="Arial" w:cs="Arial"/>
          <w:szCs w:val="24"/>
        </w:rPr>
        <w:t>Федерације</w:t>
      </w:r>
      <w:r w:rsidR="007B6BE3" w:rsidRPr="0087376B">
        <w:rPr>
          <w:rFonts w:ascii="Arial" w:hAnsi="Arial" w:cs="Arial"/>
          <w:szCs w:val="24"/>
        </w:rPr>
        <w:t xml:space="preserve"> </w:t>
      </w:r>
      <w:r>
        <w:rPr>
          <w:rFonts w:ascii="Arial" w:hAnsi="Arial" w:cs="Arial"/>
          <w:szCs w:val="24"/>
        </w:rPr>
        <w:t>БиХ</w:t>
      </w:r>
      <w:r w:rsidR="007B6BE3" w:rsidRPr="0087376B">
        <w:rPr>
          <w:rFonts w:ascii="Arial" w:hAnsi="Arial" w:cs="Arial"/>
          <w:szCs w:val="24"/>
        </w:rPr>
        <w:t xml:space="preserve"> 2023 – 2025. </w:t>
      </w:r>
      <w:r>
        <w:rPr>
          <w:rFonts w:ascii="Arial" w:hAnsi="Arial" w:cs="Arial"/>
          <w:szCs w:val="24"/>
        </w:rPr>
        <w:t>година</w:t>
      </w:r>
      <w:r w:rsidR="007B6BE3" w:rsidRPr="0087376B">
        <w:rPr>
          <w:rFonts w:ascii="Arial" w:hAnsi="Arial" w:cs="Arial"/>
          <w:szCs w:val="24"/>
        </w:rPr>
        <w:t xml:space="preserve"> (</w:t>
      </w:r>
      <w:r>
        <w:rPr>
          <w:rFonts w:ascii="Arial" w:hAnsi="Arial" w:cs="Arial"/>
          <w:szCs w:val="24"/>
        </w:rPr>
        <w:t>ПЈИ</w:t>
      </w:r>
      <w:r w:rsidR="007B6BE3" w:rsidRPr="0087376B">
        <w:rPr>
          <w:rFonts w:ascii="Arial" w:hAnsi="Arial" w:cs="Arial"/>
          <w:szCs w:val="24"/>
        </w:rPr>
        <w:t xml:space="preserve"> </w:t>
      </w:r>
      <w:r>
        <w:rPr>
          <w:rFonts w:ascii="Arial" w:hAnsi="Arial" w:cs="Arial"/>
          <w:szCs w:val="24"/>
        </w:rPr>
        <w:t>ФБиХ</w:t>
      </w:r>
      <w:r w:rsidR="007B6BE3" w:rsidRPr="0087376B">
        <w:rPr>
          <w:rFonts w:ascii="Arial" w:hAnsi="Arial" w:cs="Arial"/>
          <w:szCs w:val="24"/>
        </w:rPr>
        <w:t xml:space="preserve"> 2023 – 2025.) </w:t>
      </w:r>
      <w:r>
        <w:rPr>
          <w:rFonts w:ascii="Arial" w:hAnsi="Arial" w:cs="Arial"/>
          <w:szCs w:val="24"/>
        </w:rPr>
        <w:t>и</w:t>
      </w:r>
      <w:r w:rsidR="007B6BE3" w:rsidRPr="0087376B">
        <w:rPr>
          <w:rFonts w:ascii="Arial" w:hAnsi="Arial" w:cs="Arial"/>
          <w:szCs w:val="24"/>
        </w:rPr>
        <w:t xml:space="preserve"> </w:t>
      </w:r>
      <w:r>
        <w:rPr>
          <w:rFonts w:ascii="Arial" w:hAnsi="Arial" w:cs="Arial"/>
          <w:szCs w:val="24"/>
        </w:rPr>
        <w:t>Документу</w:t>
      </w:r>
      <w:r w:rsidR="007B6BE3" w:rsidRPr="0087376B">
        <w:rPr>
          <w:rFonts w:ascii="Arial" w:hAnsi="Arial" w:cs="Arial"/>
          <w:szCs w:val="24"/>
        </w:rPr>
        <w:t xml:space="preserve"> </w:t>
      </w:r>
      <w:r>
        <w:rPr>
          <w:rFonts w:ascii="Arial" w:hAnsi="Arial" w:cs="Arial"/>
          <w:szCs w:val="24"/>
        </w:rPr>
        <w:t>оквирног</w:t>
      </w:r>
      <w:r w:rsidR="007B6BE3" w:rsidRPr="0087376B">
        <w:rPr>
          <w:rFonts w:ascii="Arial" w:hAnsi="Arial" w:cs="Arial"/>
          <w:szCs w:val="24"/>
        </w:rPr>
        <w:t xml:space="preserve"> </w:t>
      </w:r>
      <w:r>
        <w:rPr>
          <w:rFonts w:ascii="Arial" w:hAnsi="Arial" w:cs="Arial"/>
          <w:szCs w:val="24"/>
        </w:rPr>
        <w:t>буџета</w:t>
      </w:r>
      <w:r w:rsidR="007B6BE3" w:rsidRPr="0087376B">
        <w:rPr>
          <w:rFonts w:ascii="Arial" w:hAnsi="Arial" w:cs="Arial"/>
          <w:szCs w:val="24"/>
        </w:rPr>
        <w:t xml:space="preserve"> </w:t>
      </w:r>
      <w:r>
        <w:rPr>
          <w:rFonts w:ascii="Arial" w:hAnsi="Arial" w:cs="Arial"/>
          <w:szCs w:val="24"/>
        </w:rPr>
        <w:t>Федерације</w:t>
      </w:r>
      <w:r w:rsidR="007B6BE3" w:rsidRPr="0087376B">
        <w:rPr>
          <w:rFonts w:ascii="Arial" w:hAnsi="Arial" w:cs="Arial"/>
          <w:szCs w:val="24"/>
        </w:rPr>
        <w:t xml:space="preserve"> </w:t>
      </w:r>
      <w:r>
        <w:rPr>
          <w:rFonts w:ascii="Arial" w:hAnsi="Arial" w:cs="Arial"/>
          <w:szCs w:val="24"/>
        </w:rPr>
        <w:t>БиХ</w:t>
      </w:r>
      <w:r w:rsidR="007B6BE3" w:rsidRPr="0087376B">
        <w:rPr>
          <w:rFonts w:ascii="Arial" w:hAnsi="Arial" w:cs="Arial"/>
          <w:szCs w:val="24"/>
        </w:rPr>
        <w:t xml:space="preserve"> 2023 – 2025. </w:t>
      </w:r>
      <w:r>
        <w:rPr>
          <w:rFonts w:ascii="Arial" w:hAnsi="Arial" w:cs="Arial"/>
          <w:szCs w:val="24"/>
        </w:rPr>
        <w:t>године</w:t>
      </w:r>
      <w:r w:rsidR="007B6BE3" w:rsidRPr="0087376B">
        <w:rPr>
          <w:rFonts w:ascii="Arial" w:hAnsi="Arial" w:cs="Arial"/>
          <w:szCs w:val="24"/>
        </w:rPr>
        <w:t xml:space="preserve">. </w:t>
      </w:r>
      <w:r>
        <w:rPr>
          <w:rFonts w:ascii="Arial" w:hAnsi="Arial" w:cs="Arial"/>
          <w:szCs w:val="24"/>
        </w:rPr>
        <w:t>Стратегија</w:t>
      </w:r>
      <w:r w:rsidR="007B6BE3" w:rsidRPr="0087376B">
        <w:rPr>
          <w:rFonts w:ascii="Arial" w:hAnsi="Arial" w:cs="Arial"/>
          <w:szCs w:val="24"/>
        </w:rPr>
        <w:t xml:space="preserve"> </w:t>
      </w:r>
      <w:r>
        <w:rPr>
          <w:rFonts w:ascii="Arial" w:hAnsi="Arial" w:cs="Arial"/>
          <w:szCs w:val="24"/>
        </w:rPr>
        <w:t>садржи</w:t>
      </w:r>
      <w:r w:rsidR="007B6BE3" w:rsidRPr="0087376B">
        <w:rPr>
          <w:rFonts w:ascii="Arial" w:hAnsi="Arial" w:cs="Arial"/>
          <w:szCs w:val="24"/>
        </w:rPr>
        <w:t xml:space="preserve"> </w:t>
      </w:r>
      <w:r>
        <w:rPr>
          <w:rFonts w:ascii="Arial" w:hAnsi="Arial" w:cs="Arial"/>
          <w:szCs w:val="24"/>
        </w:rPr>
        <w:t>планове</w:t>
      </w:r>
      <w:r w:rsidR="007B6BE3" w:rsidRPr="0087376B">
        <w:rPr>
          <w:rFonts w:ascii="Arial" w:hAnsi="Arial" w:cs="Arial"/>
          <w:szCs w:val="24"/>
        </w:rPr>
        <w:t xml:space="preserve"> </w:t>
      </w:r>
      <w:r>
        <w:rPr>
          <w:rFonts w:ascii="Arial" w:hAnsi="Arial" w:cs="Arial"/>
          <w:szCs w:val="24"/>
        </w:rPr>
        <w:t>финансирања</w:t>
      </w:r>
      <w:r w:rsidR="007B6BE3" w:rsidRPr="0087376B">
        <w:rPr>
          <w:rFonts w:ascii="Arial" w:hAnsi="Arial" w:cs="Arial"/>
          <w:szCs w:val="24"/>
        </w:rPr>
        <w:t xml:space="preserve"> </w:t>
      </w:r>
      <w:r>
        <w:rPr>
          <w:rFonts w:ascii="Arial" w:hAnsi="Arial" w:cs="Arial"/>
          <w:szCs w:val="24"/>
        </w:rPr>
        <w:t>потреба</w:t>
      </w:r>
      <w:r w:rsidR="007B6BE3" w:rsidRPr="0087376B">
        <w:rPr>
          <w:rFonts w:ascii="Arial" w:hAnsi="Arial" w:cs="Arial"/>
          <w:szCs w:val="24"/>
        </w:rPr>
        <w:t xml:space="preserve"> </w:t>
      </w:r>
      <w:r>
        <w:rPr>
          <w:rFonts w:ascii="Arial" w:hAnsi="Arial" w:cs="Arial"/>
          <w:szCs w:val="24"/>
        </w:rPr>
        <w:t>Владе</w:t>
      </w:r>
      <w:r w:rsidR="007B6BE3" w:rsidRPr="0087376B">
        <w:rPr>
          <w:rFonts w:ascii="Arial" w:hAnsi="Arial" w:cs="Arial"/>
          <w:szCs w:val="24"/>
        </w:rPr>
        <w:t xml:space="preserve"> </w:t>
      </w:r>
      <w:r>
        <w:rPr>
          <w:rFonts w:ascii="Arial" w:hAnsi="Arial" w:cs="Arial"/>
          <w:szCs w:val="24"/>
        </w:rPr>
        <w:t>Федерације</w:t>
      </w:r>
      <w:r w:rsidR="007B6BE3" w:rsidRPr="0087376B">
        <w:rPr>
          <w:rFonts w:ascii="Arial" w:hAnsi="Arial" w:cs="Arial"/>
          <w:szCs w:val="24"/>
        </w:rPr>
        <w:t xml:space="preserve"> </w:t>
      </w:r>
      <w:r>
        <w:rPr>
          <w:rFonts w:ascii="Arial" w:hAnsi="Arial" w:cs="Arial"/>
          <w:szCs w:val="24"/>
        </w:rPr>
        <w:t>БиХ</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наредне</w:t>
      </w:r>
      <w:r w:rsidR="007B6BE3" w:rsidRPr="0087376B">
        <w:rPr>
          <w:rFonts w:ascii="Arial" w:hAnsi="Arial" w:cs="Arial"/>
          <w:szCs w:val="24"/>
        </w:rPr>
        <w:t xml:space="preserve"> </w:t>
      </w:r>
      <w:r>
        <w:rPr>
          <w:rFonts w:ascii="Arial" w:hAnsi="Arial" w:cs="Arial"/>
          <w:szCs w:val="24"/>
        </w:rPr>
        <w:t>три</w:t>
      </w:r>
      <w:r w:rsidR="007B6BE3" w:rsidRPr="0087376B">
        <w:rPr>
          <w:rFonts w:ascii="Arial" w:hAnsi="Arial" w:cs="Arial"/>
          <w:szCs w:val="24"/>
        </w:rPr>
        <w:t xml:space="preserve"> </w:t>
      </w:r>
      <w:r>
        <w:rPr>
          <w:rFonts w:ascii="Arial" w:hAnsi="Arial" w:cs="Arial"/>
          <w:szCs w:val="24"/>
        </w:rPr>
        <w:t>године</w:t>
      </w:r>
      <w:r w:rsidR="007B6BE3" w:rsidRPr="0087376B">
        <w:rPr>
          <w:rFonts w:ascii="Arial" w:hAnsi="Arial" w:cs="Arial"/>
          <w:szCs w:val="24"/>
        </w:rPr>
        <w:t xml:space="preserve"> </w:t>
      </w:r>
      <w:r>
        <w:rPr>
          <w:rFonts w:ascii="Arial" w:hAnsi="Arial" w:cs="Arial"/>
          <w:szCs w:val="24"/>
        </w:rPr>
        <w:t>како</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спољном</w:t>
      </w:r>
      <w:r w:rsidR="007B6BE3" w:rsidRPr="0087376B">
        <w:rPr>
          <w:rFonts w:ascii="Arial" w:hAnsi="Arial" w:cs="Arial"/>
          <w:szCs w:val="24"/>
        </w:rPr>
        <w:t xml:space="preserve"> </w:t>
      </w:r>
      <w:r>
        <w:rPr>
          <w:rFonts w:ascii="Arial" w:hAnsi="Arial" w:cs="Arial"/>
          <w:szCs w:val="24"/>
        </w:rPr>
        <w:t>тако</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унутрашњем</w:t>
      </w:r>
      <w:r w:rsidR="007B6BE3" w:rsidRPr="0087376B">
        <w:rPr>
          <w:rFonts w:ascii="Arial" w:hAnsi="Arial" w:cs="Arial"/>
          <w:szCs w:val="24"/>
        </w:rPr>
        <w:t xml:space="preserve"> </w:t>
      </w:r>
      <w:r>
        <w:rPr>
          <w:rFonts w:ascii="Arial" w:hAnsi="Arial" w:cs="Arial"/>
          <w:szCs w:val="24"/>
        </w:rPr>
        <w:t>тржишту</w:t>
      </w:r>
      <w:r w:rsidR="007B6BE3" w:rsidRPr="0087376B">
        <w:rPr>
          <w:rFonts w:ascii="Arial" w:hAnsi="Arial" w:cs="Arial"/>
          <w:szCs w:val="24"/>
        </w:rPr>
        <w:t xml:space="preserve">, </w:t>
      </w:r>
      <w:r>
        <w:rPr>
          <w:rFonts w:ascii="Arial" w:hAnsi="Arial" w:cs="Arial"/>
          <w:szCs w:val="24"/>
        </w:rPr>
        <w:t>те</w:t>
      </w:r>
      <w:r w:rsidR="007B6BE3" w:rsidRPr="0087376B">
        <w:rPr>
          <w:rFonts w:ascii="Arial" w:hAnsi="Arial" w:cs="Arial"/>
          <w:szCs w:val="24"/>
        </w:rPr>
        <w:t xml:space="preserve"> </w:t>
      </w:r>
      <w:r>
        <w:rPr>
          <w:rFonts w:ascii="Arial" w:hAnsi="Arial" w:cs="Arial"/>
          <w:szCs w:val="24"/>
        </w:rPr>
        <w:t>индикативне</w:t>
      </w:r>
      <w:r w:rsidR="007B6BE3" w:rsidRPr="0087376B">
        <w:rPr>
          <w:rFonts w:ascii="Arial" w:hAnsi="Arial" w:cs="Arial"/>
          <w:szCs w:val="24"/>
        </w:rPr>
        <w:t xml:space="preserve"> </w:t>
      </w:r>
      <w:r>
        <w:rPr>
          <w:rFonts w:ascii="Arial" w:hAnsi="Arial" w:cs="Arial"/>
          <w:szCs w:val="24"/>
        </w:rPr>
        <w:t>мјере</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алате</w:t>
      </w:r>
      <w:r w:rsidR="007B6BE3" w:rsidRPr="0087376B">
        <w:rPr>
          <w:rFonts w:ascii="Arial" w:hAnsi="Arial" w:cs="Arial"/>
          <w:szCs w:val="24"/>
        </w:rPr>
        <w:t xml:space="preserve"> </w:t>
      </w:r>
      <w:r>
        <w:rPr>
          <w:rFonts w:ascii="Arial" w:hAnsi="Arial" w:cs="Arial"/>
          <w:szCs w:val="24"/>
        </w:rPr>
        <w:t>потребне</w:t>
      </w:r>
      <w:r w:rsidR="007B6BE3" w:rsidRPr="0087376B">
        <w:rPr>
          <w:rFonts w:ascii="Arial" w:hAnsi="Arial" w:cs="Arial"/>
          <w:szCs w:val="24"/>
        </w:rPr>
        <w:t xml:space="preserve"> </w:t>
      </w:r>
      <w:r>
        <w:rPr>
          <w:rFonts w:ascii="Arial" w:hAnsi="Arial" w:cs="Arial"/>
          <w:szCs w:val="24"/>
        </w:rPr>
        <w:t>за</w:t>
      </w:r>
      <w:r w:rsidR="007B6BE3" w:rsidRPr="0087376B">
        <w:rPr>
          <w:rFonts w:ascii="Arial" w:hAnsi="Arial" w:cs="Arial"/>
          <w:szCs w:val="24"/>
        </w:rPr>
        <w:t xml:space="preserve"> </w:t>
      </w:r>
      <w:r>
        <w:rPr>
          <w:rFonts w:ascii="Arial" w:hAnsi="Arial" w:cs="Arial"/>
          <w:szCs w:val="24"/>
        </w:rPr>
        <w:t>достизање</w:t>
      </w:r>
      <w:r w:rsidR="007B6BE3" w:rsidRPr="0087376B">
        <w:rPr>
          <w:rFonts w:ascii="Arial" w:hAnsi="Arial" w:cs="Arial"/>
          <w:szCs w:val="24"/>
        </w:rPr>
        <w:t xml:space="preserve"> </w:t>
      </w:r>
      <w:r>
        <w:rPr>
          <w:rFonts w:ascii="Arial" w:hAnsi="Arial" w:cs="Arial"/>
          <w:szCs w:val="24"/>
        </w:rPr>
        <w:t>усвојених</w:t>
      </w:r>
      <w:r w:rsidR="007B6BE3" w:rsidRPr="0087376B">
        <w:rPr>
          <w:rFonts w:ascii="Arial" w:hAnsi="Arial" w:cs="Arial"/>
          <w:szCs w:val="24"/>
        </w:rPr>
        <w:t xml:space="preserve"> </w:t>
      </w:r>
      <w:r>
        <w:rPr>
          <w:rFonts w:ascii="Arial" w:hAnsi="Arial" w:cs="Arial"/>
          <w:szCs w:val="24"/>
        </w:rPr>
        <w:t>стратешких</w:t>
      </w:r>
      <w:r w:rsidR="007B6BE3" w:rsidRPr="0087376B">
        <w:rPr>
          <w:rFonts w:ascii="Arial" w:hAnsi="Arial" w:cs="Arial"/>
          <w:szCs w:val="24"/>
        </w:rPr>
        <w:t xml:space="preserve"> </w:t>
      </w:r>
      <w:r>
        <w:rPr>
          <w:rFonts w:ascii="Arial" w:hAnsi="Arial" w:cs="Arial"/>
          <w:szCs w:val="24"/>
        </w:rPr>
        <w:t>циљева</w:t>
      </w:r>
      <w:r w:rsidR="007B6BE3" w:rsidRPr="0087376B">
        <w:rPr>
          <w:rFonts w:ascii="Arial" w:hAnsi="Arial" w:cs="Arial"/>
          <w:szCs w:val="24"/>
        </w:rPr>
        <w:t>.</w:t>
      </w:r>
    </w:p>
    <w:p w14:paraId="51F82F58" w14:textId="77777777" w:rsidR="007B6BE3" w:rsidRPr="0087376B" w:rsidRDefault="007B6BE3" w:rsidP="007B6BE3">
      <w:pPr>
        <w:spacing w:after="0" w:line="240" w:lineRule="auto"/>
      </w:pPr>
    </w:p>
    <w:p w14:paraId="393D317D" w14:textId="77777777" w:rsidR="007B6BE3" w:rsidRPr="0087376B" w:rsidRDefault="007B6BE3" w:rsidP="007B6BE3">
      <w:pPr>
        <w:pStyle w:val="NoSpacing"/>
        <w:ind w:left="426"/>
        <w:jc w:val="both"/>
        <w:rPr>
          <w:rFonts w:ascii="Arial" w:hAnsi="Arial" w:cs="Arial"/>
          <w:sz w:val="24"/>
          <w:szCs w:val="24"/>
          <w:highlight w:val="yellow"/>
          <w:lang w:val="hr-HR"/>
        </w:rPr>
      </w:pPr>
    </w:p>
    <w:p w14:paraId="7BA05F2C" w14:textId="77777777" w:rsidR="007B6BE3" w:rsidRPr="0087376B" w:rsidRDefault="007B6BE3" w:rsidP="007B6BE3">
      <w:pPr>
        <w:pStyle w:val="NoSpacing"/>
        <w:spacing w:line="276" w:lineRule="auto"/>
        <w:ind w:firstLine="142"/>
        <w:jc w:val="both"/>
        <w:rPr>
          <w:rFonts w:ascii="Arial" w:hAnsi="Arial" w:cs="Arial"/>
          <w:szCs w:val="24"/>
          <w:lang w:val="hr-HR"/>
        </w:rPr>
      </w:pPr>
      <w:r w:rsidRPr="0087376B">
        <w:rPr>
          <w:rFonts w:ascii="Arial" w:hAnsi="Arial" w:cs="Arial"/>
          <w:szCs w:val="24"/>
          <w:lang w:val="hr-HR"/>
        </w:rPr>
        <w:t xml:space="preserve"> </w:t>
      </w:r>
    </w:p>
    <w:p w14:paraId="52702839" w14:textId="77777777" w:rsidR="007B6BE3" w:rsidRPr="0087376B" w:rsidRDefault="005B20F8" w:rsidP="007B6BE3">
      <w:pPr>
        <w:pStyle w:val="Heading1"/>
        <w:numPr>
          <w:ilvl w:val="0"/>
          <w:numId w:val="1"/>
        </w:numPr>
        <w:spacing w:before="0"/>
        <w:ind w:left="567" w:hanging="425"/>
        <w:jc w:val="both"/>
        <w:rPr>
          <w:rFonts w:ascii="Arial" w:hAnsi="Arial" w:cs="Arial"/>
          <w:b w:val="0"/>
          <w:color w:val="auto"/>
        </w:rPr>
      </w:pPr>
      <w:bookmarkStart w:id="1" w:name="_Toc149810601"/>
      <w:r>
        <w:rPr>
          <w:rFonts w:ascii="Arial" w:hAnsi="Arial" w:cs="Arial"/>
          <w:b w:val="0"/>
          <w:color w:val="auto"/>
        </w:rPr>
        <w:t>ЦИЉЕВИ</w:t>
      </w:r>
      <w:r w:rsidR="007B6BE3" w:rsidRPr="0087376B">
        <w:rPr>
          <w:rFonts w:ascii="Arial" w:hAnsi="Arial" w:cs="Arial"/>
          <w:b w:val="0"/>
          <w:color w:val="auto"/>
        </w:rPr>
        <w:t xml:space="preserve"> </w:t>
      </w:r>
      <w:r>
        <w:rPr>
          <w:rFonts w:ascii="Arial" w:hAnsi="Arial" w:cs="Arial"/>
          <w:b w:val="0"/>
          <w:color w:val="auto"/>
        </w:rPr>
        <w:t>И</w:t>
      </w:r>
      <w:r w:rsidR="007B6BE3" w:rsidRPr="0087376B">
        <w:rPr>
          <w:rFonts w:ascii="Arial" w:hAnsi="Arial" w:cs="Arial"/>
          <w:b w:val="0"/>
          <w:color w:val="auto"/>
        </w:rPr>
        <w:t xml:space="preserve"> </w:t>
      </w:r>
      <w:r>
        <w:rPr>
          <w:rFonts w:ascii="Arial" w:hAnsi="Arial" w:cs="Arial"/>
          <w:b w:val="0"/>
          <w:color w:val="auto"/>
        </w:rPr>
        <w:t>ОБУХВАТ</w:t>
      </w:r>
      <w:r w:rsidR="007B6BE3" w:rsidRPr="0087376B">
        <w:rPr>
          <w:rFonts w:ascii="Arial" w:hAnsi="Arial" w:cs="Arial"/>
          <w:b w:val="0"/>
          <w:color w:val="auto"/>
        </w:rPr>
        <w:t xml:space="preserve"> </w:t>
      </w:r>
      <w:r>
        <w:rPr>
          <w:rFonts w:ascii="Arial" w:hAnsi="Arial" w:cs="Arial"/>
          <w:b w:val="0"/>
          <w:color w:val="auto"/>
        </w:rPr>
        <w:t>СТРАТЕГИЈЕ</w:t>
      </w:r>
      <w:r w:rsidR="007B6BE3" w:rsidRPr="0087376B">
        <w:rPr>
          <w:rFonts w:ascii="Arial" w:hAnsi="Arial" w:cs="Arial"/>
          <w:b w:val="0"/>
          <w:color w:val="auto"/>
        </w:rPr>
        <w:t xml:space="preserve"> </w:t>
      </w:r>
      <w:r>
        <w:rPr>
          <w:rFonts w:ascii="Arial" w:hAnsi="Arial" w:cs="Arial"/>
          <w:b w:val="0"/>
          <w:color w:val="auto"/>
        </w:rPr>
        <w:t>УПРАВЉАЊА</w:t>
      </w:r>
      <w:r w:rsidR="007B6BE3" w:rsidRPr="0087376B">
        <w:rPr>
          <w:rFonts w:ascii="Arial" w:hAnsi="Arial" w:cs="Arial"/>
          <w:b w:val="0"/>
          <w:color w:val="auto"/>
        </w:rPr>
        <w:t xml:space="preserve"> </w:t>
      </w:r>
      <w:r>
        <w:rPr>
          <w:rFonts w:ascii="Arial" w:hAnsi="Arial" w:cs="Arial"/>
          <w:b w:val="0"/>
          <w:color w:val="auto"/>
        </w:rPr>
        <w:t>ДУГОМ</w:t>
      </w:r>
      <w:bookmarkEnd w:id="1"/>
    </w:p>
    <w:p w14:paraId="33C3FBAF" w14:textId="77777777" w:rsidR="007B6BE3" w:rsidRPr="0087376B" w:rsidRDefault="007B6BE3" w:rsidP="007B6BE3">
      <w:pPr>
        <w:pStyle w:val="NoSpacing"/>
        <w:rPr>
          <w:rFonts w:ascii="Arial" w:hAnsi="Arial" w:cs="Arial"/>
          <w:lang w:val="hr-HR"/>
        </w:rPr>
      </w:pPr>
    </w:p>
    <w:p w14:paraId="009B2E69" w14:textId="77777777" w:rsidR="007B6BE3" w:rsidRPr="0087376B" w:rsidRDefault="007B6BE3" w:rsidP="007B6BE3">
      <w:pPr>
        <w:pStyle w:val="NoSpacing"/>
        <w:rPr>
          <w:rFonts w:ascii="Arial" w:hAnsi="Arial" w:cs="Arial"/>
          <w:lang w:val="hr-HR"/>
        </w:rPr>
      </w:pPr>
    </w:p>
    <w:p w14:paraId="5C5030B5" w14:textId="77777777" w:rsidR="007B6BE3" w:rsidRPr="002642DB" w:rsidRDefault="005B20F8" w:rsidP="008F5CC8">
      <w:pPr>
        <w:pStyle w:val="Heading2"/>
        <w:numPr>
          <w:ilvl w:val="1"/>
          <w:numId w:val="1"/>
        </w:numPr>
        <w:spacing w:before="0"/>
        <w:ind w:left="993" w:hanging="709"/>
        <w:rPr>
          <w:rFonts w:ascii="Arial" w:hAnsi="Arial" w:cs="Arial"/>
          <w:b w:val="0"/>
          <w:color w:val="auto"/>
          <w:sz w:val="24"/>
          <w:szCs w:val="24"/>
        </w:rPr>
      </w:pPr>
      <w:bookmarkStart w:id="2" w:name="_Toc149810602"/>
      <w:r w:rsidRPr="002642DB">
        <w:rPr>
          <w:rFonts w:ascii="Arial" w:hAnsi="Arial" w:cs="Arial"/>
          <w:b w:val="0"/>
          <w:color w:val="auto"/>
          <w:sz w:val="24"/>
          <w:szCs w:val="24"/>
        </w:rPr>
        <w:t>Циљеви</w:t>
      </w:r>
      <w:r w:rsidR="007B6BE3" w:rsidRPr="002642DB">
        <w:rPr>
          <w:rFonts w:ascii="Arial" w:hAnsi="Arial" w:cs="Arial"/>
          <w:b w:val="0"/>
          <w:color w:val="auto"/>
          <w:sz w:val="24"/>
          <w:szCs w:val="24"/>
        </w:rPr>
        <w:t xml:space="preserve"> </w:t>
      </w:r>
      <w:r w:rsidRPr="002642DB">
        <w:rPr>
          <w:rFonts w:ascii="Arial" w:hAnsi="Arial" w:cs="Arial"/>
          <w:b w:val="0"/>
          <w:color w:val="auto"/>
          <w:sz w:val="24"/>
          <w:szCs w:val="24"/>
        </w:rPr>
        <w:t>управљања</w:t>
      </w:r>
      <w:r w:rsidR="007B6BE3" w:rsidRPr="002642DB">
        <w:rPr>
          <w:rFonts w:ascii="Arial" w:hAnsi="Arial" w:cs="Arial"/>
          <w:b w:val="0"/>
          <w:color w:val="auto"/>
          <w:sz w:val="24"/>
          <w:szCs w:val="24"/>
        </w:rPr>
        <w:t xml:space="preserve"> </w:t>
      </w:r>
      <w:r w:rsidRPr="002642DB">
        <w:rPr>
          <w:rFonts w:ascii="Arial" w:hAnsi="Arial" w:cs="Arial"/>
          <w:b w:val="0"/>
          <w:color w:val="auto"/>
          <w:sz w:val="24"/>
          <w:szCs w:val="24"/>
        </w:rPr>
        <w:t>дугом</w:t>
      </w:r>
      <w:bookmarkEnd w:id="2"/>
    </w:p>
    <w:p w14:paraId="0B69834C" w14:textId="77777777" w:rsidR="007B6BE3" w:rsidRPr="0087376B" w:rsidRDefault="007B6BE3" w:rsidP="007B6BE3">
      <w:pPr>
        <w:spacing w:after="0"/>
        <w:jc w:val="both"/>
      </w:pPr>
    </w:p>
    <w:p w14:paraId="69DEBCFE" w14:textId="77777777" w:rsidR="007B6BE3" w:rsidRPr="0087376B" w:rsidRDefault="005B20F8" w:rsidP="007B6BE3">
      <w:pPr>
        <w:pStyle w:val="NoSpacing"/>
        <w:spacing w:line="276" w:lineRule="auto"/>
        <w:jc w:val="both"/>
        <w:rPr>
          <w:rFonts w:ascii="Arial" w:hAnsi="Arial" w:cs="Arial"/>
          <w:lang w:val="hr-HR"/>
        </w:rPr>
      </w:pPr>
      <w:r>
        <w:rPr>
          <w:rFonts w:ascii="Arial" w:hAnsi="Arial" w:cs="Arial"/>
          <w:lang w:val="hr-HR"/>
        </w:rPr>
        <w:t>Циљеви</w:t>
      </w:r>
      <w:r w:rsidR="007B6BE3" w:rsidRPr="0087376B">
        <w:rPr>
          <w:rFonts w:ascii="Arial" w:hAnsi="Arial" w:cs="Arial"/>
          <w:lang w:val="hr-HR"/>
        </w:rPr>
        <w:t xml:space="preserve"> </w:t>
      </w:r>
      <w:r>
        <w:rPr>
          <w:rFonts w:ascii="Arial" w:hAnsi="Arial" w:cs="Arial"/>
          <w:lang w:val="hr-HR"/>
        </w:rPr>
        <w:t>управљања</w:t>
      </w:r>
      <w:r w:rsidR="007B6BE3" w:rsidRPr="0087376B">
        <w:rPr>
          <w:rFonts w:ascii="Arial" w:hAnsi="Arial" w:cs="Arial"/>
          <w:lang w:val="hr-HR"/>
        </w:rPr>
        <w:t xml:space="preserve"> </w:t>
      </w:r>
      <w:r>
        <w:rPr>
          <w:rFonts w:ascii="Arial" w:hAnsi="Arial" w:cs="Arial"/>
          <w:lang w:val="hr-HR"/>
        </w:rPr>
        <w:t>дугом</w:t>
      </w:r>
      <w:r w:rsidR="007B6BE3" w:rsidRPr="0087376B">
        <w:rPr>
          <w:rFonts w:ascii="Arial" w:hAnsi="Arial" w:cs="Arial"/>
          <w:lang w:val="hr-HR"/>
        </w:rPr>
        <w:t xml:space="preserve"> </w:t>
      </w:r>
      <w:r>
        <w:rPr>
          <w:rFonts w:ascii="Arial" w:hAnsi="Arial" w:cs="Arial"/>
          <w:lang w:val="hr-HR"/>
        </w:rPr>
        <w:t>Владе</w:t>
      </w:r>
      <w:r w:rsidR="007B6BE3" w:rsidRPr="0087376B">
        <w:rPr>
          <w:rFonts w:ascii="Arial" w:hAnsi="Arial" w:cs="Arial"/>
          <w:lang w:val="hr-HR"/>
        </w:rPr>
        <w:t xml:space="preserve"> </w:t>
      </w:r>
      <w:r>
        <w:rPr>
          <w:rFonts w:ascii="Arial" w:hAnsi="Arial" w:cs="Arial"/>
          <w:lang w:val="hr-HR"/>
        </w:rPr>
        <w:t>Федерације</w:t>
      </w:r>
      <w:r w:rsidR="007B6BE3" w:rsidRPr="0087376B">
        <w:rPr>
          <w:rFonts w:ascii="Arial" w:hAnsi="Arial" w:cs="Arial"/>
          <w:lang w:val="hr-HR"/>
        </w:rPr>
        <w:t xml:space="preserve"> </w:t>
      </w:r>
      <w:r>
        <w:rPr>
          <w:rFonts w:ascii="Arial" w:hAnsi="Arial" w:cs="Arial"/>
          <w:lang w:val="hr-HR"/>
        </w:rPr>
        <w:t>БиХ</w:t>
      </w:r>
      <w:r w:rsidR="007B6BE3" w:rsidRPr="0087376B">
        <w:rPr>
          <w:rFonts w:ascii="Arial" w:hAnsi="Arial" w:cs="Arial"/>
          <w:lang w:val="hr-HR"/>
        </w:rPr>
        <w:t xml:space="preserve"> </w:t>
      </w:r>
      <w:r>
        <w:rPr>
          <w:rFonts w:ascii="Arial" w:hAnsi="Arial" w:cs="Arial"/>
          <w:lang w:val="hr-HR"/>
        </w:rPr>
        <w:t>су</w:t>
      </w:r>
      <w:r w:rsidR="007B6BE3" w:rsidRPr="0087376B">
        <w:rPr>
          <w:rFonts w:ascii="Arial" w:hAnsi="Arial" w:cs="Arial"/>
          <w:lang w:val="hr-HR"/>
        </w:rPr>
        <w:t>:</w:t>
      </w:r>
    </w:p>
    <w:p w14:paraId="210559EE" w14:textId="77777777" w:rsidR="007B6BE3" w:rsidRPr="0087376B" w:rsidRDefault="007B6BE3" w:rsidP="007B6BE3">
      <w:pPr>
        <w:pStyle w:val="NoSpacing"/>
        <w:spacing w:line="276" w:lineRule="auto"/>
        <w:jc w:val="both"/>
        <w:rPr>
          <w:rFonts w:ascii="Arial" w:hAnsi="Arial" w:cs="Arial"/>
          <w:lang w:val="hr-HR"/>
        </w:rPr>
      </w:pPr>
    </w:p>
    <w:p w14:paraId="6557CA63" w14:textId="77777777" w:rsidR="007B6BE3" w:rsidRPr="0087376B" w:rsidRDefault="005B20F8" w:rsidP="007B6BE3">
      <w:pPr>
        <w:pStyle w:val="NoSpacing"/>
        <w:numPr>
          <w:ilvl w:val="0"/>
          <w:numId w:val="2"/>
        </w:numPr>
        <w:spacing w:line="276" w:lineRule="auto"/>
        <w:jc w:val="both"/>
        <w:rPr>
          <w:rFonts w:ascii="Arial" w:hAnsi="Arial" w:cs="Arial"/>
          <w:lang w:val="hr-HR"/>
        </w:rPr>
      </w:pPr>
      <w:r>
        <w:rPr>
          <w:rFonts w:ascii="Arial" w:hAnsi="Arial" w:cs="Arial"/>
          <w:lang w:val="hr-HR"/>
        </w:rPr>
        <w:t>осигурање</w:t>
      </w:r>
      <w:r w:rsidR="007B6BE3" w:rsidRPr="0087376B">
        <w:rPr>
          <w:rFonts w:ascii="Arial" w:hAnsi="Arial" w:cs="Arial"/>
          <w:lang w:val="hr-HR"/>
        </w:rPr>
        <w:t xml:space="preserve"> </w:t>
      </w:r>
      <w:r>
        <w:rPr>
          <w:rFonts w:ascii="Arial" w:hAnsi="Arial" w:cs="Arial"/>
          <w:lang w:val="hr-HR"/>
        </w:rPr>
        <w:t>финансијских</w:t>
      </w:r>
      <w:r w:rsidR="007B6BE3" w:rsidRPr="0087376B">
        <w:rPr>
          <w:rFonts w:ascii="Arial" w:hAnsi="Arial" w:cs="Arial"/>
          <w:lang w:val="hr-HR"/>
        </w:rPr>
        <w:t xml:space="preserve"> </w:t>
      </w:r>
      <w:r>
        <w:rPr>
          <w:rFonts w:ascii="Arial" w:hAnsi="Arial" w:cs="Arial"/>
          <w:lang w:val="hr-HR"/>
        </w:rPr>
        <w:t>средстава</w:t>
      </w:r>
      <w:r w:rsidR="007B6BE3" w:rsidRPr="0087376B">
        <w:rPr>
          <w:rFonts w:ascii="Arial" w:hAnsi="Arial" w:cs="Arial"/>
          <w:lang w:val="hr-HR"/>
        </w:rPr>
        <w:t xml:space="preserve"> </w:t>
      </w:r>
      <w:r>
        <w:rPr>
          <w:rFonts w:ascii="Arial" w:hAnsi="Arial" w:cs="Arial"/>
          <w:lang w:val="hr-HR"/>
        </w:rPr>
        <w:t>за</w:t>
      </w:r>
      <w:r w:rsidR="007B6BE3" w:rsidRPr="0087376B">
        <w:rPr>
          <w:rFonts w:ascii="Arial" w:hAnsi="Arial" w:cs="Arial"/>
          <w:lang w:val="hr-HR"/>
        </w:rPr>
        <w:t xml:space="preserve"> </w:t>
      </w:r>
      <w:r>
        <w:rPr>
          <w:rFonts w:ascii="Arial" w:hAnsi="Arial" w:cs="Arial"/>
          <w:lang w:val="hr-HR"/>
        </w:rPr>
        <w:t>финансирање</w:t>
      </w:r>
      <w:r w:rsidR="007B6BE3" w:rsidRPr="0087376B">
        <w:rPr>
          <w:rFonts w:ascii="Arial" w:hAnsi="Arial" w:cs="Arial"/>
          <w:lang w:val="hr-HR"/>
        </w:rPr>
        <w:t xml:space="preserve"> </w:t>
      </w:r>
      <w:r>
        <w:rPr>
          <w:rFonts w:ascii="Arial" w:hAnsi="Arial" w:cs="Arial"/>
          <w:lang w:val="hr-HR"/>
        </w:rPr>
        <w:t>владиних</w:t>
      </w:r>
      <w:r w:rsidR="007B6BE3" w:rsidRPr="0087376B">
        <w:rPr>
          <w:rFonts w:ascii="Arial" w:hAnsi="Arial" w:cs="Arial"/>
          <w:lang w:val="hr-HR"/>
        </w:rPr>
        <w:t xml:space="preserve"> </w:t>
      </w:r>
      <w:r>
        <w:rPr>
          <w:rFonts w:ascii="Arial" w:hAnsi="Arial" w:cs="Arial"/>
          <w:lang w:val="hr-HR"/>
        </w:rPr>
        <w:t>потреба</w:t>
      </w:r>
      <w:r w:rsidR="007B6BE3" w:rsidRPr="0087376B">
        <w:rPr>
          <w:rFonts w:ascii="Arial" w:hAnsi="Arial" w:cs="Arial"/>
          <w:lang w:val="hr-HR"/>
        </w:rPr>
        <w:t xml:space="preserve"> </w:t>
      </w:r>
      <w:r>
        <w:rPr>
          <w:rFonts w:ascii="Arial" w:hAnsi="Arial" w:cs="Arial"/>
          <w:lang w:val="hr-HR"/>
        </w:rPr>
        <w:t>уз</w:t>
      </w:r>
      <w:r w:rsidR="007B6BE3" w:rsidRPr="0087376B">
        <w:rPr>
          <w:rFonts w:ascii="Arial" w:hAnsi="Arial" w:cs="Arial"/>
          <w:lang w:val="hr-HR"/>
        </w:rPr>
        <w:t xml:space="preserve"> </w:t>
      </w:r>
      <w:r>
        <w:rPr>
          <w:rFonts w:ascii="Arial" w:hAnsi="Arial" w:cs="Arial"/>
          <w:lang w:val="hr-HR"/>
        </w:rPr>
        <w:t>прихватљиве</w:t>
      </w:r>
      <w:r w:rsidR="007B6BE3" w:rsidRPr="0087376B">
        <w:rPr>
          <w:rFonts w:ascii="Arial" w:hAnsi="Arial" w:cs="Arial"/>
          <w:lang w:val="hr-HR"/>
        </w:rPr>
        <w:t xml:space="preserve"> </w:t>
      </w:r>
      <w:r>
        <w:rPr>
          <w:rFonts w:ascii="Arial" w:hAnsi="Arial" w:cs="Arial"/>
          <w:lang w:val="hr-HR"/>
        </w:rPr>
        <w:t>трошкове</w:t>
      </w:r>
      <w:r w:rsidR="007B6BE3" w:rsidRPr="0087376B">
        <w:rPr>
          <w:rFonts w:ascii="Arial" w:hAnsi="Arial" w:cs="Arial"/>
          <w:lang w:val="hr-HR"/>
        </w:rPr>
        <w:t xml:space="preserve"> </w:t>
      </w:r>
      <w:r>
        <w:rPr>
          <w:rFonts w:ascii="Arial" w:hAnsi="Arial" w:cs="Arial"/>
          <w:lang w:val="hr-HR"/>
        </w:rPr>
        <w:t>и</w:t>
      </w:r>
      <w:r w:rsidR="007B6BE3" w:rsidRPr="0087376B">
        <w:rPr>
          <w:rFonts w:ascii="Arial" w:hAnsi="Arial" w:cs="Arial"/>
          <w:lang w:val="hr-HR"/>
        </w:rPr>
        <w:t xml:space="preserve"> </w:t>
      </w:r>
      <w:r>
        <w:rPr>
          <w:rFonts w:ascii="Arial" w:hAnsi="Arial" w:cs="Arial"/>
          <w:lang w:val="hr-HR"/>
        </w:rPr>
        <w:t>ризике</w:t>
      </w:r>
      <w:r w:rsidR="007B6BE3" w:rsidRPr="0087376B">
        <w:rPr>
          <w:rFonts w:ascii="Arial" w:hAnsi="Arial" w:cs="Arial"/>
          <w:lang w:val="hr-HR"/>
        </w:rPr>
        <w:t xml:space="preserve"> </w:t>
      </w:r>
      <w:r>
        <w:rPr>
          <w:rFonts w:ascii="Arial" w:hAnsi="Arial" w:cs="Arial"/>
          <w:lang w:val="hr-HR"/>
        </w:rPr>
        <w:t>у</w:t>
      </w:r>
      <w:r w:rsidR="007B6BE3" w:rsidRPr="0087376B">
        <w:rPr>
          <w:rFonts w:ascii="Arial" w:hAnsi="Arial" w:cs="Arial"/>
          <w:lang w:val="hr-HR"/>
        </w:rPr>
        <w:t xml:space="preserve"> </w:t>
      </w:r>
      <w:r>
        <w:rPr>
          <w:rFonts w:ascii="Arial" w:hAnsi="Arial" w:cs="Arial"/>
          <w:lang w:val="hr-HR"/>
        </w:rPr>
        <w:t>средњем</w:t>
      </w:r>
      <w:r w:rsidR="007B6BE3" w:rsidRPr="0087376B">
        <w:rPr>
          <w:rFonts w:ascii="Arial" w:hAnsi="Arial" w:cs="Arial"/>
          <w:lang w:val="hr-HR"/>
        </w:rPr>
        <w:t xml:space="preserve"> </w:t>
      </w:r>
      <w:r>
        <w:rPr>
          <w:rFonts w:ascii="Arial" w:hAnsi="Arial" w:cs="Arial"/>
          <w:lang w:val="hr-HR"/>
        </w:rPr>
        <w:t>и</w:t>
      </w:r>
      <w:r w:rsidR="007B6BE3" w:rsidRPr="0087376B">
        <w:rPr>
          <w:rFonts w:ascii="Arial" w:hAnsi="Arial" w:cs="Arial"/>
          <w:lang w:val="hr-HR"/>
        </w:rPr>
        <w:t xml:space="preserve"> </w:t>
      </w:r>
      <w:r>
        <w:rPr>
          <w:rFonts w:ascii="Arial" w:hAnsi="Arial" w:cs="Arial"/>
          <w:lang w:val="hr-HR"/>
        </w:rPr>
        <w:t>дугом</w:t>
      </w:r>
      <w:r w:rsidR="007B6BE3" w:rsidRPr="0087376B">
        <w:rPr>
          <w:rFonts w:ascii="Arial" w:hAnsi="Arial" w:cs="Arial"/>
          <w:lang w:val="hr-HR"/>
        </w:rPr>
        <w:t xml:space="preserve"> </w:t>
      </w:r>
      <w:r>
        <w:rPr>
          <w:rFonts w:ascii="Arial" w:hAnsi="Arial" w:cs="Arial"/>
          <w:lang w:val="hr-HR"/>
        </w:rPr>
        <w:t>року</w:t>
      </w:r>
      <w:r w:rsidR="007B6BE3" w:rsidRPr="0087376B">
        <w:rPr>
          <w:rFonts w:ascii="Arial" w:hAnsi="Arial" w:cs="Arial"/>
          <w:lang w:val="hr-HR"/>
        </w:rPr>
        <w:t xml:space="preserve">; </w:t>
      </w:r>
    </w:p>
    <w:p w14:paraId="73FC2A61" w14:textId="77777777" w:rsidR="007B6BE3" w:rsidRPr="0087376B" w:rsidRDefault="005B20F8" w:rsidP="007B6BE3">
      <w:pPr>
        <w:pStyle w:val="NoSpacing"/>
        <w:numPr>
          <w:ilvl w:val="0"/>
          <w:numId w:val="2"/>
        </w:numPr>
        <w:spacing w:line="276" w:lineRule="auto"/>
        <w:jc w:val="both"/>
        <w:rPr>
          <w:rFonts w:ascii="Arial" w:hAnsi="Arial" w:cs="Arial"/>
          <w:lang w:val="hr-HR"/>
        </w:rPr>
      </w:pPr>
      <w:r>
        <w:rPr>
          <w:rFonts w:ascii="Arial" w:hAnsi="Arial" w:cs="Arial"/>
          <w:lang w:val="hr-HR"/>
        </w:rPr>
        <w:t>развој</w:t>
      </w:r>
      <w:r w:rsidR="007B6BE3" w:rsidRPr="0087376B">
        <w:rPr>
          <w:rFonts w:ascii="Arial" w:hAnsi="Arial" w:cs="Arial"/>
          <w:lang w:val="hr-HR"/>
        </w:rPr>
        <w:t xml:space="preserve"> </w:t>
      </w:r>
      <w:r>
        <w:rPr>
          <w:rFonts w:ascii="Arial" w:hAnsi="Arial" w:cs="Arial"/>
          <w:lang w:val="hr-HR"/>
        </w:rPr>
        <w:t>домаћег</w:t>
      </w:r>
      <w:r w:rsidR="007B6BE3" w:rsidRPr="0087376B">
        <w:rPr>
          <w:rFonts w:ascii="Arial" w:hAnsi="Arial" w:cs="Arial"/>
          <w:lang w:val="hr-HR"/>
        </w:rPr>
        <w:t xml:space="preserve"> </w:t>
      </w:r>
      <w:r>
        <w:rPr>
          <w:rFonts w:ascii="Arial" w:hAnsi="Arial" w:cs="Arial"/>
          <w:lang w:val="hr-HR"/>
        </w:rPr>
        <w:t>тржишта</w:t>
      </w:r>
      <w:r w:rsidR="007B6BE3" w:rsidRPr="0087376B">
        <w:rPr>
          <w:rFonts w:ascii="Arial" w:hAnsi="Arial" w:cs="Arial"/>
          <w:lang w:val="hr-HR"/>
        </w:rPr>
        <w:t xml:space="preserve"> </w:t>
      </w:r>
      <w:r>
        <w:rPr>
          <w:rFonts w:ascii="Arial" w:hAnsi="Arial" w:cs="Arial"/>
          <w:lang w:val="hr-HR"/>
        </w:rPr>
        <w:t>хартија</w:t>
      </w:r>
      <w:r w:rsidR="009D7230">
        <w:rPr>
          <w:rFonts w:ascii="Arial" w:hAnsi="Arial" w:cs="Arial"/>
          <w:lang w:val="hr-HR"/>
        </w:rPr>
        <w:t xml:space="preserve"> </w:t>
      </w:r>
      <w:r>
        <w:rPr>
          <w:rFonts w:ascii="Arial" w:hAnsi="Arial" w:cs="Arial"/>
          <w:lang w:val="hr-HR"/>
        </w:rPr>
        <w:t>од</w:t>
      </w:r>
      <w:r w:rsidR="009D7230">
        <w:rPr>
          <w:rFonts w:ascii="Arial" w:hAnsi="Arial" w:cs="Arial"/>
          <w:lang w:val="hr-HR"/>
        </w:rPr>
        <w:t xml:space="preserve"> </w:t>
      </w:r>
      <w:r>
        <w:rPr>
          <w:rFonts w:ascii="Arial" w:hAnsi="Arial" w:cs="Arial"/>
          <w:lang w:val="hr-HR"/>
        </w:rPr>
        <w:t>вриједности</w:t>
      </w:r>
      <w:r w:rsidR="007B6BE3" w:rsidRPr="0087376B">
        <w:rPr>
          <w:rFonts w:ascii="Arial" w:hAnsi="Arial" w:cs="Arial"/>
          <w:lang w:val="hr-HR"/>
        </w:rPr>
        <w:t>.</w:t>
      </w:r>
    </w:p>
    <w:p w14:paraId="2BF2B317" w14:textId="77777777" w:rsidR="007B6BE3" w:rsidRPr="0087376B" w:rsidRDefault="007B6BE3" w:rsidP="007B6BE3">
      <w:pPr>
        <w:pStyle w:val="NoSpacing"/>
        <w:spacing w:line="276" w:lineRule="auto"/>
        <w:ind w:left="720"/>
        <w:jc w:val="both"/>
        <w:rPr>
          <w:rFonts w:ascii="Arial" w:hAnsi="Arial" w:cs="Arial"/>
          <w:lang w:val="hr-HR"/>
        </w:rPr>
      </w:pPr>
    </w:p>
    <w:p w14:paraId="18CD49E8" w14:textId="77777777" w:rsidR="007B6BE3" w:rsidRPr="0092788C" w:rsidRDefault="005B20F8" w:rsidP="008F5CC8">
      <w:pPr>
        <w:pStyle w:val="Heading2"/>
        <w:numPr>
          <w:ilvl w:val="1"/>
          <w:numId w:val="1"/>
        </w:numPr>
        <w:spacing w:before="0"/>
        <w:ind w:left="993" w:hanging="709"/>
        <w:rPr>
          <w:rFonts w:ascii="Arial" w:hAnsi="Arial" w:cs="Arial"/>
          <w:b w:val="0"/>
          <w:color w:val="auto"/>
          <w:sz w:val="24"/>
          <w:szCs w:val="24"/>
        </w:rPr>
      </w:pPr>
      <w:bookmarkStart w:id="3" w:name="_Toc149810603"/>
      <w:r w:rsidRPr="0092788C">
        <w:rPr>
          <w:rFonts w:ascii="Arial" w:hAnsi="Arial" w:cs="Arial"/>
          <w:b w:val="0"/>
          <w:color w:val="auto"/>
          <w:sz w:val="24"/>
          <w:szCs w:val="24"/>
        </w:rPr>
        <w:t>Обухват</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Стратегије</w:t>
      </w:r>
      <w:bookmarkEnd w:id="3"/>
    </w:p>
    <w:p w14:paraId="169906E0" w14:textId="77777777" w:rsidR="007B6BE3" w:rsidRPr="0087376B" w:rsidRDefault="007B6BE3" w:rsidP="007B6BE3">
      <w:pPr>
        <w:pStyle w:val="NoSpacing"/>
        <w:spacing w:line="276" w:lineRule="auto"/>
        <w:ind w:firstLine="360"/>
        <w:jc w:val="both"/>
        <w:rPr>
          <w:rFonts w:ascii="Arial" w:hAnsi="Arial" w:cs="Arial"/>
          <w:lang w:val="hr-HR"/>
        </w:rPr>
      </w:pPr>
    </w:p>
    <w:p w14:paraId="07A97EB1" w14:textId="77777777" w:rsidR="007B6BE3" w:rsidRPr="0087376B" w:rsidRDefault="005B20F8" w:rsidP="007B6BE3">
      <w:pPr>
        <w:pStyle w:val="NoSpacing"/>
        <w:spacing w:line="276" w:lineRule="auto"/>
        <w:ind w:firstLine="360"/>
        <w:jc w:val="both"/>
        <w:rPr>
          <w:rFonts w:ascii="Arial" w:hAnsi="Arial" w:cs="Arial"/>
          <w:lang w:val="hr-HR"/>
        </w:rPr>
      </w:pPr>
      <w:r>
        <w:rPr>
          <w:rFonts w:ascii="Arial" w:hAnsi="Arial" w:cs="Arial"/>
          <w:lang w:val="hr-HR"/>
        </w:rPr>
        <w:t>Стратегија</w:t>
      </w:r>
      <w:r w:rsidR="007B6BE3" w:rsidRPr="0087376B">
        <w:rPr>
          <w:rFonts w:ascii="Arial" w:hAnsi="Arial" w:cs="Arial"/>
          <w:lang w:val="hr-HR"/>
        </w:rPr>
        <w:t xml:space="preserve"> </w:t>
      </w:r>
      <w:r>
        <w:rPr>
          <w:rFonts w:ascii="Arial" w:hAnsi="Arial" w:cs="Arial"/>
          <w:lang w:val="hr-HR"/>
        </w:rPr>
        <w:t>обухвата</w:t>
      </w:r>
      <w:r w:rsidR="007B6BE3" w:rsidRPr="0087376B">
        <w:rPr>
          <w:rFonts w:ascii="Arial" w:hAnsi="Arial" w:cs="Arial"/>
          <w:lang w:val="hr-HR"/>
        </w:rPr>
        <w:t xml:space="preserve"> </w:t>
      </w:r>
      <w:r>
        <w:rPr>
          <w:rFonts w:ascii="Arial" w:hAnsi="Arial" w:cs="Arial"/>
          <w:lang w:val="hr-HR"/>
        </w:rPr>
        <w:t>портфолио</w:t>
      </w:r>
      <w:r w:rsidR="007B6BE3" w:rsidRPr="0087376B">
        <w:rPr>
          <w:rFonts w:ascii="Arial" w:hAnsi="Arial" w:cs="Arial"/>
          <w:lang w:val="hr-HR"/>
        </w:rPr>
        <w:t xml:space="preserve"> </w:t>
      </w:r>
      <w:r>
        <w:rPr>
          <w:rFonts w:ascii="Arial" w:hAnsi="Arial" w:cs="Arial"/>
          <w:lang w:val="hr-HR"/>
        </w:rPr>
        <w:t>дуга</w:t>
      </w:r>
      <w:r w:rsidR="007B6BE3" w:rsidRPr="0087376B">
        <w:rPr>
          <w:rFonts w:ascii="Arial" w:hAnsi="Arial" w:cs="Arial"/>
          <w:lang w:val="hr-HR"/>
        </w:rPr>
        <w:t xml:space="preserve"> </w:t>
      </w:r>
      <w:r>
        <w:rPr>
          <w:rFonts w:ascii="Arial" w:hAnsi="Arial" w:cs="Arial"/>
          <w:lang w:val="hr-HR"/>
        </w:rPr>
        <w:t>на</w:t>
      </w:r>
      <w:r w:rsidR="007B6BE3" w:rsidRPr="0087376B">
        <w:rPr>
          <w:rFonts w:ascii="Arial" w:hAnsi="Arial" w:cs="Arial"/>
          <w:lang w:val="hr-HR"/>
        </w:rPr>
        <w:t xml:space="preserve"> </w:t>
      </w:r>
      <w:r>
        <w:rPr>
          <w:rFonts w:ascii="Arial" w:hAnsi="Arial" w:cs="Arial"/>
          <w:lang w:val="hr-HR"/>
        </w:rPr>
        <w:t>дан</w:t>
      </w:r>
      <w:r w:rsidR="007B6BE3" w:rsidRPr="0087376B">
        <w:rPr>
          <w:rFonts w:ascii="Arial" w:hAnsi="Arial" w:cs="Arial"/>
          <w:lang w:val="hr-HR"/>
        </w:rPr>
        <w:t xml:space="preserve"> 31.12.2022. </w:t>
      </w:r>
      <w:r>
        <w:rPr>
          <w:rFonts w:ascii="Arial" w:hAnsi="Arial" w:cs="Arial"/>
          <w:lang w:val="hr-HR"/>
        </w:rPr>
        <w:t>године</w:t>
      </w:r>
      <w:r w:rsidR="007B6BE3" w:rsidRPr="0087376B">
        <w:rPr>
          <w:rFonts w:ascii="Arial" w:hAnsi="Arial" w:cs="Arial"/>
          <w:lang w:val="hr-HR"/>
        </w:rPr>
        <w:t xml:space="preserve"> </w:t>
      </w:r>
      <w:r>
        <w:rPr>
          <w:rFonts w:ascii="Arial" w:hAnsi="Arial" w:cs="Arial"/>
          <w:lang w:val="hr-HR"/>
        </w:rPr>
        <w:t>којим</w:t>
      </w:r>
      <w:r w:rsidR="007B6BE3" w:rsidRPr="0087376B">
        <w:rPr>
          <w:rFonts w:ascii="Arial" w:hAnsi="Arial" w:cs="Arial"/>
          <w:lang w:val="hr-HR"/>
        </w:rPr>
        <w:t xml:space="preserve"> </w:t>
      </w:r>
      <w:r>
        <w:rPr>
          <w:rFonts w:ascii="Arial" w:hAnsi="Arial" w:cs="Arial"/>
          <w:lang w:val="hr-HR"/>
        </w:rPr>
        <w:t>управља</w:t>
      </w:r>
      <w:r w:rsidR="007B6BE3" w:rsidRPr="0087376B">
        <w:rPr>
          <w:rFonts w:ascii="Arial" w:hAnsi="Arial" w:cs="Arial"/>
          <w:lang w:val="hr-HR"/>
        </w:rPr>
        <w:t xml:space="preserve"> </w:t>
      </w:r>
      <w:r>
        <w:rPr>
          <w:rFonts w:ascii="Arial" w:hAnsi="Arial" w:cs="Arial"/>
          <w:lang w:val="hr-HR"/>
        </w:rPr>
        <w:t>Влада</w:t>
      </w:r>
      <w:r w:rsidR="007B6BE3" w:rsidRPr="0087376B">
        <w:rPr>
          <w:rFonts w:ascii="Arial" w:hAnsi="Arial" w:cs="Arial"/>
          <w:lang w:val="hr-HR"/>
        </w:rPr>
        <w:t xml:space="preserve"> </w:t>
      </w:r>
      <w:r>
        <w:rPr>
          <w:rFonts w:ascii="Arial" w:hAnsi="Arial" w:cs="Arial"/>
          <w:lang w:val="hr-HR"/>
        </w:rPr>
        <w:t>Федерације</w:t>
      </w:r>
      <w:r w:rsidR="007B6BE3" w:rsidRPr="0087376B">
        <w:rPr>
          <w:rFonts w:ascii="Arial" w:hAnsi="Arial" w:cs="Arial"/>
          <w:lang w:val="hr-HR"/>
        </w:rPr>
        <w:t xml:space="preserve"> </w:t>
      </w:r>
      <w:r>
        <w:rPr>
          <w:rFonts w:ascii="Arial" w:hAnsi="Arial" w:cs="Arial"/>
          <w:lang w:val="hr-HR"/>
        </w:rPr>
        <w:t>БиХ</w:t>
      </w:r>
      <w:r w:rsidR="007B6BE3" w:rsidRPr="0087376B">
        <w:rPr>
          <w:rFonts w:ascii="Arial" w:hAnsi="Arial" w:cs="Arial"/>
          <w:lang w:val="hr-HR"/>
        </w:rPr>
        <w:t xml:space="preserve"> </w:t>
      </w:r>
      <w:r>
        <w:rPr>
          <w:rFonts w:ascii="Arial" w:hAnsi="Arial" w:cs="Arial"/>
          <w:lang w:val="hr-HR"/>
        </w:rPr>
        <w:t>и</w:t>
      </w:r>
      <w:r w:rsidR="007B6BE3" w:rsidRPr="0087376B">
        <w:rPr>
          <w:rFonts w:ascii="Arial" w:hAnsi="Arial" w:cs="Arial"/>
          <w:lang w:val="hr-HR"/>
        </w:rPr>
        <w:t xml:space="preserve"> </w:t>
      </w:r>
      <w:r>
        <w:rPr>
          <w:rFonts w:ascii="Arial" w:hAnsi="Arial" w:cs="Arial"/>
          <w:lang w:val="hr-HR"/>
        </w:rPr>
        <w:t>који</w:t>
      </w:r>
      <w:r w:rsidR="007B6BE3" w:rsidRPr="0087376B">
        <w:rPr>
          <w:rFonts w:ascii="Arial" w:hAnsi="Arial" w:cs="Arial"/>
          <w:lang w:val="hr-HR"/>
        </w:rPr>
        <w:t xml:space="preserve"> </w:t>
      </w:r>
      <w:r>
        <w:rPr>
          <w:rFonts w:ascii="Arial" w:hAnsi="Arial" w:cs="Arial"/>
          <w:lang w:val="hr-HR"/>
        </w:rPr>
        <w:t>је</w:t>
      </w:r>
      <w:r w:rsidR="007B6BE3" w:rsidRPr="0087376B">
        <w:rPr>
          <w:rFonts w:ascii="Arial" w:hAnsi="Arial" w:cs="Arial"/>
          <w:lang w:val="hr-HR"/>
        </w:rPr>
        <w:t xml:space="preserve"> </w:t>
      </w:r>
      <w:r>
        <w:rPr>
          <w:rFonts w:ascii="Arial" w:hAnsi="Arial" w:cs="Arial"/>
          <w:lang w:val="hr-HR"/>
        </w:rPr>
        <w:t>приказан</w:t>
      </w:r>
      <w:r w:rsidR="007B6BE3" w:rsidRPr="0087376B">
        <w:rPr>
          <w:rFonts w:ascii="Arial" w:hAnsi="Arial" w:cs="Arial"/>
          <w:lang w:val="hr-HR"/>
        </w:rPr>
        <w:t xml:space="preserve"> </w:t>
      </w:r>
      <w:r>
        <w:rPr>
          <w:rFonts w:ascii="Arial" w:hAnsi="Arial" w:cs="Arial"/>
          <w:lang w:val="hr-HR"/>
        </w:rPr>
        <w:t>у</w:t>
      </w:r>
      <w:r w:rsidR="007B6BE3" w:rsidRPr="0087376B">
        <w:rPr>
          <w:rFonts w:ascii="Arial" w:hAnsi="Arial" w:cs="Arial"/>
          <w:lang w:val="hr-HR"/>
        </w:rPr>
        <w:t xml:space="preserve"> </w:t>
      </w:r>
      <w:r>
        <w:rPr>
          <w:rFonts w:ascii="Arial" w:hAnsi="Arial" w:cs="Arial"/>
          <w:lang w:val="hr-HR"/>
        </w:rPr>
        <w:t>наредној</w:t>
      </w:r>
      <w:r w:rsidR="007B6BE3" w:rsidRPr="0087376B">
        <w:rPr>
          <w:rFonts w:ascii="Arial" w:hAnsi="Arial" w:cs="Arial"/>
          <w:lang w:val="hr-HR"/>
        </w:rPr>
        <w:t xml:space="preserve"> </w:t>
      </w:r>
      <w:r>
        <w:rPr>
          <w:rFonts w:ascii="Arial" w:hAnsi="Arial" w:cs="Arial"/>
          <w:lang w:val="hr-HR"/>
        </w:rPr>
        <w:t>табели</w:t>
      </w:r>
      <w:r w:rsidR="007B6BE3" w:rsidRPr="0087376B">
        <w:rPr>
          <w:rFonts w:ascii="Arial" w:hAnsi="Arial" w:cs="Arial"/>
          <w:lang w:val="hr-HR"/>
        </w:rPr>
        <w:t>.</w:t>
      </w:r>
    </w:p>
    <w:p w14:paraId="0C6E1270" w14:textId="77777777" w:rsidR="007B6BE3" w:rsidRPr="0087376B" w:rsidRDefault="007B6BE3" w:rsidP="007B6BE3">
      <w:pPr>
        <w:pStyle w:val="NoSpacing"/>
        <w:ind w:firstLine="360"/>
        <w:jc w:val="both"/>
        <w:rPr>
          <w:rFonts w:ascii="Arial" w:hAnsi="Arial" w:cs="Arial"/>
          <w:sz w:val="24"/>
          <w:szCs w:val="24"/>
          <w:lang w:val="hr-HR"/>
        </w:rPr>
      </w:pPr>
    </w:p>
    <w:p w14:paraId="75C606C2" w14:textId="77777777" w:rsidR="007B6BE3" w:rsidRPr="0087376B" w:rsidRDefault="005B20F8" w:rsidP="007B6BE3">
      <w:pPr>
        <w:pStyle w:val="NoSpacing"/>
        <w:spacing w:line="276" w:lineRule="auto"/>
        <w:jc w:val="both"/>
        <w:rPr>
          <w:rFonts w:ascii="Arial" w:hAnsi="Arial" w:cs="Arial"/>
          <w:szCs w:val="24"/>
          <w:lang w:val="hr-HR"/>
        </w:rPr>
      </w:pPr>
      <w:r>
        <w:rPr>
          <w:rFonts w:ascii="Arial" w:hAnsi="Arial" w:cs="Arial"/>
          <w:szCs w:val="24"/>
          <w:lang w:val="hr-HR"/>
        </w:rPr>
        <w:t>Табела</w:t>
      </w:r>
      <w:r w:rsidR="007B6BE3" w:rsidRPr="0087376B">
        <w:rPr>
          <w:rFonts w:ascii="Arial" w:hAnsi="Arial" w:cs="Arial"/>
          <w:szCs w:val="24"/>
          <w:lang w:val="hr-HR"/>
        </w:rPr>
        <w:t xml:space="preserve"> 1. </w:t>
      </w:r>
      <w:r>
        <w:rPr>
          <w:rFonts w:ascii="Arial" w:hAnsi="Arial" w:cs="Arial"/>
          <w:szCs w:val="24"/>
          <w:lang w:val="hr-HR"/>
        </w:rPr>
        <w:t>Портфолио</w:t>
      </w:r>
      <w:r w:rsidR="007B6BE3" w:rsidRPr="0087376B">
        <w:rPr>
          <w:rFonts w:ascii="Arial" w:hAnsi="Arial" w:cs="Arial"/>
          <w:szCs w:val="24"/>
          <w:lang w:val="hr-HR"/>
        </w:rPr>
        <w:t xml:space="preserve"> </w:t>
      </w:r>
      <w:r>
        <w:rPr>
          <w:rFonts w:ascii="Arial" w:hAnsi="Arial" w:cs="Arial"/>
          <w:szCs w:val="24"/>
          <w:lang w:val="hr-HR"/>
        </w:rPr>
        <w:t>дуга</w:t>
      </w:r>
      <w:r w:rsidR="007B6BE3" w:rsidRPr="0087376B">
        <w:rPr>
          <w:rFonts w:ascii="Arial" w:hAnsi="Arial" w:cs="Arial"/>
          <w:szCs w:val="24"/>
          <w:lang w:val="hr-HR"/>
        </w:rPr>
        <w:t xml:space="preserve"> </w:t>
      </w:r>
      <w:r>
        <w:rPr>
          <w:rFonts w:ascii="Arial" w:hAnsi="Arial" w:cs="Arial"/>
          <w:szCs w:val="24"/>
          <w:lang w:val="hr-HR"/>
        </w:rPr>
        <w:t>на</w:t>
      </w:r>
      <w:r w:rsidR="007B6BE3" w:rsidRPr="0087376B">
        <w:rPr>
          <w:rFonts w:ascii="Arial" w:hAnsi="Arial" w:cs="Arial"/>
          <w:szCs w:val="24"/>
          <w:lang w:val="hr-HR"/>
        </w:rPr>
        <w:t xml:space="preserve"> </w:t>
      </w:r>
      <w:r>
        <w:rPr>
          <w:rFonts w:ascii="Arial" w:hAnsi="Arial" w:cs="Arial"/>
          <w:szCs w:val="24"/>
          <w:lang w:val="hr-HR"/>
        </w:rPr>
        <w:t>дан</w:t>
      </w:r>
      <w:r w:rsidR="007B6BE3" w:rsidRPr="0087376B">
        <w:rPr>
          <w:rFonts w:ascii="Arial" w:hAnsi="Arial" w:cs="Arial"/>
          <w:szCs w:val="24"/>
          <w:lang w:val="hr-HR"/>
        </w:rPr>
        <w:t xml:space="preserve"> 31.12.2022. </w:t>
      </w:r>
      <w:r>
        <w:rPr>
          <w:rFonts w:ascii="Arial" w:hAnsi="Arial" w:cs="Arial"/>
          <w:szCs w:val="24"/>
          <w:lang w:val="hr-HR"/>
        </w:rPr>
        <w:t>године</w:t>
      </w:r>
      <w:r w:rsidR="007B6BE3" w:rsidRPr="0087376B">
        <w:rPr>
          <w:rFonts w:ascii="Arial" w:hAnsi="Arial" w:cs="Arial"/>
          <w:szCs w:val="24"/>
          <w:lang w:val="hr-HR"/>
        </w:rPr>
        <w:t xml:space="preserve">, </w:t>
      </w:r>
      <w:r>
        <w:rPr>
          <w:rFonts w:ascii="Arial" w:hAnsi="Arial" w:cs="Arial"/>
          <w:szCs w:val="24"/>
          <w:lang w:val="hr-HR"/>
        </w:rPr>
        <w:t>обухваћен</w:t>
      </w:r>
      <w:r w:rsidR="007B6BE3" w:rsidRPr="0087376B">
        <w:rPr>
          <w:rFonts w:ascii="Arial" w:hAnsi="Arial" w:cs="Arial"/>
          <w:szCs w:val="24"/>
          <w:lang w:val="hr-HR"/>
        </w:rPr>
        <w:t xml:space="preserve"> </w:t>
      </w:r>
      <w:r>
        <w:rPr>
          <w:rFonts w:ascii="Arial" w:hAnsi="Arial" w:cs="Arial"/>
          <w:szCs w:val="24"/>
          <w:lang w:val="hr-HR"/>
        </w:rPr>
        <w:t>Стратегијом</w:t>
      </w:r>
      <w:r w:rsidR="007B6BE3" w:rsidRPr="0087376B">
        <w:rPr>
          <w:rFonts w:ascii="Arial" w:hAnsi="Arial" w:cs="Arial"/>
          <w:szCs w:val="24"/>
          <w:lang w:val="hr-HR"/>
        </w:rPr>
        <w:t xml:space="preserve"> </w:t>
      </w:r>
    </w:p>
    <w:tbl>
      <w:tblPr>
        <w:tblW w:w="5000" w:type="pct"/>
        <w:tblBorders>
          <w:top w:val="single" w:sz="8" w:space="0" w:color="5B9BD5" w:themeColor="accent1"/>
          <w:left w:val="single" w:sz="8" w:space="0" w:color="5B9BD5" w:themeColor="accent1"/>
          <w:bottom w:val="single" w:sz="8" w:space="0" w:color="5B9BD5" w:themeColor="accent1"/>
          <w:right w:val="single" w:sz="8" w:space="0" w:color="5B9BD5" w:themeColor="accent1"/>
        </w:tblBorders>
        <w:tblLook w:val="04A0" w:firstRow="1" w:lastRow="0" w:firstColumn="1" w:lastColumn="0" w:noHBand="0" w:noVBand="1"/>
      </w:tblPr>
      <w:tblGrid>
        <w:gridCol w:w="5652"/>
        <w:gridCol w:w="1728"/>
        <w:gridCol w:w="1933"/>
      </w:tblGrid>
      <w:tr w:rsidR="007B6BE3" w:rsidRPr="0087376B" w14:paraId="768D399E" w14:textId="77777777" w:rsidTr="007B6BE3">
        <w:trPr>
          <w:trHeight w:val="300"/>
        </w:trPr>
        <w:tc>
          <w:tcPr>
            <w:tcW w:w="3034" w:type="pct"/>
            <w:shd w:val="clear" w:color="auto" w:fill="auto"/>
            <w:noWrap/>
            <w:vAlign w:val="center"/>
            <w:hideMark/>
          </w:tcPr>
          <w:p w14:paraId="48FE49E5" w14:textId="77777777" w:rsidR="007B6BE3" w:rsidRPr="0087376B" w:rsidRDefault="005B20F8" w:rsidP="007B6BE3">
            <w:pPr>
              <w:spacing w:after="0" w:line="240" w:lineRule="auto"/>
              <w:jc w:val="center"/>
              <w:rPr>
                <w:rFonts w:ascii="Arial" w:eastAsia="Times New Roman" w:hAnsi="Arial" w:cs="Arial"/>
                <w:i/>
                <w:iCs/>
                <w:color w:val="000000"/>
              </w:rPr>
            </w:pPr>
            <w:r>
              <w:rPr>
                <w:rFonts w:ascii="Arial" w:eastAsia="Times New Roman" w:hAnsi="Arial" w:cs="Arial"/>
                <w:i/>
                <w:iCs/>
                <w:color w:val="000000"/>
              </w:rPr>
              <w:t>Врста</w:t>
            </w:r>
            <w:r w:rsidR="007B6BE3" w:rsidRPr="0087376B">
              <w:rPr>
                <w:rFonts w:ascii="Arial" w:eastAsia="Times New Roman" w:hAnsi="Arial" w:cs="Arial"/>
                <w:i/>
                <w:iCs/>
                <w:color w:val="000000"/>
              </w:rPr>
              <w:t xml:space="preserve"> </w:t>
            </w:r>
            <w:r>
              <w:rPr>
                <w:rFonts w:ascii="Arial" w:eastAsia="Times New Roman" w:hAnsi="Arial" w:cs="Arial"/>
                <w:i/>
                <w:iCs/>
                <w:color w:val="000000"/>
              </w:rPr>
              <w:t>дуга</w:t>
            </w:r>
          </w:p>
        </w:tc>
        <w:tc>
          <w:tcPr>
            <w:tcW w:w="928" w:type="pct"/>
            <w:shd w:val="clear" w:color="auto" w:fill="auto"/>
            <w:noWrap/>
            <w:vAlign w:val="center"/>
            <w:hideMark/>
          </w:tcPr>
          <w:p w14:paraId="5E65B520" w14:textId="77777777" w:rsidR="007B6BE3" w:rsidRPr="0087376B" w:rsidRDefault="005B20F8" w:rsidP="007B6BE3">
            <w:pPr>
              <w:spacing w:after="0" w:line="240" w:lineRule="auto"/>
              <w:jc w:val="center"/>
              <w:rPr>
                <w:rFonts w:ascii="Arial" w:eastAsia="Times New Roman" w:hAnsi="Arial" w:cs="Arial"/>
                <w:i/>
                <w:iCs/>
                <w:color w:val="000000"/>
              </w:rPr>
            </w:pPr>
            <w:r>
              <w:rPr>
                <w:rFonts w:ascii="Arial" w:eastAsia="Times New Roman" w:hAnsi="Arial" w:cs="Arial"/>
                <w:i/>
                <w:iCs/>
                <w:color w:val="000000"/>
              </w:rPr>
              <w:t>Укључен</w:t>
            </w:r>
            <w:r w:rsidR="007B6BE3" w:rsidRPr="0087376B">
              <w:rPr>
                <w:rFonts w:ascii="Arial" w:eastAsia="Times New Roman" w:hAnsi="Arial" w:cs="Arial"/>
                <w:i/>
                <w:iCs/>
                <w:color w:val="000000"/>
              </w:rPr>
              <w:t xml:space="preserve"> (√)/ </w:t>
            </w:r>
          </w:p>
          <w:p w14:paraId="7EE26BC8" w14:textId="77777777" w:rsidR="007B6BE3" w:rsidRPr="0087376B" w:rsidRDefault="005B20F8" w:rsidP="007B6BE3">
            <w:pPr>
              <w:spacing w:after="0" w:line="240" w:lineRule="auto"/>
              <w:jc w:val="center"/>
              <w:rPr>
                <w:rFonts w:ascii="Arial" w:eastAsia="Times New Roman" w:hAnsi="Arial" w:cs="Arial"/>
                <w:i/>
                <w:iCs/>
                <w:color w:val="000000"/>
              </w:rPr>
            </w:pPr>
            <w:r>
              <w:rPr>
                <w:rFonts w:ascii="Arial" w:eastAsia="Times New Roman" w:hAnsi="Arial" w:cs="Arial"/>
                <w:i/>
                <w:iCs/>
                <w:color w:val="000000"/>
              </w:rPr>
              <w:t>Искључен</w:t>
            </w:r>
            <w:r w:rsidR="007B6BE3" w:rsidRPr="0087376B">
              <w:rPr>
                <w:rFonts w:ascii="Arial" w:eastAsia="Times New Roman" w:hAnsi="Arial" w:cs="Arial"/>
                <w:i/>
                <w:iCs/>
                <w:color w:val="000000"/>
              </w:rPr>
              <w:t xml:space="preserve"> (x)</w:t>
            </w:r>
          </w:p>
        </w:tc>
        <w:tc>
          <w:tcPr>
            <w:tcW w:w="1038" w:type="pct"/>
            <w:shd w:val="clear" w:color="auto" w:fill="auto"/>
            <w:noWrap/>
            <w:vAlign w:val="center"/>
            <w:hideMark/>
          </w:tcPr>
          <w:p w14:paraId="4F4DCBB8" w14:textId="77777777" w:rsidR="007B6BE3" w:rsidRPr="0087376B" w:rsidRDefault="005B20F8" w:rsidP="007B6BE3">
            <w:pPr>
              <w:spacing w:after="0" w:line="240" w:lineRule="auto"/>
              <w:jc w:val="right"/>
              <w:rPr>
                <w:rFonts w:ascii="Arial" w:eastAsia="Times New Roman" w:hAnsi="Arial" w:cs="Arial"/>
                <w:i/>
                <w:iCs/>
                <w:color w:val="000000"/>
              </w:rPr>
            </w:pPr>
            <w:r>
              <w:rPr>
                <w:rFonts w:ascii="Arial" w:eastAsia="Times New Roman" w:hAnsi="Arial" w:cs="Arial"/>
                <w:i/>
                <w:iCs/>
                <w:color w:val="000000"/>
              </w:rPr>
              <w:t>Износ</w:t>
            </w:r>
            <w:r w:rsidR="007B6BE3" w:rsidRPr="0087376B">
              <w:rPr>
                <w:rFonts w:ascii="Arial" w:eastAsia="Times New Roman" w:hAnsi="Arial" w:cs="Arial"/>
                <w:i/>
                <w:iCs/>
                <w:color w:val="000000"/>
              </w:rPr>
              <w:t xml:space="preserve"> (</w:t>
            </w:r>
            <w:r>
              <w:rPr>
                <w:rFonts w:ascii="Arial" w:eastAsia="Times New Roman" w:hAnsi="Arial" w:cs="Arial"/>
                <w:i/>
                <w:iCs/>
                <w:color w:val="000000"/>
              </w:rPr>
              <w:t>мил</w:t>
            </w:r>
            <w:r w:rsidR="007B6BE3" w:rsidRPr="0087376B">
              <w:rPr>
                <w:rFonts w:ascii="Arial" w:eastAsia="Times New Roman" w:hAnsi="Arial" w:cs="Arial"/>
                <w:i/>
                <w:iCs/>
                <w:color w:val="000000"/>
              </w:rPr>
              <w:t>.</w:t>
            </w:r>
            <w:r>
              <w:rPr>
                <w:rFonts w:ascii="Arial" w:eastAsia="Times New Roman" w:hAnsi="Arial" w:cs="Arial"/>
                <w:i/>
                <w:iCs/>
                <w:color w:val="000000"/>
              </w:rPr>
              <w:t>КМ</w:t>
            </w:r>
            <w:r w:rsidR="007B6BE3" w:rsidRPr="0087376B">
              <w:rPr>
                <w:rFonts w:ascii="Arial" w:eastAsia="Times New Roman" w:hAnsi="Arial" w:cs="Arial"/>
                <w:i/>
                <w:iCs/>
                <w:color w:val="000000"/>
              </w:rPr>
              <w:t>)</w:t>
            </w:r>
          </w:p>
        </w:tc>
      </w:tr>
      <w:tr w:rsidR="007B6BE3" w:rsidRPr="0087376B" w14:paraId="3C64DC34" w14:textId="77777777" w:rsidTr="007B6BE3">
        <w:trPr>
          <w:trHeight w:val="300"/>
        </w:trPr>
        <w:tc>
          <w:tcPr>
            <w:tcW w:w="3034" w:type="pct"/>
            <w:shd w:val="clear" w:color="auto" w:fill="auto"/>
            <w:noWrap/>
            <w:vAlign w:val="center"/>
            <w:hideMark/>
          </w:tcPr>
          <w:p w14:paraId="22E85232" w14:textId="77777777" w:rsidR="007B6BE3" w:rsidRPr="0087376B" w:rsidRDefault="005B20F8" w:rsidP="007B6BE3">
            <w:pPr>
              <w:spacing w:after="0" w:line="240" w:lineRule="auto"/>
              <w:jc w:val="both"/>
              <w:rPr>
                <w:rFonts w:ascii="Arial" w:eastAsia="Times New Roman" w:hAnsi="Arial" w:cs="Arial"/>
                <w:i/>
                <w:iCs/>
                <w:color w:val="000000"/>
              </w:rPr>
            </w:pPr>
            <w:r>
              <w:rPr>
                <w:rFonts w:ascii="Arial" w:eastAsia="Times New Roman" w:hAnsi="Arial" w:cs="Arial"/>
                <w:i/>
                <w:iCs/>
                <w:color w:val="000000"/>
              </w:rPr>
              <w:t>Спољни</w:t>
            </w:r>
            <w:r w:rsidR="007B6BE3" w:rsidRPr="0087376B">
              <w:rPr>
                <w:rFonts w:ascii="Arial" w:eastAsia="Times New Roman" w:hAnsi="Arial" w:cs="Arial"/>
                <w:i/>
                <w:iCs/>
                <w:color w:val="000000"/>
              </w:rPr>
              <w:t xml:space="preserve"> </w:t>
            </w:r>
            <w:r>
              <w:rPr>
                <w:rFonts w:ascii="Arial" w:eastAsia="Times New Roman" w:hAnsi="Arial" w:cs="Arial"/>
                <w:i/>
                <w:iCs/>
                <w:color w:val="000000"/>
              </w:rPr>
              <w:t>дуг</w:t>
            </w:r>
            <w:r w:rsidR="007B6BE3" w:rsidRPr="0087376B">
              <w:rPr>
                <w:rFonts w:ascii="Arial" w:eastAsia="Times New Roman" w:hAnsi="Arial" w:cs="Arial"/>
                <w:i/>
                <w:iCs/>
                <w:color w:val="000000"/>
              </w:rPr>
              <w:t xml:space="preserve"> </w:t>
            </w:r>
            <w:r>
              <w:rPr>
                <w:rFonts w:ascii="Arial" w:eastAsia="Times New Roman" w:hAnsi="Arial" w:cs="Arial"/>
                <w:i/>
                <w:iCs/>
                <w:color w:val="000000"/>
              </w:rPr>
              <w:t>ФБиХ</w:t>
            </w:r>
            <w:r w:rsidR="007B6BE3" w:rsidRPr="0087376B">
              <w:rPr>
                <w:rFonts w:ascii="Arial" w:eastAsia="Times New Roman" w:hAnsi="Arial" w:cs="Arial"/>
                <w:i/>
                <w:iCs/>
                <w:color w:val="000000"/>
              </w:rPr>
              <w:t xml:space="preserve">, </w:t>
            </w:r>
            <w:r>
              <w:rPr>
                <w:rFonts w:ascii="Arial" w:eastAsia="Times New Roman" w:hAnsi="Arial" w:cs="Arial"/>
                <w:i/>
                <w:iCs/>
                <w:color w:val="000000"/>
              </w:rPr>
              <w:t>од</w:t>
            </w:r>
            <w:r w:rsidR="007B6BE3" w:rsidRPr="0087376B">
              <w:rPr>
                <w:rFonts w:ascii="Arial" w:eastAsia="Times New Roman" w:hAnsi="Arial" w:cs="Arial"/>
                <w:i/>
                <w:iCs/>
                <w:color w:val="000000"/>
              </w:rPr>
              <w:t xml:space="preserve"> </w:t>
            </w:r>
            <w:r>
              <w:rPr>
                <w:rFonts w:ascii="Arial" w:eastAsia="Times New Roman" w:hAnsi="Arial" w:cs="Arial"/>
                <w:i/>
                <w:iCs/>
                <w:color w:val="000000"/>
              </w:rPr>
              <w:t>чега</w:t>
            </w:r>
            <w:r w:rsidR="007B6BE3" w:rsidRPr="0087376B">
              <w:rPr>
                <w:rFonts w:ascii="Arial" w:eastAsia="Times New Roman" w:hAnsi="Arial" w:cs="Arial"/>
                <w:i/>
                <w:iCs/>
                <w:color w:val="000000"/>
              </w:rPr>
              <w:t>:</w:t>
            </w:r>
          </w:p>
        </w:tc>
        <w:tc>
          <w:tcPr>
            <w:tcW w:w="928" w:type="pct"/>
            <w:shd w:val="clear" w:color="auto" w:fill="auto"/>
            <w:noWrap/>
            <w:vAlign w:val="center"/>
            <w:hideMark/>
          </w:tcPr>
          <w:p w14:paraId="45A5FBF1" w14:textId="77777777" w:rsidR="007B6BE3" w:rsidRPr="0087376B" w:rsidRDefault="007B6BE3" w:rsidP="007B6BE3">
            <w:pPr>
              <w:spacing w:after="0" w:line="240" w:lineRule="auto"/>
              <w:jc w:val="both"/>
              <w:rPr>
                <w:rFonts w:ascii="Arial" w:eastAsia="Times New Roman" w:hAnsi="Arial" w:cs="Arial"/>
                <w:i/>
                <w:iCs/>
                <w:color w:val="000000"/>
              </w:rPr>
            </w:pPr>
          </w:p>
        </w:tc>
        <w:tc>
          <w:tcPr>
            <w:tcW w:w="1038" w:type="pct"/>
            <w:shd w:val="clear" w:color="auto" w:fill="auto"/>
            <w:noWrap/>
            <w:vAlign w:val="center"/>
            <w:hideMark/>
          </w:tcPr>
          <w:p w14:paraId="0BBF13BC" w14:textId="77777777" w:rsidR="007B6BE3" w:rsidRPr="0087376B" w:rsidRDefault="007B6BE3" w:rsidP="007B6BE3">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5.410,49</w:t>
            </w:r>
          </w:p>
        </w:tc>
      </w:tr>
      <w:tr w:rsidR="007B6BE3" w:rsidRPr="0087376B" w14:paraId="2E04DBE1" w14:textId="77777777" w:rsidTr="007B6BE3">
        <w:trPr>
          <w:trHeight w:val="300"/>
        </w:trPr>
        <w:tc>
          <w:tcPr>
            <w:tcW w:w="3034" w:type="pct"/>
            <w:shd w:val="clear" w:color="auto" w:fill="auto"/>
            <w:noWrap/>
            <w:vAlign w:val="center"/>
            <w:hideMark/>
          </w:tcPr>
          <w:p w14:paraId="0460869E" w14:textId="77777777" w:rsidR="007B6BE3" w:rsidRPr="0087376B" w:rsidRDefault="005B20F8" w:rsidP="007B6BE3">
            <w:pPr>
              <w:pStyle w:val="ListParagraph"/>
              <w:numPr>
                <w:ilvl w:val="0"/>
                <w:numId w:val="23"/>
              </w:numPr>
              <w:spacing w:after="0" w:line="240" w:lineRule="auto"/>
              <w:rPr>
                <w:rFonts w:ascii="Times New Roman" w:eastAsia="Times New Roman" w:hAnsi="Times New Roman" w:cs="Times New Roman"/>
                <w:color w:val="000000"/>
                <w:sz w:val="14"/>
                <w:szCs w:val="14"/>
              </w:rPr>
            </w:pPr>
            <w:r>
              <w:rPr>
                <w:rFonts w:ascii="Arial" w:eastAsia="Times New Roman" w:hAnsi="Arial" w:cs="Arial"/>
                <w:i/>
                <w:iCs/>
                <w:color w:val="000000"/>
              </w:rPr>
              <w:t>Релевантни</w:t>
            </w:r>
            <w:r w:rsidR="007B6BE3" w:rsidRPr="0087376B">
              <w:rPr>
                <w:rFonts w:ascii="Arial" w:eastAsia="Times New Roman" w:hAnsi="Arial" w:cs="Arial"/>
                <w:i/>
                <w:iCs/>
                <w:color w:val="000000"/>
              </w:rPr>
              <w:t xml:space="preserve"> </w:t>
            </w:r>
            <w:r>
              <w:rPr>
                <w:rFonts w:ascii="Arial" w:eastAsia="Times New Roman" w:hAnsi="Arial" w:cs="Arial"/>
                <w:i/>
                <w:iCs/>
                <w:color w:val="000000"/>
              </w:rPr>
              <w:t>спољни</w:t>
            </w:r>
            <w:r w:rsidR="007B6BE3" w:rsidRPr="0087376B">
              <w:rPr>
                <w:rFonts w:ascii="Arial" w:eastAsia="Times New Roman" w:hAnsi="Arial" w:cs="Arial"/>
                <w:i/>
                <w:iCs/>
                <w:color w:val="000000"/>
              </w:rPr>
              <w:t xml:space="preserve"> </w:t>
            </w:r>
            <w:r>
              <w:rPr>
                <w:rFonts w:ascii="Arial" w:eastAsia="Times New Roman" w:hAnsi="Arial" w:cs="Arial"/>
                <w:i/>
                <w:iCs/>
                <w:color w:val="000000"/>
              </w:rPr>
              <w:t>дуг</w:t>
            </w:r>
            <w:r w:rsidR="007B6BE3" w:rsidRPr="0087376B">
              <w:rPr>
                <w:rFonts w:ascii="Arial" w:eastAsia="Times New Roman" w:hAnsi="Arial" w:cs="Arial"/>
                <w:i/>
                <w:iCs/>
                <w:color w:val="000000"/>
              </w:rPr>
              <w:t xml:space="preserve"> </w:t>
            </w:r>
            <w:r>
              <w:rPr>
                <w:rFonts w:ascii="Arial" w:eastAsia="Times New Roman" w:hAnsi="Arial" w:cs="Arial"/>
                <w:i/>
                <w:iCs/>
                <w:color w:val="000000"/>
              </w:rPr>
              <w:t>ФБиХ</w:t>
            </w:r>
          </w:p>
        </w:tc>
        <w:tc>
          <w:tcPr>
            <w:tcW w:w="928" w:type="pct"/>
            <w:shd w:val="clear" w:color="auto" w:fill="auto"/>
            <w:noWrap/>
            <w:vAlign w:val="center"/>
            <w:hideMark/>
          </w:tcPr>
          <w:p w14:paraId="06191911" w14:textId="77777777" w:rsidR="007B6BE3" w:rsidRPr="0087376B" w:rsidRDefault="007B6BE3" w:rsidP="007B6BE3">
            <w:pPr>
              <w:spacing w:after="0" w:line="240" w:lineRule="auto"/>
              <w:jc w:val="center"/>
              <w:rPr>
                <w:rFonts w:ascii="Arial" w:eastAsia="Times New Roman" w:hAnsi="Arial" w:cs="Arial"/>
                <w:b/>
                <w:bCs/>
                <w:color w:val="448AD7"/>
              </w:rPr>
            </w:pPr>
            <w:r w:rsidRPr="0087376B">
              <w:rPr>
                <w:rFonts w:ascii="Arial" w:eastAsia="Times New Roman" w:hAnsi="Arial" w:cs="Arial"/>
                <w:b/>
                <w:bCs/>
                <w:color w:val="448AD7"/>
              </w:rPr>
              <w:t>√</w:t>
            </w:r>
          </w:p>
        </w:tc>
        <w:tc>
          <w:tcPr>
            <w:tcW w:w="1038" w:type="pct"/>
            <w:shd w:val="clear" w:color="auto" w:fill="auto"/>
            <w:noWrap/>
            <w:vAlign w:val="center"/>
            <w:hideMark/>
          </w:tcPr>
          <w:p w14:paraId="0BE36776" w14:textId="77777777" w:rsidR="007B6BE3" w:rsidRPr="0087376B" w:rsidRDefault="007B6BE3" w:rsidP="007B6BE3">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5.352,96</w:t>
            </w:r>
          </w:p>
        </w:tc>
      </w:tr>
      <w:tr w:rsidR="007B6BE3" w:rsidRPr="0087376B" w14:paraId="3DC19121" w14:textId="77777777" w:rsidTr="007B6BE3">
        <w:trPr>
          <w:trHeight w:val="300"/>
        </w:trPr>
        <w:tc>
          <w:tcPr>
            <w:tcW w:w="3034" w:type="pct"/>
            <w:shd w:val="clear" w:color="auto" w:fill="auto"/>
            <w:noWrap/>
            <w:vAlign w:val="center"/>
            <w:hideMark/>
          </w:tcPr>
          <w:p w14:paraId="0B74218E" w14:textId="77777777" w:rsidR="007B6BE3" w:rsidRPr="0087376B" w:rsidRDefault="005B20F8" w:rsidP="007B6BE3">
            <w:pPr>
              <w:pStyle w:val="ListParagraph"/>
              <w:numPr>
                <w:ilvl w:val="0"/>
                <w:numId w:val="23"/>
              </w:numPr>
              <w:spacing w:after="0" w:line="240" w:lineRule="auto"/>
              <w:rPr>
                <w:rFonts w:ascii="Arial" w:eastAsia="Times New Roman" w:hAnsi="Arial" w:cs="Arial"/>
                <w:color w:val="000000"/>
              </w:rPr>
            </w:pPr>
            <w:r>
              <w:rPr>
                <w:rFonts w:ascii="Arial" w:eastAsia="Times New Roman" w:hAnsi="Arial" w:cs="Arial"/>
                <w:i/>
                <w:iCs/>
                <w:color w:val="000000"/>
              </w:rPr>
              <w:t>Директни</w:t>
            </w:r>
            <w:r w:rsidR="007B6BE3" w:rsidRPr="0087376B">
              <w:rPr>
                <w:rFonts w:ascii="Arial" w:eastAsia="Times New Roman" w:hAnsi="Arial" w:cs="Arial"/>
                <w:i/>
                <w:iCs/>
                <w:color w:val="000000"/>
              </w:rPr>
              <w:t xml:space="preserve"> </w:t>
            </w:r>
            <w:r>
              <w:rPr>
                <w:rFonts w:ascii="Arial" w:eastAsia="Times New Roman" w:hAnsi="Arial" w:cs="Arial"/>
                <w:i/>
                <w:iCs/>
                <w:color w:val="000000"/>
              </w:rPr>
              <w:t>спољни</w:t>
            </w:r>
            <w:r w:rsidR="007B6BE3" w:rsidRPr="0087376B">
              <w:rPr>
                <w:rFonts w:ascii="Arial" w:eastAsia="Times New Roman" w:hAnsi="Arial" w:cs="Arial"/>
                <w:i/>
                <w:iCs/>
                <w:color w:val="000000"/>
              </w:rPr>
              <w:t xml:space="preserve"> </w:t>
            </w:r>
            <w:r>
              <w:rPr>
                <w:rFonts w:ascii="Arial" w:eastAsia="Times New Roman" w:hAnsi="Arial" w:cs="Arial"/>
                <w:i/>
                <w:iCs/>
                <w:color w:val="000000"/>
              </w:rPr>
              <w:t>дуг</w:t>
            </w:r>
            <w:r w:rsidR="007B6BE3" w:rsidRPr="0087376B">
              <w:rPr>
                <w:rFonts w:ascii="Arial" w:eastAsia="Times New Roman" w:hAnsi="Arial" w:cs="Arial"/>
                <w:i/>
                <w:iCs/>
                <w:color w:val="000000"/>
              </w:rPr>
              <w:t xml:space="preserve"> </w:t>
            </w:r>
            <w:r>
              <w:rPr>
                <w:rFonts w:ascii="Arial" w:eastAsia="Times New Roman" w:hAnsi="Arial" w:cs="Arial"/>
                <w:i/>
                <w:iCs/>
                <w:color w:val="000000"/>
              </w:rPr>
              <w:t>ФБиХ</w:t>
            </w:r>
          </w:p>
        </w:tc>
        <w:tc>
          <w:tcPr>
            <w:tcW w:w="928" w:type="pct"/>
            <w:shd w:val="clear" w:color="auto" w:fill="auto"/>
            <w:noWrap/>
            <w:vAlign w:val="center"/>
            <w:hideMark/>
          </w:tcPr>
          <w:p w14:paraId="0137FDC3" w14:textId="77777777" w:rsidR="007B6BE3" w:rsidRPr="0087376B" w:rsidRDefault="007B6BE3" w:rsidP="007B6BE3">
            <w:pPr>
              <w:spacing w:after="0" w:line="240" w:lineRule="auto"/>
              <w:jc w:val="center"/>
              <w:rPr>
                <w:rFonts w:ascii="Arial" w:eastAsia="Times New Roman" w:hAnsi="Arial" w:cs="Arial"/>
                <w:b/>
                <w:bCs/>
                <w:color w:val="448AD7"/>
              </w:rPr>
            </w:pPr>
            <w:r w:rsidRPr="0087376B">
              <w:rPr>
                <w:rFonts w:ascii="Arial" w:eastAsia="Times New Roman" w:hAnsi="Arial" w:cs="Arial"/>
                <w:b/>
                <w:bCs/>
                <w:color w:val="448AD7"/>
              </w:rPr>
              <w:t>√</w:t>
            </w:r>
          </w:p>
        </w:tc>
        <w:tc>
          <w:tcPr>
            <w:tcW w:w="1038" w:type="pct"/>
            <w:shd w:val="clear" w:color="auto" w:fill="auto"/>
            <w:noWrap/>
            <w:vAlign w:val="center"/>
            <w:hideMark/>
          </w:tcPr>
          <w:p w14:paraId="5C0EC5A7" w14:textId="77777777" w:rsidR="007B6BE3" w:rsidRPr="0087376B" w:rsidRDefault="007B6BE3" w:rsidP="007B6BE3">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57,53</w:t>
            </w:r>
          </w:p>
        </w:tc>
      </w:tr>
      <w:tr w:rsidR="007B6BE3" w:rsidRPr="0087376B" w14:paraId="66EC3C91" w14:textId="77777777" w:rsidTr="007B6BE3">
        <w:trPr>
          <w:trHeight w:val="300"/>
        </w:trPr>
        <w:tc>
          <w:tcPr>
            <w:tcW w:w="3034" w:type="pct"/>
            <w:shd w:val="clear" w:color="auto" w:fill="auto"/>
            <w:noWrap/>
            <w:vAlign w:val="center"/>
            <w:hideMark/>
          </w:tcPr>
          <w:p w14:paraId="45E96EC9" w14:textId="77777777" w:rsidR="007B6BE3" w:rsidRPr="0087376B" w:rsidRDefault="005B20F8" w:rsidP="007B6BE3">
            <w:pPr>
              <w:spacing w:after="0" w:line="240" w:lineRule="auto"/>
              <w:rPr>
                <w:rFonts w:ascii="Arial" w:eastAsia="Times New Roman" w:hAnsi="Arial" w:cs="Arial"/>
                <w:i/>
                <w:iCs/>
                <w:color w:val="000000"/>
              </w:rPr>
            </w:pPr>
            <w:r>
              <w:rPr>
                <w:rFonts w:ascii="Arial" w:eastAsia="Times New Roman" w:hAnsi="Arial" w:cs="Arial"/>
                <w:i/>
                <w:iCs/>
                <w:color w:val="000000"/>
              </w:rPr>
              <w:t>Унутрашњи</w:t>
            </w:r>
            <w:r w:rsidR="007B6BE3" w:rsidRPr="0087376B">
              <w:rPr>
                <w:rFonts w:ascii="Arial" w:eastAsia="Times New Roman" w:hAnsi="Arial" w:cs="Arial"/>
                <w:i/>
                <w:iCs/>
                <w:color w:val="000000"/>
              </w:rPr>
              <w:t xml:space="preserve"> </w:t>
            </w:r>
            <w:r>
              <w:rPr>
                <w:rFonts w:ascii="Arial" w:eastAsia="Times New Roman" w:hAnsi="Arial" w:cs="Arial"/>
                <w:i/>
                <w:iCs/>
                <w:color w:val="000000"/>
              </w:rPr>
              <w:t>дуг</w:t>
            </w:r>
            <w:r w:rsidR="007B6BE3" w:rsidRPr="0087376B">
              <w:rPr>
                <w:rFonts w:ascii="Arial" w:eastAsia="Times New Roman" w:hAnsi="Arial" w:cs="Arial"/>
                <w:i/>
                <w:iCs/>
                <w:color w:val="000000"/>
              </w:rPr>
              <w:t xml:space="preserve"> </w:t>
            </w:r>
            <w:r>
              <w:rPr>
                <w:rFonts w:ascii="Arial" w:eastAsia="Times New Roman" w:hAnsi="Arial" w:cs="Arial"/>
                <w:i/>
                <w:iCs/>
                <w:color w:val="000000"/>
              </w:rPr>
              <w:t>ФБиХ</w:t>
            </w:r>
            <w:r w:rsidR="007B6BE3" w:rsidRPr="0087376B">
              <w:rPr>
                <w:rFonts w:ascii="Arial" w:eastAsia="Times New Roman" w:hAnsi="Arial" w:cs="Arial"/>
                <w:i/>
                <w:iCs/>
                <w:color w:val="000000"/>
              </w:rPr>
              <w:t xml:space="preserve">, </w:t>
            </w:r>
            <w:r>
              <w:rPr>
                <w:rFonts w:ascii="Arial" w:eastAsia="Times New Roman" w:hAnsi="Arial" w:cs="Arial"/>
                <w:i/>
                <w:iCs/>
                <w:color w:val="000000"/>
              </w:rPr>
              <w:t>од</w:t>
            </w:r>
            <w:r w:rsidR="007B6BE3" w:rsidRPr="0087376B">
              <w:rPr>
                <w:rFonts w:ascii="Arial" w:eastAsia="Times New Roman" w:hAnsi="Arial" w:cs="Arial"/>
                <w:i/>
                <w:iCs/>
                <w:color w:val="000000"/>
              </w:rPr>
              <w:t xml:space="preserve"> </w:t>
            </w:r>
            <w:r>
              <w:rPr>
                <w:rFonts w:ascii="Arial" w:eastAsia="Times New Roman" w:hAnsi="Arial" w:cs="Arial"/>
                <w:i/>
                <w:iCs/>
                <w:color w:val="000000"/>
              </w:rPr>
              <w:t>чега</w:t>
            </w:r>
            <w:r w:rsidR="007B6BE3" w:rsidRPr="0087376B">
              <w:rPr>
                <w:rFonts w:ascii="Arial" w:eastAsia="Times New Roman" w:hAnsi="Arial" w:cs="Arial"/>
                <w:i/>
                <w:iCs/>
                <w:color w:val="000000"/>
              </w:rPr>
              <w:t>:</w:t>
            </w:r>
          </w:p>
        </w:tc>
        <w:tc>
          <w:tcPr>
            <w:tcW w:w="928" w:type="pct"/>
            <w:shd w:val="clear" w:color="auto" w:fill="auto"/>
            <w:noWrap/>
            <w:vAlign w:val="center"/>
            <w:hideMark/>
          </w:tcPr>
          <w:p w14:paraId="274C0005" w14:textId="77777777" w:rsidR="007B6BE3" w:rsidRPr="0087376B" w:rsidRDefault="007B6BE3" w:rsidP="007B6BE3">
            <w:pPr>
              <w:spacing w:after="0" w:line="240" w:lineRule="auto"/>
              <w:rPr>
                <w:rFonts w:ascii="Arial" w:eastAsia="Times New Roman" w:hAnsi="Arial" w:cs="Arial"/>
                <w:i/>
                <w:iCs/>
                <w:color w:val="000000"/>
              </w:rPr>
            </w:pPr>
          </w:p>
        </w:tc>
        <w:tc>
          <w:tcPr>
            <w:tcW w:w="1038" w:type="pct"/>
            <w:shd w:val="clear" w:color="auto" w:fill="auto"/>
            <w:noWrap/>
            <w:vAlign w:val="center"/>
            <w:hideMark/>
          </w:tcPr>
          <w:p w14:paraId="29A981FB" w14:textId="77777777" w:rsidR="007B6BE3" w:rsidRPr="0087376B" w:rsidRDefault="007B6BE3" w:rsidP="007B6BE3">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682,63</w:t>
            </w:r>
          </w:p>
        </w:tc>
      </w:tr>
      <w:tr w:rsidR="007B6BE3" w:rsidRPr="0087376B" w14:paraId="362BFF1A" w14:textId="77777777" w:rsidTr="007B6BE3">
        <w:trPr>
          <w:trHeight w:val="300"/>
        </w:trPr>
        <w:tc>
          <w:tcPr>
            <w:tcW w:w="3034" w:type="pct"/>
            <w:shd w:val="clear" w:color="auto" w:fill="auto"/>
            <w:noWrap/>
            <w:vAlign w:val="center"/>
            <w:hideMark/>
          </w:tcPr>
          <w:p w14:paraId="0FDC8455" w14:textId="77777777" w:rsidR="007B6BE3" w:rsidRPr="0087376B" w:rsidRDefault="005B20F8" w:rsidP="007B6BE3">
            <w:pPr>
              <w:pStyle w:val="ListParagraph"/>
              <w:numPr>
                <w:ilvl w:val="0"/>
                <w:numId w:val="23"/>
              </w:numPr>
              <w:spacing w:after="0" w:line="240" w:lineRule="auto"/>
              <w:rPr>
                <w:rFonts w:ascii="Arial" w:eastAsia="Times New Roman" w:hAnsi="Arial" w:cs="Arial"/>
                <w:i/>
                <w:iCs/>
                <w:color w:val="000000"/>
              </w:rPr>
            </w:pPr>
            <w:r>
              <w:rPr>
                <w:rFonts w:ascii="Arial" w:eastAsia="Times New Roman" w:hAnsi="Arial" w:cs="Arial"/>
                <w:i/>
                <w:iCs/>
                <w:color w:val="000000"/>
              </w:rPr>
              <w:t>Трезорски</w:t>
            </w:r>
            <w:r w:rsidR="007B6BE3" w:rsidRPr="0087376B">
              <w:rPr>
                <w:rFonts w:ascii="Arial" w:eastAsia="Times New Roman" w:hAnsi="Arial" w:cs="Arial"/>
                <w:i/>
                <w:iCs/>
                <w:color w:val="000000"/>
              </w:rPr>
              <w:t xml:space="preserve"> </w:t>
            </w:r>
            <w:r>
              <w:rPr>
                <w:rFonts w:ascii="Arial" w:eastAsia="Times New Roman" w:hAnsi="Arial" w:cs="Arial"/>
                <w:i/>
                <w:iCs/>
                <w:color w:val="000000"/>
              </w:rPr>
              <w:t>записи</w:t>
            </w:r>
            <w:r w:rsidR="007B6BE3" w:rsidRPr="0087376B">
              <w:rPr>
                <w:rFonts w:ascii="Arial" w:eastAsia="Times New Roman" w:hAnsi="Arial" w:cs="Arial"/>
                <w:i/>
                <w:iCs/>
                <w:color w:val="000000"/>
              </w:rPr>
              <w:t xml:space="preserve">  </w:t>
            </w:r>
            <w:r>
              <w:rPr>
                <w:rFonts w:ascii="Arial" w:eastAsia="Times New Roman" w:hAnsi="Arial" w:cs="Arial"/>
                <w:i/>
                <w:iCs/>
                <w:color w:val="000000"/>
              </w:rPr>
              <w:t>ФБиХ</w:t>
            </w:r>
          </w:p>
        </w:tc>
        <w:tc>
          <w:tcPr>
            <w:tcW w:w="928" w:type="pct"/>
            <w:shd w:val="clear" w:color="auto" w:fill="auto"/>
            <w:noWrap/>
            <w:vAlign w:val="center"/>
            <w:hideMark/>
          </w:tcPr>
          <w:p w14:paraId="19CD7BCF" w14:textId="77777777" w:rsidR="007B6BE3" w:rsidRPr="0087376B" w:rsidRDefault="007B6BE3" w:rsidP="007B6BE3">
            <w:pPr>
              <w:spacing w:after="0" w:line="240" w:lineRule="auto"/>
              <w:jc w:val="center"/>
              <w:rPr>
                <w:rFonts w:ascii="Arial" w:eastAsia="Times New Roman" w:hAnsi="Arial" w:cs="Arial"/>
                <w:b/>
                <w:bCs/>
                <w:color w:val="448AD7"/>
              </w:rPr>
            </w:pPr>
            <w:r w:rsidRPr="0087376B">
              <w:rPr>
                <w:rFonts w:ascii="Arial" w:eastAsia="Times New Roman" w:hAnsi="Arial" w:cs="Arial"/>
                <w:b/>
                <w:bCs/>
                <w:color w:val="448AD7"/>
              </w:rPr>
              <w:t>√</w:t>
            </w:r>
          </w:p>
        </w:tc>
        <w:tc>
          <w:tcPr>
            <w:tcW w:w="1038" w:type="pct"/>
            <w:shd w:val="clear" w:color="auto" w:fill="auto"/>
            <w:noWrap/>
            <w:vAlign w:val="center"/>
            <w:hideMark/>
          </w:tcPr>
          <w:p w14:paraId="7B138040" w14:textId="77777777" w:rsidR="007B6BE3" w:rsidRPr="0087376B" w:rsidRDefault="007B6BE3" w:rsidP="007B6BE3">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50,00</w:t>
            </w:r>
          </w:p>
        </w:tc>
      </w:tr>
      <w:tr w:rsidR="007B6BE3" w:rsidRPr="0087376B" w14:paraId="3CAA55E2" w14:textId="77777777" w:rsidTr="007B6BE3">
        <w:trPr>
          <w:trHeight w:val="300"/>
        </w:trPr>
        <w:tc>
          <w:tcPr>
            <w:tcW w:w="3034" w:type="pct"/>
            <w:shd w:val="clear" w:color="auto" w:fill="auto"/>
            <w:noWrap/>
            <w:vAlign w:val="center"/>
            <w:hideMark/>
          </w:tcPr>
          <w:p w14:paraId="50E658FE" w14:textId="77777777" w:rsidR="007B6BE3" w:rsidRPr="0087376B" w:rsidRDefault="005B20F8" w:rsidP="007B6BE3">
            <w:pPr>
              <w:pStyle w:val="ListParagraph"/>
              <w:numPr>
                <w:ilvl w:val="0"/>
                <w:numId w:val="23"/>
              </w:numPr>
              <w:spacing w:after="0" w:line="240" w:lineRule="auto"/>
              <w:rPr>
                <w:rFonts w:ascii="Arial" w:eastAsia="Times New Roman" w:hAnsi="Arial" w:cs="Arial"/>
                <w:i/>
                <w:iCs/>
                <w:color w:val="000000"/>
              </w:rPr>
            </w:pPr>
            <w:r>
              <w:rPr>
                <w:rFonts w:ascii="Arial" w:eastAsia="Times New Roman" w:hAnsi="Arial" w:cs="Arial"/>
                <w:i/>
                <w:iCs/>
                <w:color w:val="000000"/>
              </w:rPr>
              <w:t>Трезорске</w:t>
            </w:r>
            <w:r w:rsidR="007B6BE3" w:rsidRPr="0087376B">
              <w:rPr>
                <w:rFonts w:ascii="Arial" w:eastAsia="Times New Roman" w:hAnsi="Arial" w:cs="Arial"/>
                <w:i/>
                <w:iCs/>
                <w:color w:val="000000"/>
              </w:rPr>
              <w:t xml:space="preserve"> </w:t>
            </w:r>
            <w:r>
              <w:rPr>
                <w:rFonts w:ascii="Arial" w:eastAsia="Times New Roman" w:hAnsi="Arial" w:cs="Arial"/>
                <w:i/>
                <w:iCs/>
                <w:color w:val="000000"/>
              </w:rPr>
              <w:t>обвезнице</w:t>
            </w:r>
            <w:r w:rsidR="007B6BE3" w:rsidRPr="0087376B">
              <w:rPr>
                <w:rFonts w:ascii="Arial" w:eastAsia="Times New Roman" w:hAnsi="Arial" w:cs="Arial"/>
                <w:i/>
                <w:iCs/>
                <w:color w:val="000000"/>
              </w:rPr>
              <w:t xml:space="preserve">  </w:t>
            </w:r>
            <w:r>
              <w:rPr>
                <w:rFonts w:ascii="Arial" w:eastAsia="Times New Roman" w:hAnsi="Arial" w:cs="Arial"/>
                <w:i/>
                <w:iCs/>
                <w:color w:val="000000"/>
              </w:rPr>
              <w:t>ФБиХ</w:t>
            </w:r>
          </w:p>
        </w:tc>
        <w:tc>
          <w:tcPr>
            <w:tcW w:w="928" w:type="pct"/>
            <w:shd w:val="clear" w:color="auto" w:fill="auto"/>
            <w:noWrap/>
            <w:vAlign w:val="center"/>
            <w:hideMark/>
          </w:tcPr>
          <w:p w14:paraId="2FF0EC3B" w14:textId="77777777" w:rsidR="007B6BE3" w:rsidRPr="0087376B" w:rsidRDefault="007B6BE3" w:rsidP="007B6BE3">
            <w:pPr>
              <w:spacing w:after="0" w:line="240" w:lineRule="auto"/>
              <w:jc w:val="center"/>
              <w:rPr>
                <w:rFonts w:ascii="Arial" w:eastAsia="Times New Roman" w:hAnsi="Arial" w:cs="Arial"/>
                <w:b/>
                <w:bCs/>
                <w:color w:val="448AD7"/>
              </w:rPr>
            </w:pPr>
            <w:r w:rsidRPr="0087376B">
              <w:rPr>
                <w:rFonts w:ascii="Arial" w:eastAsia="Times New Roman" w:hAnsi="Arial" w:cs="Arial"/>
                <w:b/>
                <w:bCs/>
                <w:color w:val="448AD7"/>
              </w:rPr>
              <w:t>√</w:t>
            </w:r>
          </w:p>
        </w:tc>
        <w:tc>
          <w:tcPr>
            <w:tcW w:w="1038" w:type="pct"/>
            <w:shd w:val="clear" w:color="auto" w:fill="auto"/>
            <w:noWrap/>
            <w:vAlign w:val="center"/>
            <w:hideMark/>
          </w:tcPr>
          <w:p w14:paraId="48A352BF" w14:textId="77777777" w:rsidR="007B6BE3" w:rsidRPr="0087376B" w:rsidRDefault="007B6BE3" w:rsidP="007B6BE3">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590,00</w:t>
            </w:r>
          </w:p>
        </w:tc>
      </w:tr>
      <w:tr w:rsidR="007B6BE3" w:rsidRPr="0087376B" w14:paraId="0F18C1AD" w14:textId="77777777" w:rsidTr="007B6BE3">
        <w:trPr>
          <w:trHeight w:val="300"/>
        </w:trPr>
        <w:tc>
          <w:tcPr>
            <w:tcW w:w="3034" w:type="pct"/>
            <w:shd w:val="clear" w:color="auto" w:fill="auto"/>
            <w:noWrap/>
            <w:vAlign w:val="center"/>
            <w:hideMark/>
          </w:tcPr>
          <w:p w14:paraId="6DAD998A" w14:textId="77777777" w:rsidR="007B6BE3" w:rsidRPr="0087376B" w:rsidRDefault="005B20F8" w:rsidP="007B6BE3">
            <w:pPr>
              <w:pStyle w:val="ListParagraph"/>
              <w:numPr>
                <w:ilvl w:val="0"/>
                <w:numId w:val="23"/>
              </w:numPr>
              <w:spacing w:after="0" w:line="240" w:lineRule="auto"/>
              <w:rPr>
                <w:rFonts w:ascii="Arial" w:eastAsia="Times New Roman" w:hAnsi="Arial" w:cs="Arial"/>
                <w:i/>
                <w:iCs/>
                <w:color w:val="000000"/>
              </w:rPr>
            </w:pPr>
            <w:r>
              <w:rPr>
                <w:rFonts w:ascii="Arial" w:eastAsia="Times New Roman" w:hAnsi="Arial" w:cs="Arial"/>
                <w:i/>
                <w:iCs/>
                <w:color w:val="000000"/>
              </w:rPr>
              <w:t>Обвезнице</w:t>
            </w:r>
            <w:r w:rsidR="007B6BE3" w:rsidRPr="0087376B">
              <w:rPr>
                <w:rFonts w:ascii="Arial" w:eastAsia="Times New Roman" w:hAnsi="Arial" w:cs="Arial"/>
                <w:i/>
                <w:iCs/>
                <w:color w:val="000000"/>
              </w:rPr>
              <w:t xml:space="preserve"> </w:t>
            </w:r>
            <w:r>
              <w:rPr>
                <w:rFonts w:ascii="Arial" w:eastAsia="Times New Roman" w:hAnsi="Arial" w:cs="Arial"/>
                <w:i/>
                <w:iCs/>
                <w:color w:val="000000"/>
              </w:rPr>
              <w:t>старе</w:t>
            </w:r>
            <w:r w:rsidR="007B6BE3" w:rsidRPr="0087376B">
              <w:rPr>
                <w:rFonts w:ascii="Arial" w:eastAsia="Times New Roman" w:hAnsi="Arial" w:cs="Arial"/>
                <w:i/>
                <w:iCs/>
                <w:color w:val="000000"/>
              </w:rPr>
              <w:t xml:space="preserve"> </w:t>
            </w:r>
            <w:r>
              <w:rPr>
                <w:rFonts w:ascii="Arial" w:eastAsia="Times New Roman" w:hAnsi="Arial" w:cs="Arial"/>
                <w:i/>
                <w:iCs/>
                <w:color w:val="000000"/>
              </w:rPr>
              <w:t>девизне</w:t>
            </w:r>
            <w:r w:rsidR="007B6BE3" w:rsidRPr="0087376B">
              <w:rPr>
                <w:rFonts w:ascii="Arial" w:eastAsia="Times New Roman" w:hAnsi="Arial" w:cs="Arial"/>
                <w:i/>
                <w:iCs/>
                <w:color w:val="000000"/>
              </w:rPr>
              <w:t xml:space="preserve"> </w:t>
            </w:r>
            <w:r>
              <w:rPr>
                <w:rFonts w:ascii="Arial" w:eastAsia="Times New Roman" w:hAnsi="Arial" w:cs="Arial"/>
                <w:i/>
                <w:iCs/>
                <w:color w:val="000000"/>
              </w:rPr>
              <w:t>штедње</w:t>
            </w:r>
            <w:r w:rsidR="007B6BE3" w:rsidRPr="0087376B">
              <w:rPr>
                <w:rFonts w:ascii="Arial" w:eastAsia="Times New Roman" w:hAnsi="Arial" w:cs="Arial"/>
                <w:i/>
                <w:iCs/>
                <w:color w:val="000000"/>
              </w:rPr>
              <w:t xml:space="preserve"> (</w:t>
            </w:r>
            <w:r>
              <w:rPr>
                <w:rFonts w:ascii="Arial" w:eastAsia="Times New Roman" w:hAnsi="Arial" w:cs="Arial"/>
                <w:i/>
                <w:iCs/>
                <w:color w:val="000000"/>
              </w:rPr>
              <w:t>СДШ</w:t>
            </w:r>
            <w:r w:rsidR="007B6BE3" w:rsidRPr="0087376B">
              <w:rPr>
                <w:rFonts w:ascii="Arial" w:eastAsia="Times New Roman" w:hAnsi="Arial" w:cs="Arial"/>
                <w:i/>
                <w:iCs/>
                <w:color w:val="000000"/>
              </w:rPr>
              <w:t>)</w:t>
            </w:r>
          </w:p>
        </w:tc>
        <w:tc>
          <w:tcPr>
            <w:tcW w:w="928" w:type="pct"/>
            <w:shd w:val="clear" w:color="auto" w:fill="auto"/>
            <w:noWrap/>
            <w:vAlign w:val="center"/>
            <w:hideMark/>
          </w:tcPr>
          <w:p w14:paraId="37E82630" w14:textId="77777777" w:rsidR="007B6BE3" w:rsidRPr="0087376B" w:rsidRDefault="007B6BE3" w:rsidP="007B6BE3">
            <w:pPr>
              <w:spacing w:after="0" w:line="240" w:lineRule="auto"/>
              <w:jc w:val="center"/>
              <w:rPr>
                <w:rFonts w:ascii="Arial" w:eastAsia="Times New Roman" w:hAnsi="Arial" w:cs="Arial"/>
                <w:b/>
                <w:bCs/>
                <w:color w:val="448AD7"/>
              </w:rPr>
            </w:pPr>
            <w:r w:rsidRPr="0087376B">
              <w:rPr>
                <w:rFonts w:ascii="Arial" w:eastAsia="Times New Roman" w:hAnsi="Arial" w:cs="Arial"/>
                <w:b/>
                <w:bCs/>
                <w:color w:val="448AD7"/>
              </w:rPr>
              <w:t>√</w:t>
            </w:r>
          </w:p>
        </w:tc>
        <w:tc>
          <w:tcPr>
            <w:tcW w:w="1038" w:type="pct"/>
            <w:shd w:val="clear" w:color="auto" w:fill="auto"/>
            <w:noWrap/>
            <w:vAlign w:val="center"/>
            <w:hideMark/>
          </w:tcPr>
          <w:p w14:paraId="600DDE5F" w14:textId="77777777" w:rsidR="007B6BE3" w:rsidRPr="0087376B" w:rsidRDefault="007B6BE3" w:rsidP="007B6BE3">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0,00</w:t>
            </w:r>
          </w:p>
        </w:tc>
      </w:tr>
      <w:tr w:rsidR="007B6BE3" w:rsidRPr="0087376B" w14:paraId="662A055F" w14:textId="77777777" w:rsidTr="007B6BE3">
        <w:trPr>
          <w:trHeight w:val="300"/>
        </w:trPr>
        <w:tc>
          <w:tcPr>
            <w:tcW w:w="3034" w:type="pct"/>
            <w:shd w:val="clear" w:color="auto" w:fill="auto"/>
            <w:noWrap/>
            <w:vAlign w:val="center"/>
            <w:hideMark/>
          </w:tcPr>
          <w:p w14:paraId="43CAB12F" w14:textId="77777777" w:rsidR="007B6BE3" w:rsidRPr="0087376B" w:rsidRDefault="005B20F8" w:rsidP="007B6BE3">
            <w:pPr>
              <w:pStyle w:val="ListParagraph"/>
              <w:numPr>
                <w:ilvl w:val="0"/>
                <w:numId w:val="23"/>
              </w:numPr>
              <w:spacing w:after="0" w:line="240" w:lineRule="auto"/>
              <w:rPr>
                <w:rFonts w:ascii="Arial" w:eastAsia="Times New Roman" w:hAnsi="Arial" w:cs="Arial"/>
                <w:i/>
                <w:iCs/>
                <w:color w:val="000000"/>
              </w:rPr>
            </w:pPr>
            <w:r>
              <w:rPr>
                <w:rFonts w:ascii="Arial" w:eastAsia="Times New Roman" w:hAnsi="Arial" w:cs="Arial"/>
                <w:i/>
                <w:iCs/>
                <w:color w:val="000000"/>
              </w:rPr>
              <w:t>Обвезнице</w:t>
            </w:r>
            <w:r w:rsidR="007B6BE3" w:rsidRPr="0087376B">
              <w:rPr>
                <w:rFonts w:ascii="Arial" w:eastAsia="Times New Roman" w:hAnsi="Arial" w:cs="Arial"/>
                <w:i/>
                <w:iCs/>
                <w:color w:val="000000"/>
              </w:rPr>
              <w:t xml:space="preserve"> </w:t>
            </w:r>
            <w:r>
              <w:rPr>
                <w:rFonts w:ascii="Arial" w:eastAsia="Times New Roman" w:hAnsi="Arial" w:cs="Arial"/>
                <w:i/>
                <w:iCs/>
                <w:color w:val="000000"/>
              </w:rPr>
              <w:t>за</w:t>
            </w:r>
            <w:r w:rsidR="007B6BE3" w:rsidRPr="0087376B">
              <w:rPr>
                <w:rFonts w:ascii="Arial" w:eastAsia="Times New Roman" w:hAnsi="Arial" w:cs="Arial"/>
                <w:i/>
                <w:iCs/>
                <w:color w:val="000000"/>
              </w:rPr>
              <w:t xml:space="preserve"> </w:t>
            </w:r>
            <w:r>
              <w:rPr>
                <w:rFonts w:ascii="Arial" w:eastAsia="Times New Roman" w:hAnsi="Arial" w:cs="Arial"/>
                <w:i/>
                <w:iCs/>
                <w:color w:val="000000"/>
              </w:rPr>
              <w:t>ратна</w:t>
            </w:r>
            <w:r w:rsidR="007B6BE3" w:rsidRPr="0087376B">
              <w:rPr>
                <w:rFonts w:ascii="Arial" w:eastAsia="Times New Roman" w:hAnsi="Arial" w:cs="Arial"/>
                <w:i/>
                <w:iCs/>
                <w:color w:val="000000"/>
              </w:rPr>
              <w:t xml:space="preserve"> </w:t>
            </w:r>
            <w:r>
              <w:rPr>
                <w:rFonts w:ascii="Arial" w:eastAsia="Times New Roman" w:hAnsi="Arial" w:cs="Arial"/>
                <w:i/>
                <w:iCs/>
                <w:color w:val="000000"/>
              </w:rPr>
              <w:t>потраживања</w:t>
            </w:r>
            <w:r w:rsidR="007B6BE3" w:rsidRPr="0087376B">
              <w:rPr>
                <w:rFonts w:ascii="Arial" w:eastAsia="Times New Roman" w:hAnsi="Arial" w:cs="Arial"/>
                <w:i/>
                <w:iCs/>
                <w:color w:val="000000"/>
              </w:rPr>
              <w:t xml:space="preserve"> (</w:t>
            </w:r>
            <w:r>
              <w:rPr>
                <w:rFonts w:ascii="Arial" w:eastAsia="Times New Roman" w:hAnsi="Arial" w:cs="Arial"/>
                <w:i/>
                <w:iCs/>
                <w:color w:val="000000"/>
              </w:rPr>
              <w:t>РТ</w:t>
            </w:r>
            <w:r w:rsidR="007B6BE3" w:rsidRPr="0087376B">
              <w:rPr>
                <w:rFonts w:ascii="Arial" w:eastAsia="Times New Roman" w:hAnsi="Arial" w:cs="Arial"/>
                <w:i/>
                <w:iCs/>
                <w:color w:val="000000"/>
              </w:rPr>
              <w:t>)</w:t>
            </w:r>
          </w:p>
        </w:tc>
        <w:tc>
          <w:tcPr>
            <w:tcW w:w="928" w:type="pct"/>
            <w:shd w:val="clear" w:color="auto" w:fill="auto"/>
            <w:noWrap/>
            <w:vAlign w:val="center"/>
            <w:hideMark/>
          </w:tcPr>
          <w:p w14:paraId="51FC3FC6" w14:textId="77777777" w:rsidR="007B6BE3" w:rsidRPr="0087376B" w:rsidRDefault="007B6BE3" w:rsidP="007B6BE3">
            <w:pPr>
              <w:spacing w:after="0" w:line="240" w:lineRule="auto"/>
              <w:jc w:val="center"/>
              <w:rPr>
                <w:rFonts w:ascii="Arial" w:eastAsia="Times New Roman" w:hAnsi="Arial" w:cs="Arial"/>
                <w:b/>
                <w:bCs/>
                <w:color w:val="448AD7"/>
              </w:rPr>
            </w:pPr>
            <w:r w:rsidRPr="0087376B">
              <w:rPr>
                <w:rFonts w:ascii="Arial" w:eastAsia="Times New Roman" w:hAnsi="Arial" w:cs="Arial"/>
                <w:b/>
                <w:bCs/>
                <w:color w:val="448AD7"/>
              </w:rPr>
              <w:t>√</w:t>
            </w:r>
          </w:p>
        </w:tc>
        <w:tc>
          <w:tcPr>
            <w:tcW w:w="1038" w:type="pct"/>
            <w:shd w:val="clear" w:color="auto" w:fill="auto"/>
            <w:noWrap/>
            <w:vAlign w:val="center"/>
            <w:hideMark/>
          </w:tcPr>
          <w:p w14:paraId="552777C1" w14:textId="77777777" w:rsidR="007B6BE3" w:rsidRPr="0087376B" w:rsidRDefault="007B6BE3" w:rsidP="007B6BE3">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38,69</w:t>
            </w:r>
          </w:p>
        </w:tc>
      </w:tr>
      <w:tr w:rsidR="007B6BE3" w:rsidRPr="0087376B" w14:paraId="6E92E4BE" w14:textId="77777777" w:rsidTr="007B6BE3">
        <w:trPr>
          <w:trHeight w:val="300"/>
        </w:trPr>
        <w:tc>
          <w:tcPr>
            <w:tcW w:w="3034" w:type="pct"/>
            <w:shd w:val="clear" w:color="auto" w:fill="auto"/>
            <w:noWrap/>
            <w:vAlign w:val="center"/>
            <w:hideMark/>
          </w:tcPr>
          <w:p w14:paraId="751CFAAE" w14:textId="77777777" w:rsidR="007B6BE3" w:rsidRPr="0087376B" w:rsidRDefault="005B20F8" w:rsidP="009D7230">
            <w:pPr>
              <w:pStyle w:val="ListParagraph"/>
              <w:numPr>
                <w:ilvl w:val="0"/>
                <w:numId w:val="8"/>
              </w:numPr>
              <w:spacing w:after="0" w:line="240" w:lineRule="auto"/>
              <w:rPr>
                <w:rFonts w:ascii="Arial" w:eastAsia="Times New Roman" w:hAnsi="Arial" w:cs="Arial"/>
                <w:i/>
                <w:color w:val="0563C1"/>
              </w:rPr>
            </w:pPr>
            <w:r>
              <w:rPr>
                <w:rFonts w:ascii="Arial" w:eastAsia="Times New Roman" w:hAnsi="Arial" w:cs="Arial"/>
                <w:i/>
              </w:rPr>
              <w:t>Верификовани</w:t>
            </w:r>
            <w:r w:rsidR="007B6BE3" w:rsidRPr="0087376B">
              <w:rPr>
                <w:rFonts w:ascii="Arial" w:eastAsia="Times New Roman" w:hAnsi="Arial" w:cs="Arial"/>
                <w:i/>
              </w:rPr>
              <w:t xml:space="preserve"> </w:t>
            </w:r>
            <w:r>
              <w:rPr>
                <w:rFonts w:ascii="Arial" w:eastAsia="Times New Roman" w:hAnsi="Arial" w:cs="Arial"/>
                <w:i/>
              </w:rPr>
              <w:t>дуг</w:t>
            </w:r>
          </w:p>
        </w:tc>
        <w:tc>
          <w:tcPr>
            <w:tcW w:w="928" w:type="pct"/>
            <w:shd w:val="clear" w:color="auto" w:fill="auto"/>
            <w:noWrap/>
            <w:vAlign w:val="center"/>
            <w:hideMark/>
          </w:tcPr>
          <w:p w14:paraId="73C9D800" w14:textId="77777777" w:rsidR="007B6BE3" w:rsidRPr="0087376B" w:rsidRDefault="007B6BE3" w:rsidP="007B6BE3">
            <w:pPr>
              <w:spacing w:after="0" w:line="240" w:lineRule="auto"/>
              <w:jc w:val="center"/>
              <w:rPr>
                <w:rFonts w:ascii="Arial" w:eastAsia="Times New Roman" w:hAnsi="Arial" w:cs="Arial"/>
                <w:color w:val="0563C1"/>
              </w:rPr>
            </w:pPr>
            <w:r w:rsidRPr="0087376B">
              <w:rPr>
                <w:rFonts w:ascii="Arial" w:eastAsia="Times New Roman" w:hAnsi="Arial" w:cs="Arial"/>
                <w:color w:val="0563C1"/>
              </w:rPr>
              <w:t>x</w:t>
            </w:r>
          </w:p>
        </w:tc>
        <w:tc>
          <w:tcPr>
            <w:tcW w:w="1038" w:type="pct"/>
            <w:shd w:val="clear" w:color="auto" w:fill="auto"/>
            <w:noWrap/>
            <w:vAlign w:val="center"/>
            <w:hideMark/>
          </w:tcPr>
          <w:p w14:paraId="21705C55" w14:textId="77777777" w:rsidR="007B6BE3" w:rsidRPr="0087376B" w:rsidRDefault="007B6BE3" w:rsidP="007B6BE3">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3,94</w:t>
            </w:r>
          </w:p>
        </w:tc>
      </w:tr>
      <w:tr w:rsidR="007B6BE3" w:rsidRPr="0087376B" w14:paraId="00ADDF1B" w14:textId="77777777" w:rsidTr="007B6BE3">
        <w:trPr>
          <w:trHeight w:val="80"/>
        </w:trPr>
        <w:tc>
          <w:tcPr>
            <w:tcW w:w="3034" w:type="pct"/>
            <w:shd w:val="clear" w:color="auto" w:fill="auto"/>
            <w:noWrap/>
            <w:vAlign w:val="center"/>
          </w:tcPr>
          <w:p w14:paraId="145E5240" w14:textId="77777777" w:rsidR="007B6BE3" w:rsidRPr="0087376B" w:rsidRDefault="007B6BE3" w:rsidP="007B6BE3">
            <w:pPr>
              <w:spacing w:after="0" w:line="240" w:lineRule="auto"/>
              <w:rPr>
                <w:rFonts w:ascii="Arial" w:eastAsia="Times New Roman" w:hAnsi="Arial" w:cs="Arial"/>
                <w:i/>
                <w:iCs/>
                <w:color w:val="000000"/>
              </w:rPr>
            </w:pPr>
          </w:p>
        </w:tc>
        <w:tc>
          <w:tcPr>
            <w:tcW w:w="928" w:type="pct"/>
            <w:shd w:val="clear" w:color="auto" w:fill="auto"/>
            <w:noWrap/>
            <w:vAlign w:val="center"/>
          </w:tcPr>
          <w:p w14:paraId="0186133B" w14:textId="77777777" w:rsidR="007B6BE3" w:rsidRPr="0087376B" w:rsidRDefault="007B6BE3" w:rsidP="007B6BE3">
            <w:pPr>
              <w:spacing w:after="0" w:line="240" w:lineRule="auto"/>
              <w:jc w:val="center"/>
              <w:rPr>
                <w:rFonts w:ascii="Arial" w:eastAsia="Times New Roman" w:hAnsi="Arial" w:cs="Arial"/>
                <w:b/>
                <w:bCs/>
                <w:i/>
                <w:iCs/>
                <w:color w:val="31849B"/>
              </w:rPr>
            </w:pPr>
          </w:p>
        </w:tc>
        <w:tc>
          <w:tcPr>
            <w:tcW w:w="1038" w:type="pct"/>
            <w:shd w:val="clear" w:color="auto" w:fill="auto"/>
            <w:noWrap/>
            <w:vAlign w:val="center"/>
          </w:tcPr>
          <w:p w14:paraId="0F9C77D5" w14:textId="77777777" w:rsidR="007B6BE3" w:rsidRPr="0087376B" w:rsidRDefault="007B6BE3" w:rsidP="007B6BE3">
            <w:pPr>
              <w:spacing w:after="0" w:line="240" w:lineRule="auto"/>
              <w:jc w:val="right"/>
              <w:rPr>
                <w:rFonts w:ascii="Arial" w:eastAsia="Times New Roman" w:hAnsi="Arial" w:cs="Arial"/>
                <w:i/>
                <w:iCs/>
                <w:color w:val="000000"/>
              </w:rPr>
            </w:pPr>
          </w:p>
        </w:tc>
      </w:tr>
      <w:tr w:rsidR="007B6BE3" w:rsidRPr="0087376B" w14:paraId="5DC07E98" w14:textId="77777777" w:rsidTr="007B6BE3">
        <w:trPr>
          <w:trHeight w:val="80"/>
        </w:trPr>
        <w:tc>
          <w:tcPr>
            <w:tcW w:w="3034" w:type="pct"/>
            <w:shd w:val="clear" w:color="auto" w:fill="auto"/>
            <w:noWrap/>
            <w:vAlign w:val="center"/>
          </w:tcPr>
          <w:p w14:paraId="2954BAAE" w14:textId="77777777" w:rsidR="007B6BE3" w:rsidRPr="0087376B" w:rsidRDefault="005B20F8" w:rsidP="007B6BE3">
            <w:pPr>
              <w:spacing w:after="0" w:line="240" w:lineRule="auto"/>
              <w:rPr>
                <w:rFonts w:ascii="Arial" w:eastAsia="Times New Roman" w:hAnsi="Arial" w:cs="Arial"/>
                <w:i/>
                <w:iCs/>
                <w:color w:val="000000"/>
              </w:rPr>
            </w:pPr>
            <w:r>
              <w:rPr>
                <w:rFonts w:ascii="Arial" w:eastAsia="Times New Roman" w:hAnsi="Arial" w:cs="Arial"/>
                <w:i/>
                <w:iCs/>
                <w:color w:val="000000"/>
              </w:rPr>
              <w:t>УКУПАН</w:t>
            </w:r>
            <w:r w:rsidR="007B6BE3" w:rsidRPr="0087376B">
              <w:rPr>
                <w:rFonts w:ascii="Arial" w:eastAsia="Times New Roman" w:hAnsi="Arial" w:cs="Arial"/>
                <w:i/>
                <w:iCs/>
                <w:color w:val="000000"/>
              </w:rPr>
              <w:t xml:space="preserve"> </w:t>
            </w:r>
            <w:r>
              <w:rPr>
                <w:rFonts w:ascii="Arial" w:eastAsia="Times New Roman" w:hAnsi="Arial" w:cs="Arial"/>
                <w:i/>
                <w:iCs/>
                <w:color w:val="000000"/>
              </w:rPr>
              <w:t>дуг</w:t>
            </w:r>
            <w:r w:rsidR="007B6BE3" w:rsidRPr="0087376B">
              <w:rPr>
                <w:rFonts w:ascii="Arial" w:eastAsia="Times New Roman" w:hAnsi="Arial" w:cs="Arial"/>
                <w:i/>
                <w:iCs/>
                <w:color w:val="000000"/>
              </w:rPr>
              <w:t xml:space="preserve"> </w:t>
            </w:r>
            <w:r>
              <w:rPr>
                <w:rFonts w:ascii="Arial" w:eastAsia="Times New Roman" w:hAnsi="Arial" w:cs="Arial"/>
                <w:i/>
                <w:iCs/>
                <w:color w:val="000000"/>
              </w:rPr>
              <w:t>обухваћен</w:t>
            </w:r>
            <w:r w:rsidR="007B6BE3" w:rsidRPr="0087376B">
              <w:rPr>
                <w:rFonts w:ascii="Arial" w:eastAsia="Times New Roman" w:hAnsi="Arial" w:cs="Arial"/>
                <w:i/>
                <w:iCs/>
                <w:color w:val="000000"/>
              </w:rPr>
              <w:t xml:space="preserve"> </w:t>
            </w:r>
            <w:r>
              <w:rPr>
                <w:rFonts w:ascii="Arial" w:eastAsia="Times New Roman" w:hAnsi="Arial" w:cs="Arial"/>
                <w:i/>
                <w:iCs/>
                <w:color w:val="000000"/>
              </w:rPr>
              <w:t>стратегијом</w:t>
            </w:r>
          </w:p>
        </w:tc>
        <w:tc>
          <w:tcPr>
            <w:tcW w:w="928" w:type="pct"/>
            <w:shd w:val="clear" w:color="auto" w:fill="auto"/>
            <w:noWrap/>
            <w:vAlign w:val="center"/>
          </w:tcPr>
          <w:p w14:paraId="328A7952" w14:textId="77777777" w:rsidR="007B6BE3" w:rsidRPr="0087376B" w:rsidRDefault="007B6BE3" w:rsidP="007B6BE3">
            <w:pPr>
              <w:spacing w:after="0" w:line="240" w:lineRule="auto"/>
              <w:jc w:val="center"/>
              <w:rPr>
                <w:rFonts w:ascii="Arial" w:eastAsia="Times New Roman" w:hAnsi="Arial" w:cs="Arial"/>
                <w:b/>
                <w:bCs/>
                <w:i/>
                <w:iCs/>
                <w:color w:val="31849B"/>
              </w:rPr>
            </w:pPr>
          </w:p>
        </w:tc>
        <w:tc>
          <w:tcPr>
            <w:tcW w:w="1038" w:type="pct"/>
            <w:shd w:val="clear" w:color="auto" w:fill="auto"/>
            <w:noWrap/>
            <w:vAlign w:val="center"/>
          </w:tcPr>
          <w:p w14:paraId="055D0CCB" w14:textId="77777777" w:rsidR="007B6BE3" w:rsidRPr="0087376B" w:rsidRDefault="007B6BE3" w:rsidP="007B6BE3">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6.089,18</w:t>
            </w:r>
          </w:p>
        </w:tc>
      </w:tr>
    </w:tbl>
    <w:p w14:paraId="3CC5658F" w14:textId="77777777" w:rsidR="007B6BE3" w:rsidRPr="0087376B" w:rsidRDefault="007B6BE3" w:rsidP="007B6BE3">
      <w:pPr>
        <w:pStyle w:val="NoSpacing"/>
        <w:spacing w:line="276" w:lineRule="auto"/>
        <w:jc w:val="both"/>
        <w:rPr>
          <w:rFonts w:ascii="Arial" w:hAnsi="Arial" w:cs="Arial"/>
          <w:szCs w:val="24"/>
          <w:lang w:val="hr-HR"/>
        </w:rPr>
      </w:pPr>
    </w:p>
    <w:p w14:paraId="7BD5FEB4" w14:textId="77777777" w:rsidR="007B6BE3" w:rsidRPr="0087376B" w:rsidRDefault="007B6BE3" w:rsidP="007B6BE3">
      <w:pPr>
        <w:pStyle w:val="NoSpacing"/>
        <w:spacing w:line="276" w:lineRule="auto"/>
        <w:jc w:val="both"/>
        <w:rPr>
          <w:rFonts w:ascii="Arial" w:hAnsi="Arial" w:cs="Arial"/>
          <w:sz w:val="16"/>
          <w:szCs w:val="24"/>
          <w:lang w:val="hr-HR"/>
        </w:rPr>
      </w:pPr>
    </w:p>
    <w:p w14:paraId="5B9944D6" w14:textId="77777777" w:rsidR="007B6BE3" w:rsidRPr="0087376B" w:rsidRDefault="007B6BE3" w:rsidP="007B6BE3">
      <w:pPr>
        <w:spacing w:after="0" w:line="240" w:lineRule="auto"/>
        <w:jc w:val="both"/>
      </w:pPr>
    </w:p>
    <w:p w14:paraId="21F2B2EA" w14:textId="3946C5B2" w:rsidR="007B6BE3" w:rsidRPr="0087376B" w:rsidRDefault="005B20F8" w:rsidP="0092788C">
      <w:pPr>
        <w:pStyle w:val="Heading1"/>
        <w:numPr>
          <w:ilvl w:val="0"/>
          <w:numId w:val="1"/>
        </w:numPr>
        <w:spacing w:before="0"/>
        <w:ind w:left="567" w:hanging="425"/>
        <w:jc w:val="both"/>
        <w:rPr>
          <w:rFonts w:ascii="Arial" w:hAnsi="Arial" w:cs="Arial"/>
          <w:b w:val="0"/>
          <w:color w:val="auto"/>
        </w:rPr>
      </w:pPr>
      <w:bookmarkStart w:id="4" w:name="_Toc149810604"/>
      <w:r>
        <w:rPr>
          <w:rFonts w:ascii="Arial" w:hAnsi="Arial" w:cs="Arial"/>
          <w:b w:val="0"/>
          <w:color w:val="auto"/>
        </w:rPr>
        <w:lastRenderedPageBreak/>
        <w:t>Портфолио</w:t>
      </w:r>
      <w:r w:rsidR="007B6BE3" w:rsidRPr="0087376B">
        <w:rPr>
          <w:rFonts w:ascii="Arial" w:hAnsi="Arial" w:cs="Arial"/>
          <w:b w:val="0"/>
          <w:color w:val="auto"/>
        </w:rPr>
        <w:t xml:space="preserve"> </w:t>
      </w:r>
      <w:r>
        <w:rPr>
          <w:rFonts w:ascii="Arial" w:hAnsi="Arial" w:cs="Arial"/>
          <w:b w:val="0"/>
          <w:color w:val="auto"/>
        </w:rPr>
        <w:t>дуга</w:t>
      </w:r>
      <w:r w:rsidR="007B6BE3" w:rsidRPr="0087376B">
        <w:rPr>
          <w:rFonts w:ascii="Arial" w:hAnsi="Arial" w:cs="Arial"/>
          <w:b w:val="0"/>
          <w:color w:val="auto"/>
        </w:rPr>
        <w:t xml:space="preserve"> </w:t>
      </w:r>
      <w:r>
        <w:rPr>
          <w:rFonts w:ascii="Arial" w:hAnsi="Arial" w:cs="Arial"/>
          <w:b w:val="0"/>
          <w:color w:val="auto"/>
        </w:rPr>
        <w:t>Владе</w:t>
      </w:r>
      <w:r w:rsidR="007B6BE3" w:rsidRPr="0087376B">
        <w:rPr>
          <w:rFonts w:ascii="Arial" w:hAnsi="Arial" w:cs="Arial"/>
          <w:b w:val="0"/>
          <w:color w:val="auto"/>
        </w:rPr>
        <w:t xml:space="preserve"> </w:t>
      </w:r>
      <w:r>
        <w:rPr>
          <w:rFonts w:ascii="Arial" w:hAnsi="Arial" w:cs="Arial"/>
          <w:b w:val="0"/>
          <w:color w:val="auto"/>
        </w:rPr>
        <w:t>Федерације</w:t>
      </w:r>
      <w:r w:rsidR="007B6BE3" w:rsidRPr="0087376B">
        <w:rPr>
          <w:rFonts w:ascii="Arial" w:hAnsi="Arial" w:cs="Arial"/>
          <w:b w:val="0"/>
          <w:color w:val="auto"/>
        </w:rPr>
        <w:t xml:space="preserve"> </w:t>
      </w:r>
      <w:r>
        <w:rPr>
          <w:rFonts w:ascii="Arial" w:hAnsi="Arial" w:cs="Arial"/>
          <w:b w:val="0"/>
          <w:color w:val="auto"/>
        </w:rPr>
        <w:t>БиХ</w:t>
      </w:r>
      <w:bookmarkEnd w:id="4"/>
    </w:p>
    <w:p w14:paraId="76C6876F" w14:textId="77777777" w:rsidR="007B6BE3" w:rsidRPr="0087376B" w:rsidRDefault="007B6BE3" w:rsidP="007B6BE3">
      <w:pPr>
        <w:pStyle w:val="NoSpacing"/>
        <w:jc w:val="both"/>
        <w:rPr>
          <w:rFonts w:ascii="Arial" w:hAnsi="Arial" w:cs="Arial"/>
          <w:color w:val="538135" w:themeColor="accent6" w:themeShade="BF"/>
          <w:lang w:val="hr-HR"/>
        </w:rPr>
      </w:pPr>
    </w:p>
    <w:p w14:paraId="394691A7" w14:textId="77777777" w:rsidR="007B6BE3" w:rsidRPr="00625E9C" w:rsidRDefault="005B20F8" w:rsidP="007B6BE3">
      <w:pPr>
        <w:pStyle w:val="ParagraphNumbering"/>
        <w:numPr>
          <w:ilvl w:val="0"/>
          <w:numId w:val="0"/>
        </w:numPr>
        <w:autoSpaceDE w:val="0"/>
        <w:spacing w:after="0" w:line="276" w:lineRule="auto"/>
        <w:ind w:firstLine="360"/>
        <w:jc w:val="both"/>
        <w:rPr>
          <w:rFonts w:ascii="Arial" w:eastAsiaTheme="minorHAnsi" w:hAnsi="Arial" w:cs="Arial"/>
          <w:sz w:val="22"/>
          <w:szCs w:val="22"/>
        </w:rPr>
      </w:pPr>
      <w:r>
        <w:rPr>
          <w:rFonts w:ascii="Arial" w:eastAsiaTheme="minorHAnsi" w:hAnsi="Arial" w:cs="Arial"/>
          <w:sz w:val="22"/>
          <w:szCs w:val="22"/>
        </w:rPr>
        <w:t>Портфолио</w:t>
      </w:r>
      <w:r w:rsidR="007B6BE3" w:rsidRPr="0087376B">
        <w:rPr>
          <w:rFonts w:ascii="Arial" w:eastAsiaTheme="minorHAnsi" w:hAnsi="Arial" w:cs="Arial"/>
          <w:sz w:val="22"/>
          <w:szCs w:val="22"/>
        </w:rPr>
        <w:t xml:space="preserve"> </w:t>
      </w:r>
      <w:r>
        <w:rPr>
          <w:rFonts w:ascii="Arial" w:eastAsiaTheme="minorHAnsi" w:hAnsi="Arial" w:cs="Arial"/>
          <w:sz w:val="22"/>
          <w:szCs w:val="22"/>
        </w:rPr>
        <w:t>дуга</w:t>
      </w:r>
      <w:r w:rsidR="007B6BE3" w:rsidRPr="0087376B">
        <w:rPr>
          <w:rFonts w:ascii="Arial" w:eastAsiaTheme="minorHAnsi" w:hAnsi="Arial" w:cs="Arial"/>
          <w:sz w:val="22"/>
          <w:szCs w:val="22"/>
        </w:rPr>
        <w:t xml:space="preserve"> </w:t>
      </w:r>
      <w:r>
        <w:rPr>
          <w:rFonts w:ascii="Arial" w:eastAsiaTheme="minorHAnsi" w:hAnsi="Arial" w:cs="Arial"/>
          <w:sz w:val="22"/>
          <w:szCs w:val="22"/>
        </w:rPr>
        <w:t>који</w:t>
      </w:r>
      <w:r w:rsidR="007B6BE3" w:rsidRPr="0087376B">
        <w:rPr>
          <w:rFonts w:ascii="Arial" w:eastAsiaTheme="minorHAnsi" w:hAnsi="Arial" w:cs="Arial"/>
          <w:sz w:val="22"/>
          <w:szCs w:val="22"/>
        </w:rPr>
        <w:t xml:space="preserve"> </w:t>
      </w:r>
      <w:r>
        <w:rPr>
          <w:rFonts w:ascii="Arial" w:eastAsiaTheme="minorHAnsi" w:hAnsi="Arial" w:cs="Arial"/>
          <w:sz w:val="22"/>
          <w:szCs w:val="22"/>
        </w:rPr>
        <w:t>је</w:t>
      </w:r>
      <w:r w:rsidR="007B6BE3" w:rsidRPr="0087376B">
        <w:rPr>
          <w:rFonts w:ascii="Arial" w:eastAsiaTheme="minorHAnsi" w:hAnsi="Arial" w:cs="Arial"/>
          <w:sz w:val="22"/>
          <w:szCs w:val="22"/>
        </w:rPr>
        <w:t xml:space="preserve"> </w:t>
      </w:r>
      <w:r>
        <w:rPr>
          <w:rFonts w:ascii="Arial" w:eastAsiaTheme="minorHAnsi" w:hAnsi="Arial" w:cs="Arial"/>
          <w:sz w:val="22"/>
          <w:szCs w:val="22"/>
        </w:rPr>
        <w:t>обухваћен</w:t>
      </w:r>
      <w:r w:rsidR="007B6BE3" w:rsidRPr="0087376B">
        <w:rPr>
          <w:rFonts w:ascii="Arial" w:eastAsiaTheme="minorHAnsi" w:hAnsi="Arial" w:cs="Arial"/>
          <w:sz w:val="22"/>
          <w:szCs w:val="22"/>
        </w:rPr>
        <w:t xml:space="preserve"> </w:t>
      </w:r>
      <w:r>
        <w:rPr>
          <w:rFonts w:ascii="Arial" w:eastAsiaTheme="minorHAnsi" w:hAnsi="Arial" w:cs="Arial"/>
          <w:sz w:val="22"/>
          <w:szCs w:val="22"/>
        </w:rPr>
        <w:t>Стратегијом</w:t>
      </w:r>
      <w:r w:rsidR="007B6BE3" w:rsidRPr="0087376B">
        <w:rPr>
          <w:rFonts w:ascii="Arial" w:eastAsiaTheme="minorHAnsi" w:hAnsi="Arial" w:cs="Arial"/>
          <w:sz w:val="22"/>
          <w:szCs w:val="22"/>
        </w:rPr>
        <w:t xml:space="preserve"> </w:t>
      </w:r>
      <w:r>
        <w:rPr>
          <w:rFonts w:ascii="Arial" w:eastAsiaTheme="minorHAnsi" w:hAnsi="Arial" w:cs="Arial"/>
          <w:sz w:val="22"/>
          <w:szCs w:val="22"/>
        </w:rPr>
        <w:t>и</w:t>
      </w:r>
      <w:r w:rsidR="007B6BE3" w:rsidRPr="0087376B">
        <w:rPr>
          <w:rFonts w:ascii="Arial" w:eastAsiaTheme="minorHAnsi" w:hAnsi="Arial" w:cs="Arial"/>
          <w:sz w:val="22"/>
          <w:szCs w:val="22"/>
        </w:rPr>
        <w:t xml:space="preserve"> </w:t>
      </w:r>
      <w:r>
        <w:rPr>
          <w:rFonts w:ascii="Arial" w:eastAsiaTheme="minorHAnsi" w:hAnsi="Arial" w:cs="Arial"/>
          <w:sz w:val="22"/>
          <w:szCs w:val="22"/>
        </w:rPr>
        <w:t>за</w:t>
      </w:r>
      <w:r w:rsidR="007B6BE3" w:rsidRPr="0087376B">
        <w:rPr>
          <w:rFonts w:ascii="Arial" w:eastAsiaTheme="minorHAnsi" w:hAnsi="Arial" w:cs="Arial"/>
          <w:sz w:val="22"/>
          <w:szCs w:val="22"/>
        </w:rPr>
        <w:t xml:space="preserve"> </w:t>
      </w:r>
      <w:r>
        <w:rPr>
          <w:rFonts w:ascii="Arial" w:eastAsiaTheme="minorHAnsi" w:hAnsi="Arial" w:cs="Arial"/>
          <w:sz w:val="22"/>
          <w:szCs w:val="22"/>
        </w:rPr>
        <w:t>који</w:t>
      </w:r>
      <w:r w:rsidR="007B6BE3" w:rsidRPr="0087376B">
        <w:rPr>
          <w:rFonts w:ascii="Arial" w:eastAsiaTheme="minorHAnsi" w:hAnsi="Arial" w:cs="Arial"/>
          <w:sz w:val="22"/>
          <w:szCs w:val="22"/>
        </w:rPr>
        <w:t xml:space="preserve"> </w:t>
      </w:r>
      <w:r>
        <w:rPr>
          <w:rFonts w:ascii="Arial" w:eastAsiaTheme="minorHAnsi" w:hAnsi="Arial" w:cs="Arial"/>
          <w:sz w:val="22"/>
          <w:szCs w:val="22"/>
        </w:rPr>
        <w:t>је</w:t>
      </w:r>
      <w:r w:rsidR="007B6BE3" w:rsidRPr="0087376B">
        <w:rPr>
          <w:rFonts w:ascii="Arial" w:eastAsiaTheme="minorHAnsi" w:hAnsi="Arial" w:cs="Arial"/>
          <w:sz w:val="22"/>
          <w:szCs w:val="22"/>
        </w:rPr>
        <w:t xml:space="preserve"> </w:t>
      </w:r>
      <w:r>
        <w:rPr>
          <w:rFonts w:ascii="Arial" w:eastAsiaTheme="minorHAnsi" w:hAnsi="Arial" w:cs="Arial"/>
          <w:sz w:val="22"/>
          <w:szCs w:val="22"/>
        </w:rPr>
        <w:t>одговорна</w:t>
      </w:r>
      <w:r w:rsidR="007B6BE3" w:rsidRPr="0087376B">
        <w:rPr>
          <w:rFonts w:ascii="Arial" w:eastAsiaTheme="minorHAnsi" w:hAnsi="Arial" w:cs="Arial"/>
          <w:sz w:val="22"/>
          <w:szCs w:val="22"/>
        </w:rPr>
        <w:t xml:space="preserve"> </w:t>
      </w:r>
      <w:r>
        <w:rPr>
          <w:rFonts w:ascii="Arial" w:eastAsiaTheme="minorHAnsi" w:hAnsi="Arial" w:cs="Arial"/>
          <w:sz w:val="22"/>
          <w:szCs w:val="22"/>
        </w:rPr>
        <w:t>и</w:t>
      </w:r>
      <w:r w:rsidR="007B6BE3" w:rsidRPr="0087376B">
        <w:rPr>
          <w:rFonts w:ascii="Arial" w:eastAsiaTheme="minorHAnsi" w:hAnsi="Arial" w:cs="Arial"/>
          <w:sz w:val="22"/>
          <w:szCs w:val="22"/>
        </w:rPr>
        <w:t xml:space="preserve"> </w:t>
      </w:r>
      <w:r>
        <w:rPr>
          <w:rFonts w:ascii="Arial" w:eastAsiaTheme="minorHAnsi" w:hAnsi="Arial" w:cs="Arial"/>
          <w:sz w:val="22"/>
          <w:szCs w:val="22"/>
        </w:rPr>
        <w:t>којим</w:t>
      </w:r>
      <w:r w:rsidR="007B6BE3" w:rsidRPr="0087376B">
        <w:rPr>
          <w:rFonts w:ascii="Arial" w:eastAsiaTheme="minorHAnsi" w:hAnsi="Arial" w:cs="Arial"/>
          <w:sz w:val="22"/>
          <w:szCs w:val="22"/>
        </w:rPr>
        <w:t xml:space="preserve"> </w:t>
      </w:r>
      <w:r>
        <w:rPr>
          <w:rFonts w:ascii="Arial" w:eastAsiaTheme="minorHAnsi" w:hAnsi="Arial" w:cs="Arial"/>
          <w:sz w:val="22"/>
          <w:szCs w:val="22"/>
        </w:rPr>
        <w:t>управља</w:t>
      </w:r>
      <w:r w:rsidR="007B6BE3" w:rsidRPr="0087376B">
        <w:rPr>
          <w:rFonts w:ascii="Arial" w:eastAsiaTheme="minorHAnsi" w:hAnsi="Arial" w:cs="Arial"/>
          <w:sz w:val="22"/>
          <w:szCs w:val="22"/>
        </w:rPr>
        <w:t xml:space="preserve"> </w:t>
      </w:r>
      <w:r>
        <w:rPr>
          <w:rFonts w:ascii="Arial" w:eastAsiaTheme="minorHAnsi" w:hAnsi="Arial" w:cs="Arial"/>
          <w:sz w:val="22"/>
          <w:szCs w:val="22"/>
        </w:rPr>
        <w:t>Влада</w:t>
      </w:r>
      <w:r w:rsidR="007B6BE3" w:rsidRPr="0087376B">
        <w:rPr>
          <w:rFonts w:ascii="Arial" w:eastAsiaTheme="minorHAnsi" w:hAnsi="Arial" w:cs="Arial"/>
          <w:sz w:val="22"/>
          <w:szCs w:val="22"/>
        </w:rPr>
        <w:t xml:space="preserve"> </w:t>
      </w:r>
      <w:r>
        <w:rPr>
          <w:rFonts w:ascii="Arial" w:eastAsiaTheme="minorHAnsi" w:hAnsi="Arial" w:cs="Arial"/>
          <w:sz w:val="22"/>
          <w:szCs w:val="22"/>
        </w:rPr>
        <w:t>Федерације</w:t>
      </w:r>
      <w:r w:rsidR="007B6BE3" w:rsidRPr="0087376B">
        <w:rPr>
          <w:rFonts w:ascii="Arial" w:eastAsiaTheme="minorHAnsi" w:hAnsi="Arial" w:cs="Arial"/>
          <w:sz w:val="22"/>
          <w:szCs w:val="22"/>
        </w:rPr>
        <w:t xml:space="preserve"> </w:t>
      </w:r>
      <w:r>
        <w:rPr>
          <w:rFonts w:ascii="Arial" w:eastAsiaTheme="minorHAnsi" w:hAnsi="Arial" w:cs="Arial"/>
          <w:sz w:val="22"/>
          <w:szCs w:val="22"/>
        </w:rPr>
        <w:t>БиХ</w:t>
      </w:r>
      <w:r w:rsidR="007B6BE3" w:rsidRPr="0087376B">
        <w:rPr>
          <w:rFonts w:ascii="Arial" w:eastAsiaTheme="minorHAnsi" w:hAnsi="Arial" w:cs="Arial"/>
          <w:sz w:val="22"/>
          <w:szCs w:val="22"/>
        </w:rPr>
        <w:t xml:space="preserve"> </w:t>
      </w:r>
      <w:r>
        <w:rPr>
          <w:rFonts w:ascii="Arial" w:eastAsiaTheme="minorHAnsi" w:hAnsi="Arial" w:cs="Arial"/>
          <w:sz w:val="22"/>
          <w:szCs w:val="22"/>
        </w:rPr>
        <w:t>на</w:t>
      </w:r>
      <w:r w:rsidR="007B6BE3" w:rsidRPr="0087376B">
        <w:rPr>
          <w:rFonts w:ascii="Arial" w:eastAsiaTheme="minorHAnsi" w:hAnsi="Arial" w:cs="Arial"/>
          <w:sz w:val="22"/>
          <w:szCs w:val="22"/>
        </w:rPr>
        <w:t xml:space="preserve"> </w:t>
      </w:r>
      <w:r>
        <w:rPr>
          <w:rFonts w:ascii="Arial" w:eastAsiaTheme="minorHAnsi" w:hAnsi="Arial" w:cs="Arial"/>
          <w:sz w:val="22"/>
          <w:szCs w:val="22"/>
        </w:rPr>
        <w:t>дан</w:t>
      </w:r>
      <w:r w:rsidR="007B6BE3" w:rsidRPr="0087376B">
        <w:rPr>
          <w:rFonts w:ascii="Arial" w:eastAsiaTheme="minorHAnsi" w:hAnsi="Arial" w:cs="Arial"/>
          <w:sz w:val="22"/>
          <w:szCs w:val="22"/>
        </w:rPr>
        <w:t xml:space="preserve"> 31.12.2022. </w:t>
      </w:r>
      <w:r>
        <w:rPr>
          <w:rFonts w:ascii="Arial" w:eastAsiaTheme="minorHAnsi" w:hAnsi="Arial" w:cs="Arial"/>
          <w:sz w:val="22"/>
          <w:szCs w:val="22"/>
        </w:rPr>
        <w:t>године</w:t>
      </w:r>
      <w:r w:rsidR="007B6BE3" w:rsidRPr="0087376B">
        <w:rPr>
          <w:rFonts w:ascii="Arial" w:eastAsiaTheme="minorHAnsi" w:hAnsi="Arial" w:cs="Arial"/>
          <w:sz w:val="22"/>
          <w:szCs w:val="22"/>
        </w:rPr>
        <w:t xml:space="preserve"> </w:t>
      </w:r>
      <w:r>
        <w:rPr>
          <w:rFonts w:ascii="Arial" w:eastAsiaTheme="minorHAnsi" w:hAnsi="Arial" w:cs="Arial"/>
          <w:sz w:val="22"/>
          <w:szCs w:val="22"/>
        </w:rPr>
        <w:t>износи</w:t>
      </w:r>
      <w:r w:rsidR="007B6BE3" w:rsidRPr="0087376B">
        <w:rPr>
          <w:rFonts w:ascii="Arial" w:eastAsiaTheme="minorHAnsi" w:hAnsi="Arial" w:cs="Arial"/>
          <w:sz w:val="22"/>
          <w:szCs w:val="22"/>
        </w:rPr>
        <w:t xml:space="preserve"> 6.089,18 </w:t>
      </w:r>
      <w:r>
        <w:rPr>
          <w:rFonts w:ascii="Arial" w:eastAsiaTheme="minorHAnsi" w:hAnsi="Arial" w:cs="Arial"/>
          <w:sz w:val="22"/>
          <w:szCs w:val="22"/>
        </w:rPr>
        <w:t>мил</w:t>
      </w:r>
      <w:r w:rsidR="007B6BE3" w:rsidRPr="0087376B">
        <w:rPr>
          <w:rFonts w:ascii="Arial" w:eastAsiaTheme="minorHAnsi" w:hAnsi="Arial" w:cs="Arial"/>
          <w:sz w:val="22"/>
          <w:szCs w:val="22"/>
        </w:rPr>
        <w:t>.</w:t>
      </w:r>
      <w:r>
        <w:rPr>
          <w:rFonts w:ascii="Arial" w:eastAsiaTheme="minorHAnsi" w:hAnsi="Arial" w:cs="Arial"/>
          <w:sz w:val="22"/>
          <w:szCs w:val="22"/>
        </w:rPr>
        <w:t>КМ</w:t>
      </w:r>
      <w:r w:rsidR="007B6BE3" w:rsidRPr="0087376B">
        <w:rPr>
          <w:rStyle w:val="FootnoteReference"/>
          <w:rFonts w:ascii="Arial" w:eastAsiaTheme="minorHAnsi" w:hAnsi="Arial" w:cs="Arial"/>
          <w:sz w:val="22"/>
          <w:szCs w:val="22"/>
        </w:rPr>
        <w:footnoteReference w:id="1"/>
      </w:r>
      <w:r w:rsidR="007B6BE3" w:rsidRPr="0087376B">
        <w:rPr>
          <w:rFonts w:ascii="Arial" w:eastAsiaTheme="minorHAnsi" w:hAnsi="Arial" w:cs="Arial"/>
          <w:sz w:val="22"/>
          <w:szCs w:val="22"/>
        </w:rPr>
        <w:t xml:space="preserve"> (3.320,70 </w:t>
      </w:r>
      <w:r>
        <w:rPr>
          <w:rFonts w:ascii="Arial" w:eastAsiaTheme="minorHAnsi" w:hAnsi="Arial" w:cs="Arial"/>
          <w:sz w:val="22"/>
          <w:szCs w:val="22"/>
        </w:rPr>
        <w:t>мил</w:t>
      </w:r>
      <w:r w:rsidR="007B6BE3" w:rsidRPr="0087376B">
        <w:rPr>
          <w:rFonts w:ascii="Arial" w:eastAsiaTheme="minorHAnsi" w:hAnsi="Arial" w:cs="Arial"/>
          <w:sz w:val="22"/>
          <w:szCs w:val="22"/>
        </w:rPr>
        <w:t xml:space="preserve">. </w:t>
      </w:r>
      <w:r w:rsidR="00625E9C" w:rsidRPr="00625E9C">
        <w:rPr>
          <w:rFonts w:ascii="Arial" w:eastAsiaTheme="minorHAnsi" w:hAnsi="Arial" w:cs="Arial"/>
          <w:sz w:val="22"/>
          <w:szCs w:val="22"/>
        </w:rPr>
        <w:t>USD</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или</w:t>
      </w:r>
      <w:r w:rsidR="007B6BE3" w:rsidRPr="00625E9C">
        <w:rPr>
          <w:rFonts w:ascii="Arial" w:eastAsiaTheme="minorHAnsi" w:hAnsi="Arial" w:cs="Arial"/>
          <w:sz w:val="22"/>
          <w:szCs w:val="22"/>
        </w:rPr>
        <w:t xml:space="preserve"> </w:t>
      </w:r>
      <w:r w:rsidR="007B6BE3" w:rsidRPr="00625E9C">
        <w:rPr>
          <w:rFonts w:ascii="Arial" w:eastAsia="Times New Roman" w:hAnsi="Arial" w:cs="Arial"/>
          <w:bCs/>
          <w:sz w:val="22"/>
          <w:szCs w:val="22"/>
          <w:lang w:eastAsia="zh-CN"/>
        </w:rPr>
        <w:t>20,74</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БДП</w:t>
      </w:r>
      <w:r w:rsidR="007B6BE3" w:rsidRPr="00625E9C">
        <w:rPr>
          <w:rFonts w:ascii="Arial" w:eastAsiaTheme="minorHAnsi" w:hAnsi="Arial" w:cs="Arial"/>
          <w:sz w:val="22"/>
          <w:szCs w:val="22"/>
        </w:rPr>
        <w:t>-</w:t>
      </w:r>
      <w:r w:rsidRPr="00625E9C">
        <w:rPr>
          <w:rFonts w:ascii="Arial" w:eastAsiaTheme="minorHAnsi" w:hAnsi="Arial" w:cs="Arial"/>
          <w:sz w:val="22"/>
          <w:szCs w:val="22"/>
        </w:rPr>
        <w:t>а</w:t>
      </w:r>
      <w:r w:rsidR="007B6BE3" w:rsidRPr="00625E9C">
        <w:rPr>
          <w:rStyle w:val="FootnoteReference"/>
          <w:rFonts w:ascii="Arial" w:eastAsiaTheme="minorHAnsi" w:hAnsi="Arial" w:cs="Arial"/>
          <w:sz w:val="22"/>
          <w:szCs w:val="22"/>
        </w:rPr>
        <w:footnoteReference w:id="2"/>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Федерације</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БиХ</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а</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састоји</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се</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од</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спољног</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дуга</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у</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износу</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од</w:t>
      </w:r>
      <w:r w:rsidR="007B6BE3" w:rsidRPr="00625E9C">
        <w:rPr>
          <w:rFonts w:ascii="Arial" w:eastAsiaTheme="minorHAnsi" w:hAnsi="Arial" w:cs="Arial"/>
          <w:sz w:val="22"/>
          <w:szCs w:val="22"/>
        </w:rPr>
        <w:t xml:space="preserve"> 5.410,49 </w:t>
      </w:r>
      <w:r w:rsidRPr="00625E9C">
        <w:rPr>
          <w:rFonts w:ascii="Arial" w:eastAsiaTheme="minorHAnsi" w:hAnsi="Arial" w:cs="Arial"/>
          <w:sz w:val="22"/>
          <w:szCs w:val="22"/>
        </w:rPr>
        <w:t>мил</w:t>
      </w:r>
      <w:r w:rsidR="007B6BE3" w:rsidRPr="00625E9C">
        <w:rPr>
          <w:rFonts w:ascii="Arial" w:eastAsiaTheme="minorHAnsi" w:hAnsi="Arial" w:cs="Arial"/>
          <w:sz w:val="22"/>
          <w:szCs w:val="22"/>
        </w:rPr>
        <w:t>.</w:t>
      </w:r>
      <w:r w:rsidRPr="00625E9C">
        <w:rPr>
          <w:rFonts w:ascii="Arial" w:eastAsiaTheme="minorHAnsi" w:hAnsi="Arial" w:cs="Arial"/>
          <w:sz w:val="22"/>
          <w:szCs w:val="22"/>
        </w:rPr>
        <w:t>КМ</w:t>
      </w:r>
      <w:r w:rsidR="007B6BE3" w:rsidRPr="00625E9C">
        <w:rPr>
          <w:rFonts w:ascii="Arial" w:eastAsiaTheme="minorHAnsi" w:hAnsi="Arial" w:cs="Arial"/>
          <w:sz w:val="22"/>
          <w:szCs w:val="22"/>
        </w:rPr>
        <w:t xml:space="preserve"> (</w:t>
      </w:r>
      <w:r w:rsidR="007B6BE3" w:rsidRPr="00625E9C">
        <w:rPr>
          <w:rFonts w:ascii="Arial" w:eastAsia="Arial" w:hAnsi="Arial" w:cs="Arial"/>
          <w:sz w:val="22"/>
          <w:szCs w:val="22"/>
        </w:rPr>
        <w:t xml:space="preserve">2.950,58 </w:t>
      </w:r>
      <w:r w:rsidRPr="00625E9C">
        <w:rPr>
          <w:rFonts w:ascii="Arial" w:eastAsiaTheme="minorHAnsi" w:hAnsi="Arial" w:cs="Arial"/>
          <w:sz w:val="22"/>
          <w:szCs w:val="22"/>
        </w:rPr>
        <w:t>мил</w:t>
      </w:r>
      <w:r w:rsidR="007B6BE3" w:rsidRPr="00625E9C">
        <w:rPr>
          <w:rFonts w:ascii="Arial" w:eastAsiaTheme="minorHAnsi" w:hAnsi="Arial" w:cs="Arial"/>
          <w:sz w:val="22"/>
          <w:szCs w:val="22"/>
        </w:rPr>
        <w:t xml:space="preserve">. </w:t>
      </w:r>
      <w:r w:rsidR="00625E9C" w:rsidRPr="00625E9C">
        <w:rPr>
          <w:rFonts w:ascii="Arial" w:eastAsiaTheme="minorHAnsi" w:hAnsi="Arial" w:cs="Arial"/>
          <w:sz w:val="22"/>
          <w:szCs w:val="22"/>
        </w:rPr>
        <w:t>USD</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или</w:t>
      </w:r>
      <w:r w:rsidR="007B6BE3" w:rsidRPr="00625E9C">
        <w:rPr>
          <w:rFonts w:ascii="Arial" w:eastAsiaTheme="minorHAnsi" w:hAnsi="Arial" w:cs="Arial"/>
          <w:sz w:val="22"/>
          <w:szCs w:val="22"/>
        </w:rPr>
        <w:t xml:space="preserve"> 88,85%</w:t>
      </w:r>
      <w:r w:rsidRPr="00625E9C">
        <w:rPr>
          <w:rFonts w:ascii="Arial" w:eastAsiaTheme="minorHAnsi" w:hAnsi="Arial" w:cs="Arial"/>
          <w:sz w:val="22"/>
          <w:szCs w:val="22"/>
        </w:rPr>
        <w:t>укупног</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дуга</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и</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унутрашњег</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дуга</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у</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износу</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од</w:t>
      </w:r>
      <w:r w:rsidR="007B6BE3" w:rsidRPr="00625E9C">
        <w:rPr>
          <w:rFonts w:ascii="Arial" w:eastAsiaTheme="minorHAnsi" w:hAnsi="Arial" w:cs="Arial"/>
          <w:sz w:val="22"/>
          <w:szCs w:val="22"/>
        </w:rPr>
        <w:t xml:space="preserve"> 678,69 </w:t>
      </w:r>
      <w:r w:rsidRPr="00625E9C">
        <w:rPr>
          <w:rFonts w:ascii="Arial" w:eastAsiaTheme="minorHAnsi" w:hAnsi="Arial" w:cs="Arial"/>
          <w:sz w:val="22"/>
          <w:szCs w:val="22"/>
        </w:rPr>
        <w:t>мил</w:t>
      </w:r>
      <w:r w:rsidR="007B6BE3" w:rsidRPr="00625E9C">
        <w:rPr>
          <w:rFonts w:ascii="Arial" w:eastAsiaTheme="minorHAnsi" w:hAnsi="Arial" w:cs="Arial"/>
          <w:sz w:val="22"/>
          <w:szCs w:val="22"/>
        </w:rPr>
        <w:t>.</w:t>
      </w:r>
      <w:r w:rsidRPr="00625E9C">
        <w:rPr>
          <w:rFonts w:ascii="Arial" w:eastAsiaTheme="minorHAnsi" w:hAnsi="Arial" w:cs="Arial"/>
          <w:sz w:val="22"/>
          <w:szCs w:val="22"/>
        </w:rPr>
        <w:t>КМ</w:t>
      </w:r>
      <w:r w:rsidR="007B6BE3" w:rsidRPr="00625E9C">
        <w:rPr>
          <w:rFonts w:ascii="Arial" w:eastAsiaTheme="minorHAnsi" w:hAnsi="Arial" w:cs="Arial"/>
          <w:sz w:val="22"/>
          <w:szCs w:val="22"/>
        </w:rPr>
        <w:t xml:space="preserve"> (370,12 </w:t>
      </w:r>
      <w:r w:rsidRPr="00625E9C">
        <w:rPr>
          <w:rFonts w:ascii="Arial" w:eastAsiaTheme="minorHAnsi" w:hAnsi="Arial" w:cs="Arial"/>
          <w:sz w:val="22"/>
          <w:szCs w:val="22"/>
        </w:rPr>
        <w:t>мил</w:t>
      </w:r>
      <w:r w:rsidR="007B6BE3" w:rsidRPr="00625E9C">
        <w:rPr>
          <w:rFonts w:ascii="Arial" w:eastAsiaTheme="minorHAnsi" w:hAnsi="Arial" w:cs="Arial"/>
          <w:sz w:val="22"/>
          <w:szCs w:val="22"/>
        </w:rPr>
        <w:t xml:space="preserve">. </w:t>
      </w:r>
      <w:r w:rsidR="00625E9C" w:rsidRPr="00625E9C">
        <w:rPr>
          <w:rFonts w:ascii="Arial" w:eastAsiaTheme="minorHAnsi" w:hAnsi="Arial" w:cs="Arial"/>
          <w:sz w:val="22"/>
          <w:szCs w:val="22"/>
        </w:rPr>
        <w:t>USD</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или</w:t>
      </w:r>
      <w:r w:rsidR="007B6BE3" w:rsidRPr="00625E9C">
        <w:rPr>
          <w:rFonts w:ascii="Arial" w:eastAsiaTheme="minorHAnsi" w:hAnsi="Arial" w:cs="Arial"/>
          <w:sz w:val="22"/>
          <w:szCs w:val="22"/>
        </w:rPr>
        <w:t xml:space="preserve"> 11,15% </w:t>
      </w:r>
      <w:r w:rsidRPr="00625E9C">
        <w:rPr>
          <w:rFonts w:ascii="Arial" w:eastAsiaTheme="minorHAnsi" w:hAnsi="Arial" w:cs="Arial"/>
          <w:sz w:val="22"/>
          <w:szCs w:val="22"/>
        </w:rPr>
        <w:t>укупног</w:t>
      </w:r>
      <w:r w:rsidR="007B6BE3" w:rsidRPr="00625E9C">
        <w:rPr>
          <w:rFonts w:ascii="Arial" w:eastAsiaTheme="minorHAnsi" w:hAnsi="Arial" w:cs="Arial"/>
          <w:sz w:val="22"/>
          <w:szCs w:val="22"/>
        </w:rPr>
        <w:t xml:space="preserve"> </w:t>
      </w:r>
      <w:r w:rsidRPr="00625E9C">
        <w:rPr>
          <w:rFonts w:ascii="Arial" w:eastAsiaTheme="minorHAnsi" w:hAnsi="Arial" w:cs="Arial"/>
          <w:sz w:val="22"/>
          <w:szCs w:val="22"/>
        </w:rPr>
        <w:t>дуга</w:t>
      </w:r>
      <w:r w:rsidR="007B6BE3" w:rsidRPr="00625E9C">
        <w:rPr>
          <w:rFonts w:ascii="Arial" w:eastAsiaTheme="minorHAnsi" w:hAnsi="Arial" w:cs="Arial"/>
          <w:sz w:val="22"/>
          <w:szCs w:val="22"/>
        </w:rPr>
        <w:t>).</w:t>
      </w:r>
    </w:p>
    <w:p w14:paraId="634E95E6" w14:textId="77777777" w:rsidR="007B6BE3" w:rsidRPr="00625E9C" w:rsidRDefault="007B6BE3" w:rsidP="007B6BE3">
      <w:pPr>
        <w:pStyle w:val="ParagraphNumbering"/>
        <w:numPr>
          <w:ilvl w:val="0"/>
          <w:numId w:val="0"/>
        </w:numPr>
        <w:autoSpaceDE w:val="0"/>
        <w:spacing w:after="0" w:line="240" w:lineRule="auto"/>
        <w:jc w:val="both"/>
        <w:rPr>
          <w:rFonts w:ascii="Arial" w:eastAsiaTheme="minorHAnsi" w:hAnsi="Arial" w:cs="Arial"/>
          <w:sz w:val="22"/>
        </w:rPr>
      </w:pPr>
    </w:p>
    <w:p w14:paraId="29C6F5B3" w14:textId="4B22C870" w:rsidR="007B6BE3" w:rsidRPr="00625E9C" w:rsidRDefault="005B20F8" w:rsidP="007B6BE3">
      <w:pPr>
        <w:pStyle w:val="ParagraphNumbering"/>
        <w:numPr>
          <w:ilvl w:val="0"/>
          <w:numId w:val="0"/>
        </w:numPr>
        <w:autoSpaceDE w:val="0"/>
        <w:spacing w:after="0" w:line="240" w:lineRule="auto"/>
        <w:jc w:val="both"/>
        <w:rPr>
          <w:rFonts w:ascii="Arial" w:eastAsiaTheme="minorHAnsi" w:hAnsi="Arial" w:cs="Arial"/>
          <w:sz w:val="22"/>
        </w:rPr>
      </w:pPr>
      <w:r w:rsidRPr="00625E9C">
        <w:rPr>
          <w:rFonts w:ascii="Arial" w:eastAsiaTheme="minorHAnsi" w:hAnsi="Arial" w:cs="Arial"/>
          <w:sz w:val="22"/>
        </w:rPr>
        <w:t>Табела</w:t>
      </w:r>
      <w:r w:rsidR="007B6BE3" w:rsidRPr="00625E9C">
        <w:rPr>
          <w:rFonts w:ascii="Arial" w:eastAsiaTheme="minorHAnsi" w:hAnsi="Arial" w:cs="Arial"/>
          <w:sz w:val="22"/>
        </w:rPr>
        <w:t xml:space="preserve"> 2. </w:t>
      </w:r>
      <w:r w:rsidRPr="00625E9C">
        <w:rPr>
          <w:rFonts w:ascii="Arial" w:eastAsiaTheme="minorHAnsi" w:hAnsi="Arial" w:cs="Arial"/>
          <w:sz w:val="22"/>
        </w:rPr>
        <w:t>Укупан</w:t>
      </w:r>
      <w:r w:rsidR="007B6BE3" w:rsidRPr="00625E9C">
        <w:rPr>
          <w:rFonts w:ascii="Arial" w:eastAsiaTheme="minorHAnsi" w:hAnsi="Arial" w:cs="Arial"/>
          <w:sz w:val="22"/>
        </w:rPr>
        <w:t xml:space="preserve"> </w:t>
      </w:r>
      <w:r w:rsidRPr="00625E9C">
        <w:rPr>
          <w:rFonts w:ascii="Arial" w:eastAsiaTheme="minorHAnsi" w:hAnsi="Arial" w:cs="Arial"/>
          <w:sz w:val="22"/>
        </w:rPr>
        <w:t>дуг</w:t>
      </w:r>
      <w:r w:rsidR="007B6BE3" w:rsidRPr="00625E9C">
        <w:rPr>
          <w:rFonts w:ascii="Arial" w:eastAsiaTheme="minorHAnsi" w:hAnsi="Arial" w:cs="Arial"/>
          <w:sz w:val="22"/>
        </w:rPr>
        <w:t xml:space="preserve"> </w:t>
      </w:r>
      <w:r w:rsidRPr="00625E9C">
        <w:rPr>
          <w:rFonts w:ascii="Arial" w:eastAsiaTheme="minorHAnsi" w:hAnsi="Arial" w:cs="Arial"/>
          <w:sz w:val="22"/>
        </w:rPr>
        <w:t>обухваћен</w:t>
      </w:r>
      <w:r w:rsidR="007B6BE3" w:rsidRPr="00625E9C">
        <w:rPr>
          <w:rFonts w:ascii="Arial" w:eastAsiaTheme="minorHAnsi" w:hAnsi="Arial" w:cs="Arial"/>
          <w:sz w:val="22"/>
        </w:rPr>
        <w:t xml:space="preserve"> </w:t>
      </w:r>
      <w:r w:rsidRPr="00625E9C">
        <w:rPr>
          <w:rFonts w:ascii="Arial" w:eastAsiaTheme="minorHAnsi" w:hAnsi="Arial" w:cs="Arial"/>
          <w:sz w:val="22"/>
        </w:rPr>
        <w:t>Стратегијом</w:t>
      </w:r>
      <w:r w:rsidR="007B6BE3" w:rsidRPr="00625E9C">
        <w:rPr>
          <w:rFonts w:ascii="Arial" w:eastAsiaTheme="minorHAnsi" w:hAnsi="Arial" w:cs="Arial"/>
          <w:sz w:val="22"/>
        </w:rPr>
        <w:t xml:space="preserve"> </w:t>
      </w:r>
      <w:r w:rsidRPr="00625E9C">
        <w:rPr>
          <w:rFonts w:ascii="Arial" w:eastAsiaTheme="minorHAnsi" w:hAnsi="Arial" w:cs="Arial"/>
          <w:sz w:val="22"/>
        </w:rPr>
        <w:t>на</w:t>
      </w:r>
      <w:r w:rsidR="007B6BE3" w:rsidRPr="00625E9C">
        <w:rPr>
          <w:rFonts w:ascii="Arial" w:eastAsiaTheme="minorHAnsi" w:hAnsi="Arial" w:cs="Arial"/>
          <w:sz w:val="22"/>
        </w:rPr>
        <w:t xml:space="preserve"> </w:t>
      </w:r>
      <w:r w:rsidRPr="00625E9C">
        <w:rPr>
          <w:rFonts w:ascii="Arial" w:eastAsiaTheme="minorHAnsi" w:hAnsi="Arial" w:cs="Arial"/>
          <w:sz w:val="22"/>
        </w:rPr>
        <w:t>дан</w:t>
      </w:r>
      <w:r w:rsidR="007B6BE3" w:rsidRPr="00625E9C">
        <w:rPr>
          <w:rFonts w:ascii="Arial" w:eastAsiaTheme="minorHAnsi" w:hAnsi="Arial" w:cs="Arial"/>
          <w:sz w:val="22"/>
        </w:rPr>
        <w:t xml:space="preserve"> 31.12.2022. </w:t>
      </w:r>
      <w:r w:rsidRPr="00625E9C">
        <w:rPr>
          <w:rFonts w:ascii="Arial" w:eastAsiaTheme="minorHAnsi" w:hAnsi="Arial" w:cs="Arial"/>
          <w:sz w:val="22"/>
        </w:rPr>
        <w:t>године</w:t>
      </w:r>
    </w:p>
    <w:tbl>
      <w:tblPr>
        <w:tblW w:w="5000" w:type="pct"/>
        <w:tblLook w:val="04A0" w:firstRow="1" w:lastRow="0" w:firstColumn="1" w:lastColumn="0" w:noHBand="0" w:noVBand="1"/>
      </w:tblPr>
      <w:tblGrid>
        <w:gridCol w:w="3137"/>
        <w:gridCol w:w="2004"/>
        <w:gridCol w:w="2167"/>
        <w:gridCol w:w="2005"/>
      </w:tblGrid>
      <w:tr w:rsidR="007B6BE3" w:rsidRPr="00625E9C" w14:paraId="26E88E76" w14:textId="77777777" w:rsidTr="007B6BE3">
        <w:trPr>
          <w:trHeight w:val="345"/>
        </w:trPr>
        <w:tc>
          <w:tcPr>
            <w:tcW w:w="1586" w:type="pct"/>
            <w:tcBorders>
              <w:top w:val="single" w:sz="8" w:space="0" w:color="4F81BD"/>
              <w:left w:val="single" w:sz="8" w:space="0" w:color="4F81BD"/>
              <w:bottom w:val="single" w:sz="8" w:space="0" w:color="4F81BD"/>
              <w:right w:val="nil"/>
            </w:tcBorders>
            <w:shd w:val="clear" w:color="auto" w:fill="auto"/>
            <w:noWrap/>
            <w:vAlign w:val="center"/>
            <w:hideMark/>
          </w:tcPr>
          <w:p w14:paraId="50CCA5D9" w14:textId="77777777" w:rsidR="007B6BE3" w:rsidRPr="00625E9C" w:rsidRDefault="005B20F8" w:rsidP="007B6BE3">
            <w:pPr>
              <w:spacing w:after="0" w:line="240" w:lineRule="auto"/>
              <w:jc w:val="center"/>
              <w:rPr>
                <w:rFonts w:ascii="Arial Narrow" w:eastAsia="Times New Roman" w:hAnsi="Arial Narrow" w:cs="Calibri"/>
              </w:rPr>
            </w:pPr>
            <w:r w:rsidRPr="00625E9C">
              <w:rPr>
                <w:rFonts w:ascii="Arial Narrow" w:eastAsia="Times New Roman" w:hAnsi="Arial Narrow" w:cs="Calibri"/>
              </w:rPr>
              <w:t>Опис</w:t>
            </w:r>
          </w:p>
        </w:tc>
        <w:tc>
          <w:tcPr>
            <w:tcW w:w="1109" w:type="pct"/>
            <w:tcBorders>
              <w:top w:val="single" w:sz="8" w:space="0" w:color="4F81BD"/>
              <w:left w:val="nil"/>
              <w:bottom w:val="single" w:sz="8" w:space="0" w:color="4F81BD"/>
              <w:right w:val="nil"/>
            </w:tcBorders>
            <w:shd w:val="clear" w:color="auto" w:fill="auto"/>
            <w:noWrap/>
            <w:vAlign w:val="center"/>
            <w:hideMark/>
          </w:tcPr>
          <w:p w14:paraId="56035D28" w14:textId="77777777" w:rsidR="007B6BE3" w:rsidRPr="00625E9C" w:rsidRDefault="005B20F8" w:rsidP="007B6BE3">
            <w:pPr>
              <w:spacing w:after="0" w:line="240" w:lineRule="auto"/>
              <w:jc w:val="center"/>
              <w:rPr>
                <w:rFonts w:ascii="Arial Narrow" w:eastAsia="Times New Roman" w:hAnsi="Arial Narrow" w:cs="Calibri"/>
              </w:rPr>
            </w:pPr>
            <w:r w:rsidRPr="00625E9C">
              <w:rPr>
                <w:rFonts w:ascii="Arial Narrow" w:eastAsia="Times New Roman" w:hAnsi="Arial Narrow" w:cs="Calibri"/>
              </w:rPr>
              <w:t>Спољни</w:t>
            </w:r>
            <w:r w:rsidR="007B6BE3" w:rsidRPr="00625E9C">
              <w:rPr>
                <w:rFonts w:ascii="Arial Narrow" w:eastAsia="Times New Roman" w:hAnsi="Arial Narrow" w:cs="Calibri"/>
              </w:rPr>
              <w:t xml:space="preserve"> </w:t>
            </w:r>
            <w:r w:rsidRPr="00625E9C">
              <w:rPr>
                <w:rFonts w:ascii="Arial Narrow" w:eastAsia="Times New Roman" w:hAnsi="Arial Narrow" w:cs="Calibri"/>
              </w:rPr>
              <w:t>дуг</w:t>
            </w:r>
          </w:p>
        </w:tc>
        <w:tc>
          <w:tcPr>
            <w:tcW w:w="1196" w:type="pct"/>
            <w:tcBorders>
              <w:top w:val="single" w:sz="8" w:space="0" w:color="4F81BD"/>
              <w:left w:val="nil"/>
              <w:bottom w:val="single" w:sz="8" w:space="0" w:color="4F81BD"/>
              <w:right w:val="nil"/>
            </w:tcBorders>
            <w:shd w:val="clear" w:color="auto" w:fill="auto"/>
            <w:noWrap/>
            <w:vAlign w:val="center"/>
            <w:hideMark/>
          </w:tcPr>
          <w:p w14:paraId="5A19B3E0" w14:textId="77777777" w:rsidR="007B6BE3" w:rsidRPr="00625E9C" w:rsidRDefault="005B20F8" w:rsidP="007B6BE3">
            <w:pPr>
              <w:spacing w:after="0" w:line="240" w:lineRule="auto"/>
              <w:jc w:val="center"/>
              <w:rPr>
                <w:rFonts w:ascii="Arial Narrow" w:eastAsia="Times New Roman" w:hAnsi="Arial Narrow" w:cs="Calibri"/>
              </w:rPr>
            </w:pPr>
            <w:r w:rsidRPr="00625E9C">
              <w:rPr>
                <w:rFonts w:ascii="Arial Narrow" w:eastAsia="Times New Roman" w:hAnsi="Arial Narrow" w:cs="Calibri"/>
              </w:rPr>
              <w:t>Унутрашњи</w:t>
            </w:r>
            <w:r w:rsidR="007B6BE3" w:rsidRPr="00625E9C">
              <w:rPr>
                <w:rFonts w:ascii="Arial Narrow" w:eastAsia="Times New Roman" w:hAnsi="Arial Narrow" w:cs="Calibri"/>
              </w:rPr>
              <w:t xml:space="preserve"> </w:t>
            </w:r>
            <w:r w:rsidRPr="00625E9C">
              <w:rPr>
                <w:rFonts w:ascii="Arial Narrow" w:eastAsia="Times New Roman" w:hAnsi="Arial Narrow" w:cs="Calibri"/>
              </w:rPr>
              <w:t>дуг</w:t>
            </w:r>
          </w:p>
        </w:tc>
        <w:tc>
          <w:tcPr>
            <w:tcW w:w="1109" w:type="pct"/>
            <w:tcBorders>
              <w:top w:val="single" w:sz="8" w:space="0" w:color="4F81BD"/>
              <w:left w:val="nil"/>
              <w:bottom w:val="single" w:sz="8" w:space="0" w:color="4F81BD"/>
              <w:right w:val="single" w:sz="8" w:space="0" w:color="4F81BD"/>
            </w:tcBorders>
            <w:shd w:val="clear" w:color="auto" w:fill="auto"/>
            <w:noWrap/>
            <w:vAlign w:val="center"/>
            <w:hideMark/>
          </w:tcPr>
          <w:p w14:paraId="27168B3E" w14:textId="77777777" w:rsidR="007B6BE3" w:rsidRPr="00625E9C" w:rsidRDefault="005B20F8" w:rsidP="007B6BE3">
            <w:pPr>
              <w:spacing w:after="0" w:line="240" w:lineRule="auto"/>
              <w:jc w:val="center"/>
              <w:rPr>
                <w:rFonts w:ascii="Arial Narrow" w:eastAsia="Times New Roman" w:hAnsi="Arial Narrow" w:cs="Calibri"/>
              </w:rPr>
            </w:pPr>
            <w:r w:rsidRPr="00625E9C">
              <w:rPr>
                <w:rFonts w:ascii="Arial Narrow" w:eastAsia="Times New Roman" w:hAnsi="Arial Narrow" w:cs="Calibri"/>
              </w:rPr>
              <w:t>Укупни</w:t>
            </w:r>
            <w:r w:rsidR="007B6BE3" w:rsidRPr="00625E9C">
              <w:rPr>
                <w:rFonts w:ascii="Arial Narrow" w:eastAsia="Times New Roman" w:hAnsi="Arial Narrow" w:cs="Calibri"/>
              </w:rPr>
              <w:t xml:space="preserve"> </w:t>
            </w:r>
            <w:r w:rsidRPr="00625E9C">
              <w:rPr>
                <w:rFonts w:ascii="Arial Narrow" w:eastAsia="Times New Roman" w:hAnsi="Arial Narrow" w:cs="Calibri"/>
              </w:rPr>
              <w:t>дуг</w:t>
            </w:r>
          </w:p>
        </w:tc>
      </w:tr>
      <w:tr w:rsidR="007B6BE3" w:rsidRPr="00625E9C" w14:paraId="79769334" w14:textId="77777777" w:rsidTr="007B6BE3">
        <w:trPr>
          <w:trHeight w:val="330"/>
        </w:trPr>
        <w:tc>
          <w:tcPr>
            <w:tcW w:w="1586" w:type="pct"/>
            <w:tcBorders>
              <w:top w:val="nil"/>
              <w:left w:val="single" w:sz="8" w:space="0" w:color="4F81BD"/>
              <w:bottom w:val="nil"/>
              <w:right w:val="nil"/>
            </w:tcBorders>
            <w:shd w:val="clear" w:color="auto" w:fill="auto"/>
            <w:noWrap/>
            <w:vAlign w:val="center"/>
            <w:hideMark/>
          </w:tcPr>
          <w:p w14:paraId="42ADFC8A" w14:textId="77777777" w:rsidR="007B6BE3" w:rsidRPr="00625E9C" w:rsidRDefault="005B20F8" w:rsidP="007B6BE3">
            <w:pPr>
              <w:spacing w:after="0" w:line="240" w:lineRule="auto"/>
              <w:rPr>
                <w:rFonts w:ascii="Arial Narrow" w:eastAsia="Times New Roman" w:hAnsi="Arial Narrow" w:cs="Calibri"/>
              </w:rPr>
            </w:pPr>
            <w:r w:rsidRPr="00625E9C">
              <w:rPr>
                <w:rFonts w:ascii="Arial Narrow" w:eastAsia="Times New Roman" w:hAnsi="Arial Narrow" w:cs="Calibri"/>
              </w:rPr>
              <w:t>Износ</w:t>
            </w:r>
            <w:r w:rsidR="007B6BE3" w:rsidRPr="00625E9C">
              <w:rPr>
                <w:rFonts w:ascii="Arial Narrow" w:eastAsia="Times New Roman" w:hAnsi="Arial Narrow" w:cs="Calibri"/>
              </w:rPr>
              <w:t xml:space="preserve"> (</w:t>
            </w:r>
            <w:r w:rsidRPr="00625E9C">
              <w:rPr>
                <w:rFonts w:ascii="Arial Narrow" w:eastAsia="Times New Roman" w:hAnsi="Arial Narrow" w:cs="Calibri"/>
              </w:rPr>
              <w:t>у</w:t>
            </w:r>
            <w:r w:rsidR="007B6BE3" w:rsidRPr="00625E9C">
              <w:rPr>
                <w:rFonts w:ascii="Arial Narrow" w:eastAsia="Times New Roman" w:hAnsi="Arial Narrow" w:cs="Calibri"/>
              </w:rPr>
              <w:t xml:space="preserve"> </w:t>
            </w:r>
            <w:r w:rsidRPr="00625E9C">
              <w:rPr>
                <w:rFonts w:ascii="Arial Narrow" w:eastAsia="Times New Roman" w:hAnsi="Arial Narrow" w:cs="Calibri"/>
              </w:rPr>
              <w:t>мил</w:t>
            </w:r>
            <w:r w:rsidR="007B6BE3" w:rsidRPr="00625E9C">
              <w:rPr>
                <w:rFonts w:ascii="Arial Narrow" w:eastAsia="Times New Roman" w:hAnsi="Arial Narrow" w:cs="Calibri"/>
              </w:rPr>
              <w:t xml:space="preserve">. </w:t>
            </w:r>
            <w:r w:rsidRPr="00625E9C">
              <w:rPr>
                <w:rFonts w:ascii="Arial Narrow" w:eastAsia="Times New Roman" w:hAnsi="Arial Narrow" w:cs="Calibri"/>
              </w:rPr>
              <w:t>КМ</w:t>
            </w:r>
            <w:r w:rsidR="007B6BE3" w:rsidRPr="00625E9C">
              <w:rPr>
                <w:rFonts w:ascii="Arial Narrow" w:eastAsia="Times New Roman" w:hAnsi="Arial Narrow" w:cs="Calibri"/>
              </w:rPr>
              <w:t xml:space="preserve">) </w:t>
            </w:r>
          </w:p>
        </w:tc>
        <w:tc>
          <w:tcPr>
            <w:tcW w:w="1109" w:type="pct"/>
            <w:tcBorders>
              <w:top w:val="nil"/>
              <w:left w:val="nil"/>
              <w:bottom w:val="nil"/>
              <w:right w:val="nil"/>
            </w:tcBorders>
            <w:shd w:val="clear" w:color="auto" w:fill="auto"/>
            <w:noWrap/>
            <w:vAlign w:val="center"/>
            <w:hideMark/>
          </w:tcPr>
          <w:p w14:paraId="27BE1266" w14:textId="77777777" w:rsidR="007B6BE3" w:rsidRPr="00625E9C" w:rsidRDefault="007B6BE3" w:rsidP="007B6BE3">
            <w:pPr>
              <w:spacing w:after="0" w:line="240" w:lineRule="auto"/>
              <w:jc w:val="center"/>
              <w:rPr>
                <w:rFonts w:ascii="Arial Narrow" w:eastAsia="Times New Roman" w:hAnsi="Arial Narrow" w:cs="Calibri"/>
              </w:rPr>
            </w:pPr>
            <w:r w:rsidRPr="00625E9C">
              <w:rPr>
                <w:rFonts w:ascii="Arial Narrow" w:eastAsia="Times New Roman" w:hAnsi="Arial Narrow" w:cs="Calibri"/>
              </w:rPr>
              <w:t>5.410,49</w:t>
            </w:r>
          </w:p>
        </w:tc>
        <w:tc>
          <w:tcPr>
            <w:tcW w:w="1196" w:type="pct"/>
            <w:tcBorders>
              <w:top w:val="nil"/>
              <w:left w:val="nil"/>
              <w:bottom w:val="nil"/>
              <w:right w:val="nil"/>
            </w:tcBorders>
            <w:shd w:val="clear" w:color="auto" w:fill="auto"/>
            <w:noWrap/>
            <w:vAlign w:val="center"/>
            <w:hideMark/>
          </w:tcPr>
          <w:p w14:paraId="41D4ABD8" w14:textId="77777777" w:rsidR="007B6BE3" w:rsidRPr="00625E9C" w:rsidRDefault="007B6BE3" w:rsidP="007B6BE3">
            <w:pPr>
              <w:spacing w:after="0" w:line="240" w:lineRule="auto"/>
              <w:jc w:val="center"/>
              <w:rPr>
                <w:rFonts w:ascii="Arial Narrow" w:eastAsia="Times New Roman" w:hAnsi="Arial Narrow" w:cs="Calibri"/>
              </w:rPr>
            </w:pPr>
            <w:r w:rsidRPr="00625E9C">
              <w:rPr>
                <w:rFonts w:ascii="Arial Narrow" w:eastAsia="Times New Roman" w:hAnsi="Arial Narrow" w:cs="Arial"/>
              </w:rPr>
              <w:t>678,69</w:t>
            </w:r>
          </w:p>
        </w:tc>
        <w:tc>
          <w:tcPr>
            <w:tcW w:w="1109" w:type="pct"/>
            <w:tcBorders>
              <w:top w:val="nil"/>
              <w:left w:val="nil"/>
              <w:bottom w:val="nil"/>
              <w:right w:val="single" w:sz="8" w:space="0" w:color="4F81BD"/>
            </w:tcBorders>
            <w:shd w:val="clear" w:color="auto" w:fill="auto"/>
            <w:noWrap/>
            <w:vAlign w:val="center"/>
            <w:hideMark/>
          </w:tcPr>
          <w:p w14:paraId="16D160AD" w14:textId="77777777" w:rsidR="007B6BE3" w:rsidRPr="00625E9C" w:rsidRDefault="007B6BE3" w:rsidP="007B6BE3">
            <w:pPr>
              <w:spacing w:after="0" w:line="240" w:lineRule="auto"/>
              <w:jc w:val="center"/>
              <w:rPr>
                <w:rFonts w:ascii="Arial Narrow" w:eastAsia="Times New Roman" w:hAnsi="Arial Narrow" w:cs="Calibri"/>
              </w:rPr>
            </w:pPr>
            <w:r w:rsidRPr="00625E9C">
              <w:rPr>
                <w:rFonts w:ascii="Arial Narrow" w:eastAsia="Times New Roman" w:hAnsi="Arial Narrow" w:cs="Calibri"/>
              </w:rPr>
              <w:t>6.089,18</w:t>
            </w:r>
          </w:p>
        </w:tc>
      </w:tr>
      <w:tr w:rsidR="007B6BE3" w:rsidRPr="00625E9C" w14:paraId="6CFA32AC" w14:textId="77777777" w:rsidTr="007B6BE3">
        <w:trPr>
          <w:trHeight w:val="330"/>
        </w:trPr>
        <w:tc>
          <w:tcPr>
            <w:tcW w:w="1586" w:type="pct"/>
            <w:tcBorders>
              <w:top w:val="nil"/>
              <w:left w:val="single" w:sz="8" w:space="0" w:color="4F81BD"/>
              <w:bottom w:val="nil"/>
              <w:right w:val="nil"/>
            </w:tcBorders>
            <w:shd w:val="clear" w:color="auto" w:fill="auto"/>
            <w:noWrap/>
            <w:vAlign w:val="center"/>
            <w:hideMark/>
          </w:tcPr>
          <w:p w14:paraId="54FA213C" w14:textId="77777777" w:rsidR="007B6BE3" w:rsidRPr="00625E9C" w:rsidRDefault="005B20F8" w:rsidP="00625E9C">
            <w:pPr>
              <w:spacing w:after="0" w:line="240" w:lineRule="auto"/>
              <w:rPr>
                <w:rFonts w:ascii="Arial Narrow" w:eastAsia="Times New Roman" w:hAnsi="Arial Narrow" w:cs="Calibri"/>
              </w:rPr>
            </w:pPr>
            <w:r w:rsidRPr="00625E9C">
              <w:rPr>
                <w:rFonts w:ascii="Arial Narrow" w:eastAsia="Times New Roman" w:hAnsi="Arial Narrow" w:cs="Calibri"/>
              </w:rPr>
              <w:t>Износ</w:t>
            </w:r>
            <w:r w:rsidR="007B6BE3" w:rsidRPr="00625E9C">
              <w:rPr>
                <w:rFonts w:ascii="Arial Narrow" w:eastAsia="Times New Roman" w:hAnsi="Arial Narrow" w:cs="Calibri"/>
              </w:rPr>
              <w:t xml:space="preserve"> (</w:t>
            </w:r>
            <w:r w:rsidRPr="00625E9C">
              <w:rPr>
                <w:rFonts w:ascii="Arial Narrow" w:eastAsia="Times New Roman" w:hAnsi="Arial Narrow" w:cs="Calibri"/>
              </w:rPr>
              <w:t>у</w:t>
            </w:r>
            <w:r w:rsidR="007B6BE3" w:rsidRPr="00625E9C">
              <w:rPr>
                <w:rFonts w:ascii="Arial Narrow" w:eastAsia="Times New Roman" w:hAnsi="Arial Narrow" w:cs="Calibri"/>
              </w:rPr>
              <w:t xml:space="preserve"> </w:t>
            </w:r>
            <w:r w:rsidRPr="00625E9C">
              <w:rPr>
                <w:rFonts w:ascii="Arial Narrow" w:eastAsia="Times New Roman" w:hAnsi="Arial Narrow" w:cs="Calibri"/>
              </w:rPr>
              <w:t>мил</w:t>
            </w:r>
            <w:r w:rsidR="007B6BE3" w:rsidRPr="00625E9C">
              <w:rPr>
                <w:rFonts w:ascii="Arial Narrow" w:eastAsia="Times New Roman" w:hAnsi="Arial Narrow" w:cs="Calibri"/>
              </w:rPr>
              <w:t xml:space="preserve">. </w:t>
            </w:r>
            <w:r w:rsidR="00625E9C" w:rsidRPr="00625E9C">
              <w:rPr>
                <w:rFonts w:ascii="Arial Narrow" w:eastAsia="Times New Roman" w:hAnsi="Arial Narrow" w:cs="Calibri"/>
              </w:rPr>
              <w:t>USD</w:t>
            </w:r>
            <w:r w:rsidR="007B6BE3" w:rsidRPr="00625E9C">
              <w:rPr>
                <w:rFonts w:ascii="Arial Narrow" w:eastAsia="Times New Roman" w:hAnsi="Arial Narrow" w:cs="Calibri"/>
              </w:rPr>
              <w:t xml:space="preserve">) </w:t>
            </w:r>
          </w:p>
        </w:tc>
        <w:tc>
          <w:tcPr>
            <w:tcW w:w="1109" w:type="pct"/>
            <w:tcBorders>
              <w:top w:val="nil"/>
              <w:left w:val="nil"/>
              <w:bottom w:val="nil"/>
              <w:right w:val="nil"/>
            </w:tcBorders>
            <w:shd w:val="clear" w:color="auto" w:fill="auto"/>
            <w:noWrap/>
            <w:vAlign w:val="center"/>
            <w:hideMark/>
          </w:tcPr>
          <w:p w14:paraId="1AD9D1A4" w14:textId="77777777" w:rsidR="007B6BE3" w:rsidRPr="00625E9C" w:rsidRDefault="007B6BE3" w:rsidP="007B6BE3">
            <w:pPr>
              <w:spacing w:after="0" w:line="240" w:lineRule="auto"/>
              <w:jc w:val="center"/>
              <w:rPr>
                <w:rFonts w:ascii="Arial Narrow" w:eastAsia="Times New Roman" w:hAnsi="Arial Narrow" w:cs="Calibri"/>
              </w:rPr>
            </w:pPr>
            <w:r w:rsidRPr="00625E9C">
              <w:rPr>
                <w:rFonts w:ascii="Arial Narrow" w:eastAsia="Times New Roman" w:hAnsi="Arial Narrow" w:cs="Calibri"/>
              </w:rPr>
              <w:t>2.950,58</w:t>
            </w:r>
          </w:p>
        </w:tc>
        <w:tc>
          <w:tcPr>
            <w:tcW w:w="1196" w:type="pct"/>
            <w:tcBorders>
              <w:top w:val="nil"/>
              <w:left w:val="nil"/>
              <w:bottom w:val="nil"/>
              <w:right w:val="nil"/>
            </w:tcBorders>
            <w:shd w:val="clear" w:color="auto" w:fill="auto"/>
            <w:noWrap/>
            <w:vAlign w:val="center"/>
            <w:hideMark/>
          </w:tcPr>
          <w:p w14:paraId="314C4810" w14:textId="77777777" w:rsidR="007B6BE3" w:rsidRPr="00625E9C" w:rsidRDefault="007B6BE3" w:rsidP="007B6BE3">
            <w:pPr>
              <w:spacing w:after="0" w:line="240" w:lineRule="auto"/>
              <w:jc w:val="center"/>
              <w:rPr>
                <w:rFonts w:ascii="Arial Narrow" w:eastAsia="Times New Roman" w:hAnsi="Arial Narrow" w:cs="Calibri"/>
              </w:rPr>
            </w:pPr>
            <w:r w:rsidRPr="00625E9C">
              <w:rPr>
                <w:rFonts w:ascii="Arial Narrow" w:eastAsia="Times New Roman" w:hAnsi="Arial Narrow" w:cs="Calibri"/>
              </w:rPr>
              <w:t>370,12</w:t>
            </w:r>
          </w:p>
        </w:tc>
        <w:tc>
          <w:tcPr>
            <w:tcW w:w="1109" w:type="pct"/>
            <w:tcBorders>
              <w:top w:val="nil"/>
              <w:left w:val="nil"/>
              <w:bottom w:val="nil"/>
              <w:right w:val="single" w:sz="8" w:space="0" w:color="4F81BD"/>
            </w:tcBorders>
            <w:shd w:val="clear" w:color="auto" w:fill="auto"/>
            <w:noWrap/>
            <w:vAlign w:val="center"/>
            <w:hideMark/>
          </w:tcPr>
          <w:p w14:paraId="56754C3A" w14:textId="77777777" w:rsidR="007B6BE3" w:rsidRPr="00625E9C" w:rsidRDefault="007B6BE3" w:rsidP="007B6BE3">
            <w:pPr>
              <w:spacing w:after="0" w:line="240" w:lineRule="auto"/>
              <w:jc w:val="center"/>
              <w:rPr>
                <w:rFonts w:ascii="Arial Narrow" w:eastAsia="Times New Roman" w:hAnsi="Arial Narrow" w:cs="Calibri"/>
              </w:rPr>
            </w:pPr>
            <w:r w:rsidRPr="00625E9C">
              <w:rPr>
                <w:rFonts w:ascii="Arial Narrow" w:eastAsia="Times New Roman" w:hAnsi="Arial Narrow" w:cs="Calibri"/>
              </w:rPr>
              <w:t>3.320,70</w:t>
            </w:r>
          </w:p>
        </w:tc>
      </w:tr>
      <w:tr w:rsidR="007B6BE3" w:rsidRPr="0087376B" w14:paraId="7AE66F39" w14:textId="77777777" w:rsidTr="007B6BE3">
        <w:trPr>
          <w:trHeight w:val="345"/>
        </w:trPr>
        <w:tc>
          <w:tcPr>
            <w:tcW w:w="1586" w:type="pct"/>
            <w:tcBorders>
              <w:top w:val="nil"/>
              <w:left w:val="single" w:sz="8" w:space="0" w:color="4F81BD"/>
              <w:bottom w:val="single" w:sz="8" w:space="0" w:color="4F81BD"/>
              <w:right w:val="nil"/>
            </w:tcBorders>
            <w:shd w:val="clear" w:color="auto" w:fill="auto"/>
            <w:noWrap/>
            <w:vAlign w:val="center"/>
            <w:hideMark/>
          </w:tcPr>
          <w:p w14:paraId="5576D603" w14:textId="77777777" w:rsidR="007B6BE3" w:rsidRPr="0087376B" w:rsidRDefault="005B20F8" w:rsidP="007B6BE3">
            <w:pPr>
              <w:spacing w:after="0" w:line="240" w:lineRule="auto"/>
              <w:rPr>
                <w:rFonts w:ascii="Arial Narrow" w:eastAsia="Times New Roman" w:hAnsi="Arial Narrow" w:cs="Calibri"/>
              </w:rPr>
            </w:pPr>
            <w:r>
              <w:rPr>
                <w:rFonts w:ascii="Arial Narrow" w:eastAsia="Times New Roman" w:hAnsi="Arial Narrow" w:cs="Calibri"/>
              </w:rPr>
              <w:t>Номинални</w:t>
            </w:r>
            <w:r w:rsidR="007B6BE3" w:rsidRPr="0087376B">
              <w:rPr>
                <w:rFonts w:ascii="Arial Narrow" w:eastAsia="Times New Roman" w:hAnsi="Arial Narrow" w:cs="Calibri"/>
              </w:rPr>
              <w:t xml:space="preserve"> </w:t>
            </w:r>
            <w:r>
              <w:rPr>
                <w:rFonts w:ascii="Arial Narrow" w:eastAsia="Times New Roman" w:hAnsi="Arial Narrow" w:cs="Calibri"/>
              </w:rPr>
              <w:t>дуг</w:t>
            </w:r>
            <w:r w:rsidR="007B6BE3" w:rsidRPr="0087376B">
              <w:rPr>
                <w:rFonts w:ascii="Arial Narrow" w:eastAsia="Times New Roman" w:hAnsi="Arial Narrow" w:cs="Calibri"/>
              </w:rPr>
              <w:t xml:space="preserve"> </w:t>
            </w:r>
            <w:r>
              <w:rPr>
                <w:rFonts w:ascii="Arial Narrow" w:eastAsia="Times New Roman" w:hAnsi="Arial Narrow" w:cs="Calibri"/>
              </w:rPr>
              <w:t>као</w:t>
            </w:r>
            <w:r w:rsidR="007B6BE3" w:rsidRPr="0087376B">
              <w:rPr>
                <w:rFonts w:ascii="Arial Narrow" w:eastAsia="Times New Roman" w:hAnsi="Arial Narrow" w:cs="Calibri"/>
              </w:rPr>
              <w:t xml:space="preserve"> % </w:t>
            </w:r>
            <w:r>
              <w:rPr>
                <w:rFonts w:ascii="Arial Narrow" w:eastAsia="Times New Roman" w:hAnsi="Arial Narrow" w:cs="Calibri"/>
              </w:rPr>
              <w:t>БДП</w:t>
            </w:r>
            <w:r w:rsidR="007B6BE3" w:rsidRPr="0087376B">
              <w:rPr>
                <w:rFonts w:ascii="Arial Narrow" w:eastAsia="Times New Roman" w:hAnsi="Arial Narrow" w:cs="Calibri"/>
              </w:rPr>
              <w:t>-</w:t>
            </w:r>
            <w:r>
              <w:rPr>
                <w:rFonts w:ascii="Arial Narrow" w:eastAsia="Times New Roman" w:hAnsi="Arial Narrow" w:cs="Calibri"/>
              </w:rPr>
              <w:t>а</w:t>
            </w:r>
            <w:r w:rsidR="007B6BE3" w:rsidRPr="0087376B">
              <w:rPr>
                <w:rFonts w:ascii="Arial Narrow" w:eastAsia="Times New Roman" w:hAnsi="Arial Narrow" w:cs="Calibri"/>
              </w:rPr>
              <w:t xml:space="preserve"> </w:t>
            </w:r>
            <w:r>
              <w:rPr>
                <w:rFonts w:ascii="Arial Narrow" w:eastAsia="Times New Roman" w:hAnsi="Arial Narrow" w:cs="Calibri"/>
              </w:rPr>
              <w:t>ФБиХ</w:t>
            </w:r>
          </w:p>
        </w:tc>
        <w:tc>
          <w:tcPr>
            <w:tcW w:w="1109" w:type="pct"/>
            <w:tcBorders>
              <w:top w:val="nil"/>
              <w:left w:val="nil"/>
              <w:bottom w:val="single" w:sz="8" w:space="0" w:color="4F81BD"/>
              <w:right w:val="nil"/>
            </w:tcBorders>
            <w:shd w:val="clear" w:color="auto" w:fill="auto"/>
            <w:noWrap/>
            <w:vAlign w:val="center"/>
            <w:hideMark/>
          </w:tcPr>
          <w:p w14:paraId="4AFD0FB9" w14:textId="77777777" w:rsidR="007B6BE3" w:rsidRPr="0087376B" w:rsidRDefault="007B6BE3" w:rsidP="007B6BE3">
            <w:pPr>
              <w:spacing w:after="0" w:line="240" w:lineRule="auto"/>
              <w:jc w:val="center"/>
              <w:rPr>
                <w:rFonts w:ascii="Arial Narrow" w:eastAsia="Times New Roman" w:hAnsi="Arial Narrow" w:cs="Calibri"/>
              </w:rPr>
            </w:pPr>
            <w:r w:rsidRPr="0087376B">
              <w:rPr>
                <w:rFonts w:ascii="Arial Narrow" w:eastAsia="Times New Roman" w:hAnsi="Arial Narrow" w:cs="Calibri"/>
              </w:rPr>
              <w:t>18,43%</w:t>
            </w:r>
          </w:p>
        </w:tc>
        <w:tc>
          <w:tcPr>
            <w:tcW w:w="1196" w:type="pct"/>
            <w:tcBorders>
              <w:top w:val="nil"/>
              <w:left w:val="nil"/>
              <w:bottom w:val="single" w:sz="8" w:space="0" w:color="4F81BD"/>
              <w:right w:val="nil"/>
            </w:tcBorders>
            <w:shd w:val="clear" w:color="auto" w:fill="auto"/>
            <w:noWrap/>
            <w:vAlign w:val="center"/>
            <w:hideMark/>
          </w:tcPr>
          <w:p w14:paraId="695115DB" w14:textId="77777777" w:rsidR="007B6BE3" w:rsidRPr="0087376B" w:rsidRDefault="007B6BE3" w:rsidP="007B6BE3">
            <w:pPr>
              <w:spacing w:after="0" w:line="240" w:lineRule="auto"/>
              <w:jc w:val="center"/>
              <w:rPr>
                <w:rFonts w:ascii="Arial Narrow" w:eastAsia="Times New Roman" w:hAnsi="Arial Narrow" w:cs="Calibri"/>
              </w:rPr>
            </w:pPr>
            <w:r w:rsidRPr="0087376B">
              <w:rPr>
                <w:rFonts w:ascii="Arial Narrow" w:eastAsia="Times New Roman" w:hAnsi="Arial Narrow" w:cs="Calibri"/>
              </w:rPr>
              <w:t>2,31%</w:t>
            </w:r>
          </w:p>
        </w:tc>
        <w:tc>
          <w:tcPr>
            <w:tcW w:w="1109" w:type="pct"/>
            <w:tcBorders>
              <w:top w:val="nil"/>
              <w:left w:val="nil"/>
              <w:bottom w:val="single" w:sz="8" w:space="0" w:color="4F81BD"/>
              <w:right w:val="single" w:sz="8" w:space="0" w:color="4F81BD"/>
            </w:tcBorders>
            <w:shd w:val="clear" w:color="auto" w:fill="auto"/>
            <w:noWrap/>
            <w:vAlign w:val="center"/>
            <w:hideMark/>
          </w:tcPr>
          <w:p w14:paraId="66C050BE" w14:textId="77777777" w:rsidR="007B6BE3" w:rsidRPr="0087376B" w:rsidRDefault="007B6BE3" w:rsidP="007B6BE3">
            <w:pPr>
              <w:spacing w:after="0" w:line="240" w:lineRule="auto"/>
              <w:jc w:val="center"/>
              <w:rPr>
                <w:rFonts w:ascii="Arial Narrow" w:eastAsia="Times New Roman" w:hAnsi="Arial Narrow" w:cs="Calibri"/>
                <w:color w:val="FF0000"/>
              </w:rPr>
            </w:pPr>
            <w:r w:rsidRPr="0087376B">
              <w:rPr>
                <w:rFonts w:ascii="Arial Narrow" w:eastAsia="Times New Roman" w:hAnsi="Arial Narrow" w:cs="Calibri"/>
              </w:rPr>
              <w:t>20,74%</w:t>
            </w:r>
          </w:p>
        </w:tc>
      </w:tr>
    </w:tbl>
    <w:p w14:paraId="7545D49E" w14:textId="77777777" w:rsidR="007B6BE3" w:rsidRPr="0087376B" w:rsidRDefault="007B6BE3" w:rsidP="007B6BE3">
      <w:pPr>
        <w:pStyle w:val="ParagraphNumbering"/>
        <w:numPr>
          <w:ilvl w:val="0"/>
          <w:numId w:val="0"/>
        </w:numPr>
        <w:autoSpaceDE w:val="0"/>
        <w:spacing w:after="0" w:line="240" w:lineRule="auto"/>
        <w:jc w:val="both"/>
        <w:rPr>
          <w:rFonts w:ascii="Arial" w:eastAsiaTheme="minorHAnsi" w:hAnsi="Arial" w:cs="Arial"/>
        </w:rPr>
      </w:pPr>
    </w:p>
    <w:p w14:paraId="12FA956E" w14:textId="77777777" w:rsidR="007B6BE3" w:rsidRPr="0087376B" w:rsidRDefault="007B6BE3" w:rsidP="007B6BE3">
      <w:pPr>
        <w:spacing w:after="0"/>
        <w:rPr>
          <w:sz w:val="20"/>
        </w:rPr>
      </w:pPr>
    </w:p>
    <w:p w14:paraId="32436352" w14:textId="762CF983" w:rsidR="007B6BE3" w:rsidRPr="0092788C" w:rsidRDefault="005B20F8" w:rsidP="0092788C">
      <w:pPr>
        <w:pStyle w:val="Heading2"/>
        <w:numPr>
          <w:ilvl w:val="1"/>
          <w:numId w:val="1"/>
        </w:numPr>
        <w:spacing w:before="0"/>
        <w:ind w:left="993" w:hanging="709"/>
        <w:rPr>
          <w:rFonts w:ascii="Arial" w:hAnsi="Arial" w:cs="Arial"/>
          <w:b w:val="0"/>
          <w:color w:val="auto"/>
          <w:sz w:val="24"/>
          <w:szCs w:val="24"/>
        </w:rPr>
      </w:pPr>
      <w:bookmarkStart w:id="5" w:name="_Toc149810605"/>
      <w:r w:rsidRPr="0092788C">
        <w:rPr>
          <w:rFonts w:ascii="Arial" w:hAnsi="Arial" w:cs="Arial"/>
          <w:b w:val="0"/>
          <w:color w:val="auto"/>
          <w:sz w:val="24"/>
          <w:szCs w:val="24"/>
        </w:rPr>
        <w:t>Структура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спољног</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дуга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Федерације</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БиХ</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на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дан</w:t>
      </w:r>
      <w:r w:rsidR="007B6BE3" w:rsidRPr="0092788C">
        <w:rPr>
          <w:rFonts w:ascii="Arial" w:hAnsi="Arial" w:cs="Arial"/>
          <w:b w:val="0"/>
          <w:color w:val="auto"/>
          <w:sz w:val="24"/>
          <w:szCs w:val="24"/>
        </w:rPr>
        <w:t xml:space="preserve"> 31.12.2022. </w:t>
      </w:r>
      <w:r w:rsidRPr="0092788C">
        <w:rPr>
          <w:rFonts w:ascii="Arial" w:hAnsi="Arial" w:cs="Arial"/>
          <w:b w:val="0"/>
          <w:color w:val="auto"/>
          <w:sz w:val="24"/>
          <w:szCs w:val="24"/>
        </w:rPr>
        <w:t>године</w:t>
      </w:r>
      <w:bookmarkEnd w:id="5"/>
    </w:p>
    <w:p w14:paraId="5E4609C5" w14:textId="77777777" w:rsidR="007B6BE3" w:rsidRPr="0087376B" w:rsidRDefault="007B6BE3" w:rsidP="007B6BE3">
      <w:pPr>
        <w:spacing w:after="0" w:line="240" w:lineRule="auto"/>
        <w:rPr>
          <w:sz w:val="18"/>
        </w:rPr>
      </w:pPr>
    </w:p>
    <w:p w14:paraId="3FF1A142" w14:textId="77777777" w:rsidR="007B6BE3" w:rsidRPr="0087376B" w:rsidRDefault="005B20F8" w:rsidP="0092788C">
      <w:pPr>
        <w:pStyle w:val="Heading3"/>
        <w:numPr>
          <w:ilvl w:val="2"/>
          <w:numId w:val="1"/>
        </w:numPr>
        <w:spacing w:before="0"/>
        <w:ind w:left="993" w:hanging="567"/>
        <w:rPr>
          <w:rFonts w:ascii="Arial" w:hAnsi="Arial" w:cs="Arial"/>
          <w:b w:val="0"/>
        </w:rPr>
      </w:pPr>
      <w:bookmarkStart w:id="6" w:name="_Toc100754192"/>
      <w:bookmarkStart w:id="7" w:name="_Toc100754636"/>
      <w:bookmarkStart w:id="8" w:name="_Toc100755028"/>
      <w:bookmarkStart w:id="9" w:name="_Toc100818759"/>
      <w:bookmarkStart w:id="10" w:name="_Toc100820465"/>
      <w:bookmarkStart w:id="11" w:name="_Toc100822753"/>
      <w:bookmarkStart w:id="12" w:name="_Toc100823292"/>
      <w:bookmarkStart w:id="13" w:name="_Toc100823735"/>
      <w:bookmarkStart w:id="14" w:name="_Toc149810606"/>
      <w:bookmarkEnd w:id="6"/>
      <w:bookmarkEnd w:id="7"/>
      <w:bookmarkEnd w:id="8"/>
      <w:bookmarkEnd w:id="9"/>
      <w:bookmarkEnd w:id="10"/>
      <w:bookmarkEnd w:id="11"/>
      <w:bookmarkEnd w:id="12"/>
      <w:bookmarkEnd w:id="13"/>
      <w:r>
        <w:rPr>
          <w:rFonts w:ascii="Arial" w:hAnsi="Arial" w:cs="Arial"/>
          <w:b w:val="0"/>
          <w:color w:val="auto"/>
        </w:rPr>
        <w:t>Структура</w:t>
      </w:r>
      <w:r w:rsidR="007B6BE3" w:rsidRPr="0087376B">
        <w:rPr>
          <w:rFonts w:ascii="Arial" w:hAnsi="Arial" w:cs="Arial"/>
          <w:b w:val="0"/>
          <w:color w:val="auto"/>
        </w:rPr>
        <w:t xml:space="preserve"> </w:t>
      </w:r>
      <w:r>
        <w:rPr>
          <w:rFonts w:ascii="Arial" w:hAnsi="Arial" w:cs="Arial"/>
          <w:b w:val="0"/>
          <w:color w:val="auto"/>
        </w:rPr>
        <w:t>спољног</w:t>
      </w:r>
      <w:r w:rsidR="007B6BE3" w:rsidRPr="0087376B">
        <w:rPr>
          <w:rFonts w:ascii="Arial" w:hAnsi="Arial" w:cs="Arial"/>
          <w:b w:val="0"/>
          <w:color w:val="auto"/>
        </w:rPr>
        <w:t xml:space="preserve"> </w:t>
      </w:r>
      <w:r>
        <w:rPr>
          <w:rFonts w:ascii="Arial" w:hAnsi="Arial" w:cs="Arial"/>
          <w:b w:val="0"/>
          <w:color w:val="auto"/>
        </w:rPr>
        <w:t>дуга</w:t>
      </w:r>
      <w:r w:rsidR="007B6BE3" w:rsidRPr="0087376B">
        <w:rPr>
          <w:rFonts w:ascii="Arial" w:hAnsi="Arial" w:cs="Arial"/>
          <w:b w:val="0"/>
          <w:color w:val="auto"/>
        </w:rPr>
        <w:t xml:space="preserve"> </w:t>
      </w:r>
      <w:r>
        <w:rPr>
          <w:rFonts w:ascii="Arial" w:hAnsi="Arial" w:cs="Arial"/>
          <w:b w:val="0"/>
          <w:color w:val="auto"/>
        </w:rPr>
        <w:t>Федерације</w:t>
      </w:r>
      <w:r w:rsidR="007B6BE3" w:rsidRPr="0087376B">
        <w:rPr>
          <w:rFonts w:ascii="Arial" w:hAnsi="Arial" w:cs="Arial"/>
          <w:b w:val="0"/>
          <w:color w:val="auto"/>
        </w:rPr>
        <w:t xml:space="preserve"> </w:t>
      </w:r>
      <w:r>
        <w:rPr>
          <w:rFonts w:ascii="Arial" w:hAnsi="Arial" w:cs="Arial"/>
          <w:b w:val="0"/>
          <w:color w:val="auto"/>
        </w:rPr>
        <w:t>БиХ</w:t>
      </w:r>
      <w:r w:rsidR="007B6BE3" w:rsidRPr="0087376B">
        <w:rPr>
          <w:rFonts w:ascii="Arial" w:hAnsi="Arial" w:cs="Arial"/>
          <w:b w:val="0"/>
          <w:color w:val="auto"/>
        </w:rPr>
        <w:t xml:space="preserve"> </w:t>
      </w:r>
      <w:r>
        <w:rPr>
          <w:rFonts w:ascii="Arial" w:hAnsi="Arial" w:cs="Arial"/>
          <w:b w:val="0"/>
          <w:color w:val="auto"/>
        </w:rPr>
        <w:t>по</w:t>
      </w:r>
      <w:r w:rsidR="007B6BE3" w:rsidRPr="0087376B">
        <w:rPr>
          <w:rFonts w:ascii="Arial" w:hAnsi="Arial" w:cs="Arial"/>
          <w:b w:val="0"/>
          <w:color w:val="auto"/>
        </w:rPr>
        <w:t xml:space="preserve"> </w:t>
      </w:r>
      <w:r>
        <w:rPr>
          <w:rFonts w:ascii="Arial" w:hAnsi="Arial" w:cs="Arial"/>
          <w:b w:val="0"/>
          <w:color w:val="auto"/>
        </w:rPr>
        <w:t>кредиторима</w:t>
      </w:r>
      <w:bookmarkEnd w:id="14"/>
      <w:r w:rsidR="007B6BE3" w:rsidRPr="0087376B">
        <w:rPr>
          <w:rFonts w:ascii="Arial" w:hAnsi="Arial" w:cs="Arial"/>
          <w:b w:val="0"/>
          <w:color w:val="auto"/>
        </w:rPr>
        <w:t xml:space="preserve"> </w:t>
      </w:r>
    </w:p>
    <w:p w14:paraId="33C440E3" w14:textId="77777777" w:rsidR="007B6BE3" w:rsidRPr="0087376B" w:rsidRDefault="007B6BE3" w:rsidP="007B6BE3">
      <w:pPr>
        <w:pStyle w:val="ListParagraph"/>
        <w:spacing w:after="0"/>
        <w:ind w:left="1288"/>
        <w:jc w:val="both"/>
        <w:rPr>
          <w:rFonts w:ascii="Arial" w:hAnsi="Arial" w:cs="Arial"/>
          <w:sz w:val="20"/>
        </w:rPr>
      </w:pPr>
    </w:p>
    <w:p w14:paraId="0AFA0B20" w14:textId="77777777" w:rsidR="007B6BE3" w:rsidRPr="0087376B" w:rsidRDefault="005B20F8" w:rsidP="007B6BE3">
      <w:pPr>
        <w:spacing w:after="0"/>
        <w:ind w:firstLine="284"/>
        <w:jc w:val="both"/>
        <w:rPr>
          <w:rFonts w:ascii="Arial" w:hAnsi="Arial" w:cs="Arial"/>
        </w:rPr>
      </w:pPr>
      <w:r>
        <w:rPr>
          <w:rFonts w:ascii="Arial" w:hAnsi="Arial" w:cs="Arial"/>
        </w:rPr>
        <w:t>Спољни</w:t>
      </w:r>
      <w:r w:rsidR="007B6BE3" w:rsidRPr="0087376B">
        <w:rPr>
          <w:rFonts w:ascii="Arial" w:hAnsi="Arial" w:cs="Arial"/>
        </w:rPr>
        <w:t xml:space="preserve"> </w:t>
      </w:r>
      <w:r>
        <w:rPr>
          <w:rFonts w:ascii="Arial" w:hAnsi="Arial" w:cs="Arial"/>
        </w:rPr>
        <w:t>дуг</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због</w:t>
      </w:r>
      <w:r w:rsidR="007B6BE3" w:rsidRPr="0087376B">
        <w:rPr>
          <w:rFonts w:ascii="Arial" w:hAnsi="Arial" w:cs="Arial"/>
        </w:rPr>
        <w:t xml:space="preserve"> </w:t>
      </w:r>
      <w:r>
        <w:rPr>
          <w:rFonts w:ascii="Arial" w:hAnsi="Arial" w:cs="Arial"/>
        </w:rPr>
        <w:t>повољнијих</w:t>
      </w:r>
      <w:r w:rsidR="007B6BE3" w:rsidRPr="0087376B">
        <w:rPr>
          <w:rFonts w:ascii="Arial" w:hAnsi="Arial" w:cs="Arial"/>
        </w:rPr>
        <w:t xml:space="preserve"> </w:t>
      </w:r>
      <w:r>
        <w:rPr>
          <w:rFonts w:ascii="Arial" w:hAnsi="Arial" w:cs="Arial"/>
        </w:rPr>
        <w:t>кредитних</w:t>
      </w:r>
      <w:r w:rsidR="007B6BE3" w:rsidRPr="0087376B">
        <w:rPr>
          <w:rFonts w:ascii="Arial" w:hAnsi="Arial" w:cs="Arial"/>
        </w:rPr>
        <w:t xml:space="preserve"> </w:t>
      </w:r>
      <w:r>
        <w:rPr>
          <w:rFonts w:ascii="Arial" w:hAnsi="Arial" w:cs="Arial"/>
        </w:rPr>
        <w:t>услова</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концесионалних</w:t>
      </w:r>
      <w:r w:rsidR="007B6BE3" w:rsidRPr="0087376B">
        <w:rPr>
          <w:rFonts w:ascii="Arial" w:hAnsi="Arial" w:cs="Arial"/>
        </w:rPr>
        <w:t xml:space="preserve"> </w:t>
      </w:r>
      <w:r>
        <w:rPr>
          <w:rFonts w:ascii="Arial" w:hAnsi="Arial" w:cs="Arial"/>
        </w:rPr>
        <w:t>каматних</w:t>
      </w:r>
      <w:r w:rsidR="007B6BE3" w:rsidRPr="0087376B">
        <w:rPr>
          <w:rFonts w:ascii="Arial" w:hAnsi="Arial" w:cs="Arial"/>
        </w:rPr>
        <w:t xml:space="preserve"> </w:t>
      </w:r>
      <w:r>
        <w:rPr>
          <w:rFonts w:ascii="Arial" w:hAnsi="Arial" w:cs="Arial"/>
        </w:rPr>
        <w:t>стопа</w:t>
      </w:r>
      <w:r w:rsidR="007B6BE3" w:rsidRPr="0087376B">
        <w:rPr>
          <w:rFonts w:ascii="Arial" w:hAnsi="Arial" w:cs="Arial"/>
        </w:rPr>
        <w:t xml:space="preserve">, </w:t>
      </w:r>
      <w:r>
        <w:rPr>
          <w:rFonts w:ascii="Arial" w:hAnsi="Arial" w:cs="Arial"/>
        </w:rPr>
        <w:t>највећим</w:t>
      </w:r>
      <w:r w:rsidR="007B6BE3" w:rsidRPr="0087376B">
        <w:rPr>
          <w:rFonts w:ascii="Arial" w:hAnsi="Arial" w:cs="Arial"/>
        </w:rPr>
        <w:t xml:space="preserve"> </w:t>
      </w:r>
      <w:r>
        <w:rPr>
          <w:rFonts w:ascii="Arial" w:hAnsi="Arial" w:cs="Arial"/>
        </w:rPr>
        <w:t>дијелом</w:t>
      </w:r>
      <w:r w:rsidR="007B6BE3" w:rsidRPr="0087376B">
        <w:rPr>
          <w:rFonts w:ascii="Arial" w:hAnsi="Arial" w:cs="Arial"/>
        </w:rPr>
        <w:t xml:space="preserve"> </w:t>
      </w:r>
      <w:r>
        <w:rPr>
          <w:rFonts w:ascii="Arial" w:hAnsi="Arial" w:cs="Arial"/>
        </w:rPr>
        <w:t>уговорен</w:t>
      </w:r>
      <w:r w:rsidR="007B6BE3" w:rsidRPr="0087376B">
        <w:rPr>
          <w:rFonts w:ascii="Arial" w:hAnsi="Arial" w:cs="Arial"/>
        </w:rPr>
        <w:t xml:space="preserve"> </w:t>
      </w:r>
      <w:r>
        <w:rPr>
          <w:rFonts w:ascii="Arial" w:hAnsi="Arial" w:cs="Arial"/>
        </w:rPr>
        <w:t>са</w:t>
      </w:r>
      <w:r w:rsidR="007B6BE3" w:rsidRPr="0087376B">
        <w:rPr>
          <w:rFonts w:ascii="Arial" w:hAnsi="Arial" w:cs="Arial"/>
        </w:rPr>
        <w:t xml:space="preserve"> </w:t>
      </w:r>
      <w:r>
        <w:rPr>
          <w:rFonts w:ascii="Arial" w:hAnsi="Arial" w:cs="Arial"/>
        </w:rPr>
        <w:t>међународним</w:t>
      </w:r>
      <w:r w:rsidR="007B6BE3" w:rsidRPr="0087376B">
        <w:rPr>
          <w:rFonts w:ascii="Arial" w:hAnsi="Arial" w:cs="Arial"/>
        </w:rPr>
        <w:t xml:space="preserve"> </w:t>
      </w:r>
      <w:r>
        <w:rPr>
          <w:rFonts w:ascii="Arial" w:hAnsi="Arial" w:cs="Arial"/>
        </w:rPr>
        <w:t>финансијским</w:t>
      </w:r>
      <w:r w:rsidR="007B6BE3" w:rsidRPr="0087376B">
        <w:rPr>
          <w:rFonts w:ascii="Arial" w:hAnsi="Arial" w:cs="Arial"/>
        </w:rPr>
        <w:t xml:space="preserve"> </w:t>
      </w:r>
      <w:r>
        <w:rPr>
          <w:rFonts w:ascii="Arial" w:hAnsi="Arial" w:cs="Arial"/>
        </w:rPr>
        <w:t>институцијама</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билатералним</w:t>
      </w:r>
      <w:r w:rsidR="007B6BE3" w:rsidRPr="0087376B">
        <w:rPr>
          <w:rFonts w:ascii="Arial" w:hAnsi="Arial" w:cs="Arial"/>
        </w:rPr>
        <w:t xml:space="preserve"> </w:t>
      </w:r>
      <w:r>
        <w:rPr>
          <w:rFonts w:ascii="Arial" w:hAnsi="Arial" w:cs="Arial"/>
        </w:rPr>
        <w:t>кредиторима</w:t>
      </w:r>
      <w:r w:rsidR="007B6BE3" w:rsidRPr="0087376B">
        <w:rPr>
          <w:rFonts w:ascii="Arial" w:hAnsi="Arial" w:cs="Arial"/>
        </w:rPr>
        <w:t>.</w:t>
      </w:r>
    </w:p>
    <w:p w14:paraId="3589891E" w14:textId="77777777" w:rsidR="007B6BE3" w:rsidRPr="0087376B" w:rsidRDefault="007B6BE3" w:rsidP="007B6BE3">
      <w:pPr>
        <w:spacing w:after="0"/>
        <w:ind w:firstLine="284"/>
        <w:jc w:val="both"/>
        <w:rPr>
          <w:rFonts w:ascii="Arial" w:hAnsi="Arial" w:cs="Arial"/>
        </w:rPr>
      </w:pPr>
    </w:p>
    <w:p w14:paraId="4AB68F37" w14:textId="7D68BB8E" w:rsidR="007B6BE3" w:rsidRDefault="005B20F8" w:rsidP="0092788C">
      <w:pPr>
        <w:spacing w:after="0"/>
        <w:jc w:val="both"/>
      </w:pPr>
      <w:r w:rsidRPr="00E26AF3">
        <w:rPr>
          <w:rFonts w:ascii="Arial" w:hAnsi="Arial" w:cs="Arial"/>
        </w:rPr>
        <w:t>Слика</w:t>
      </w:r>
      <w:r w:rsidR="007B6BE3" w:rsidRPr="00E26AF3">
        <w:rPr>
          <w:rFonts w:ascii="Arial" w:hAnsi="Arial" w:cs="Arial"/>
        </w:rPr>
        <w:t xml:space="preserve"> 1. </w:t>
      </w:r>
      <w:r w:rsidRPr="00E26AF3">
        <w:rPr>
          <w:rFonts w:ascii="Arial" w:hAnsi="Arial" w:cs="Arial"/>
        </w:rPr>
        <w:t>Структура</w:t>
      </w:r>
      <w:r w:rsidR="007B6BE3" w:rsidRPr="00E26AF3">
        <w:rPr>
          <w:rFonts w:ascii="Arial" w:hAnsi="Arial" w:cs="Arial"/>
        </w:rPr>
        <w:t xml:space="preserve"> </w:t>
      </w:r>
      <w:r w:rsidRPr="00E26AF3">
        <w:rPr>
          <w:rFonts w:ascii="Arial" w:hAnsi="Arial" w:cs="Arial"/>
        </w:rPr>
        <w:t>спољног</w:t>
      </w:r>
      <w:r w:rsidR="007B6BE3" w:rsidRPr="00E26AF3">
        <w:rPr>
          <w:rFonts w:ascii="Arial" w:hAnsi="Arial" w:cs="Arial"/>
        </w:rPr>
        <w:t xml:space="preserve"> </w:t>
      </w:r>
      <w:r w:rsidRPr="00E26AF3">
        <w:rPr>
          <w:rFonts w:ascii="Arial" w:hAnsi="Arial" w:cs="Arial"/>
        </w:rPr>
        <w:t>дуга</w:t>
      </w:r>
      <w:r w:rsidR="007B6BE3" w:rsidRPr="00E26AF3">
        <w:rPr>
          <w:rFonts w:ascii="Arial" w:hAnsi="Arial" w:cs="Arial"/>
        </w:rPr>
        <w:t xml:space="preserve"> </w:t>
      </w:r>
      <w:r w:rsidRPr="00E26AF3">
        <w:rPr>
          <w:rFonts w:ascii="Arial" w:hAnsi="Arial" w:cs="Arial"/>
        </w:rPr>
        <w:t>Федерације</w:t>
      </w:r>
      <w:r w:rsidR="007B6BE3" w:rsidRPr="00E26AF3">
        <w:rPr>
          <w:rFonts w:ascii="Arial" w:hAnsi="Arial" w:cs="Arial"/>
        </w:rPr>
        <w:t xml:space="preserve"> </w:t>
      </w:r>
      <w:r w:rsidRPr="00E26AF3">
        <w:rPr>
          <w:rFonts w:ascii="Arial" w:hAnsi="Arial" w:cs="Arial"/>
        </w:rPr>
        <w:t>БиХ</w:t>
      </w:r>
      <w:r w:rsidR="007B6BE3" w:rsidRPr="00E26AF3">
        <w:rPr>
          <w:rFonts w:ascii="Arial" w:hAnsi="Arial" w:cs="Arial"/>
        </w:rPr>
        <w:t xml:space="preserve"> </w:t>
      </w:r>
      <w:r w:rsidRPr="00E26AF3">
        <w:rPr>
          <w:rFonts w:ascii="Arial" w:hAnsi="Arial" w:cs="Arial"/>
        </w:rPr>
        <w:t>по</w:t>
      </w:r>
      <w:r w:rsidR="007B6BE3" w:rsidRPr="00E26AF3">
        <w:rPr>
          <w:rFonts w:ascii="Arial" w:hAnsi="Arial" w:cs="Arial"/>
        </w:rPr>
        <w:t xml:space="preserve"> </w:t>
      </w:r>
      <w:r w:rsidRPr="00E26AF3">
        <w:rPr>
          <w:rFonts w:ascii="Arial" w:hAnsi="Arial" w:cs="Arial"/>
        </w:rPr>
        <w:t>кредиторима</w:t>
      </w:r>
      <w:r w:rsidR="007B6BE3" w:rsidRPr="00E26AF3">
        <w:rPr>
          <w:rFonts w:ascii="Arial" w:hAnsi="Arial" w:cs="Arial"/>
        </w:rPr>
        <w:t xml:space="preserve"> (</w:t>
      </w:r>
      <w:r w:rsidRPr="00E26AF3">
        <w:rPr>
          <w:rFonts w:ascii="Arial" w:hAnsi="Arial" w:cs="Arial"/>
        </w:rPr>
        <w:t>мил</w:t>
      </w:r>
      <w:r w:rsidR="007B6BE3" w:rsidRPr="00E26AF3">
        <w:rPr>
          <w:rFonts w:ascii="Arial" w:hAnsi="Arial" w:cs="Arial"/>
        </w:rPr>
        <w:t xml:space="preserve">. </w:t>
      </w:r>
      <w:r w:rsidRPr="00E26AF3">
        <w:rPr>
          <w:rFonts w:ascii="Arial" w:hAnsi="Arial" w:cs="Arial"/>
        </w:rPr>
        <w:t>КМ</w:t>
      </w:r>
      <w:r w:rsidR="007B6BE3" w:rsidRPr="00E26AF3">
        <w:rPr>
          <w:rFonts w:ascii="Arial" w:hAnsi="Arial" w:cs="Arial"/>
        </w:rPr>
        <w:t>)</w:t>
      </w:r>
      <w:r w:rsidR="007B6BE3" w:rsidRPr="0087376B">
        <w:t xml:space="preserve"> </w:t>
      </w:r>
    </w:p>
    <w:p w14:paraId="35F03E48" w14:textId="5C922832" w:rsidR="00E26AF3" w:rsidRPr="0087376B" w:rsidRDefault="00E26AF3" w:rsidP="0092788C">
      <w:pPr>
        <w:spacing w:after="0"/>
        <w:jc w:val="both"/>
        <w:rPr>
          <w:rFonts w:ascii="Arial" w:hAnsi="Arial" w:cs="Arial"/>
        </w:rPr>
      </w:pPr>
      <w:r>
        <w:rPr>
          <w:noProof/>
          <w:lang w:val="en-US"/>
        </w:rPr>
        <w:drawing>
          <wp:inline distT="0" distB="0" distL="0" distR="0" wp14:anchorId="6E1CF069" wp14:editId="14AA8E1F">
            <wp:extent cx="5857200" cy="2631600"/>
            <wp:effectExtent l="0" t="0" r="10795" b="165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A10FEA" w14:textId="6E1AEAD7" w:rsidR="007B6BE3" w:rsidRPr="0087376B" w:rsidRDefault="007B6BE3" w:rsidP="007B6BE3">
      <w:pPr>
        <w:spacing w:after="0"/>
        <w:jc w:val="both"/>
      </w:pPr>
    </w:p>
    <w:p w14:paraId="35EC632B" w14:textId="77777777" w:rsidR="007B6BE3" w:rsidRDefault="007B6BE3" w:rsidP="007B6BE3">
      <w:pPr>
        <w:spacing w:after="0"/>
        <w:jc w:val="both"/>
      </w:pPr>
    </w:p>
    <w:p w14:paraId="48A53652" w14:textId="77777777" w:rsidR="00625E9C" w:rsidRDefault="00625E9C" w:rsidP="007B6BE3">
      <w:pPr>
        <w:spacing w:after="0"/>
        <w:jc w:val="both"/>
      </w:pPr>
    </w:p>
    <w:p w14:paraId="0521CF7E" w14:textId="77777777" w:rsidR="00625E9C" w:rsidRDefault="00625E9C" w:rsidP="007B6BE3">
      <w:pPr>
        <w:spacing w:after="0"/>
        <w:jc w:val="both"/>
      </w:pPr>
    </w:p>
    <w:p w14:paraId="7D21D73B" w14:textId="3F04AD6C" w:rsidR="00625E9C" w:rsidRDefault="00625E9C" w:rsidP="007B6BE3">
      <w:pPr>
        <w:spacing w:after="0"/>
        <w:jc w:val="both"/>
      </w:pPr>
    </w:p>
    <w:p w14:paraId="317DDEC7" w14:textId="44D84A44" w:rsidR="0092788C" w:rsidRDefault="0092788C" w:rsidP="007B6BE3">
      <w:pPr>
        <w:spacing w:after="0"/>
        <w:jc w:val="both"/>
      </w:pPr>
    </w:p>
    <w:p w14:paraId="38A5E19A" w14:textId="77777777" w:rsidR="0092788C" w:rsidRDefault="0092788C" w:rsidP="007B6BE3">
      <w:pPr>
        <w:spacing w:after="0"/>
        <w:jc w:val="both"/>
      </w:pPr>
    </w:p>
    <w:p w14:paraId="164AF70F" w14:textId="77777777" w:rsidR="00625E9C" w:rsidRPr="0087376B" w:rsidRDefault="00625E9C" w:rsidP="007B6BE3">
      <w:pPr>
        <w:spacing w:after="0"/>
        <w:jc w:val="both"/>
      </w:pPr>
    </w:p>
    <w:p w14:paraId="54F4C168" w14:textId="77777777" w:rsidR="007B6BE3" w:rsidRPr="0092788C" w:rsidRDefault="005B20F8" w:rsidP="0092788C">
      <w:pPr>
        <w:pStyle w:val="Heading3"/>
        <w:numPr>
          <w:ilvl w:val="2"/>
          <w:numId w:val="1"/>
        </w:numPr>
        <w:spacing w:before="0"/>
        <w:ind w:left="993" w:hanging="567"/>
        <w:rPr>
          <w:rFonts w:ascii="Arial" w:hAnsi="Arial" w:cs="Arial"/>
          <w:b w:val="0"/>
          <w:color w:val="auto"/>
        </w:rPr>
      </w:pPr>
      <w:bookmarkStart w:id="15" w:name="_Toc100210366"/>
      <w:bookmarkStart w:id="16" w:name="_Toc100219287"/>
      <w:bookmarkStart w:id="17" w:name="_Toc100582012"/>
      <w:bookmarkStart w:id="18" w:name="_Toc100654502"/>
      <w:bookmarkStart w:id="19" w:name="_Toc100667315"/>
      <w:bookmarkStart w:id="20" w:name="_Toc100751740"/>
      <w:bookmarkStart w:id="21" w:name="_Toc100754194"/>
      <w:bookmarkStart w:id="22" w:name="_Toc100754638"/>
      <w:bookmarkStart w:id="23" w:name="_Toc100755030"/>
      <w:bookmarkStart w:id="24" w:name="_Toc100818761"/>
      <w:bookmarkStart w:id="25" w:name="_Toc100820467"/>
      <w:bookmarkStart w:id="26" w:name="_Toc100822755"/>
      <w:bookmarkStart w:id="27" w:name="_Toc100823294"/>
      <w:bookmarkStart w:id="28" w:name="_Toc100823737"/>
      <w:bookmarkStart w:id="29" w:name="_Toc100210367"/>
      <w:bookmarkStart w:id="30" w:name="_Toc100219288"/>
      <w:bookmarkStart w:id="31" w:name="_Toc100582013"/>
      <w:bookmarkStart w:id="32" w:name="_Toc100654503"/>
      <w:bookmarkStart w:id="33" w:name="_Toc100667316"/>
      <w:bookmarkStart w:id="34" w:name="_Toc100751741"/>
      <w:bookmarkStart w:id="35" w:name="_Toc100754195"/>
      <w:bookmarkStart w:id="36" w:name="_Toc100754639"/>
      <w:bookmarkStart w:id="37" w:name="_Toc100755031"/>
      <w:bookmarkStart w:id="38" w:name="_Toc100818762"/>
      <w:bookmarkStart w:id="39" w:name="_Toc100820468"/>
      <w:bookmarkStart w:id="40" w:name="_Toc100822756"/>
      <w:bookmarkStart w:id="41" w:name="_Toc100823295"/>
      <w:bookmarkStart w:id="42" w:name="_Toc100823738"/>
      <w:bookmarkStart w:id="43" w:name="_Toc100210368"/>
      <w:bookmarkStart w:id="44" w:name="_Toc100219289"/>
      <w:bookmarkStart w:id="45" w:name="_Toc100582014"/>
      <w:bookmarkStart w:id="46" w:name="_Toc100654504"/>
      <w:bookmarkStart w:id="47" w:name="_Toc100667317"/>
      <w:bookmarkStart w:id="48" w:name="_Toc100751742"/>
      <w:bookmarkStart w:id="49" w:name="_Toc100754196"/>
      <w:bookmarkStart w:id="50" w:name="_Toc100754640"/>
      <w:bookmarkStart w:id="51" w:name="_Toc100755032"/>
      <w:bookmarkStart w:id="52" w:name="_Toc100818763"/>
      <w:bookmarkStart w:id="53" w:name="_Toc100820469"/>
      <w:bookmarkStart w:id="54" w:name="_Toc100822757"/>
      <w:bookmarkStart w:id="55" w:name="_Toc100823296"/>
      <w:bookmarkStart w:id="56" w:name="_Toc100823739"/>
      <w:bookmarkStart w:id="57" w:name="_Toc14981060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Arial" w:hAnsi="Arial" w:cs="Arial"/>
          <w:b w:val="0"/>
          <w:color w:val="auto"/>
        </w:rPr>
        <w:t>Валутна</w:t>
      </w:r>
      <w:r w:rsidR="007B6BE3" w:rsidRPr="0087376B">
        <w:rPr>
          <w:rFonts w:ascii="Arial" w:hAnsi="Arial" w:cs="Arial"/>
          <w:b w:val="0"/>
          <w:color w:val="auto"/>
        </w:rPr>
        <w:t xml:space="preserve"> </w:t>
      </w:r>
      <w:r>
        <w:rPr>
          <w:rFonts w:ascii="Arial" w:hAnsi="Arial" w:cs="Arial"/>
          <w:b w:val="0"/>
          <w:color w:val="auto"/>
        </w:rPr>
        <w:t>структура</w:t>
      </w:r>
      <w:r w:rsidR="007B6BE3" w:rsidRPr="0087376B">
        <w:rPr>
          <w:rFonts w:ascii="Arial" w:hAnsi="Arial" w:cs="Arial"/>
          <w:b w:val="0"/>
          <w:color w:val="auto"/>
        </w:rPr>
        <w:t xml:space="preserve"> </w:t>
      </w:r>
      <w:r>
        <w:rPr>
          <w:rFonts w:ascii="Arial" w:hAnsi="Arial" w:cs="Arial"/>
          <w:b w:val="0"/>
          <w:color w:val="auto"/>
        </w:rPr>
        <w:t>спољног</w:t>
      </w:r>
      <w:r w:rsidR="007B6BE3" w:rsidRPr="0087376B">
        <w:rPr>
          <w:rFonts w:ascii="Arial" w:hAnsi="Arial" w:cs="Arial"/>
          <w:b w:val="0"/>
          <w:color w:val="auto"/>
        </w:rPr>
        <w:t xml:space="preserve"> </w:t>
      </w:r>
      <w:r>
        <w:rPr>
          <w:rFonts w:ascii="Arial" w:hAnsi="Arial" w:cs="Arial"/>
          <w:b w:val="0"/>
          <w:color w:val="auto"/>
        </w:rPr>
        <w:t>дуга</w:t>
      </w:r>
      <w:r w:rsidR="007B6BE3" w:rsidRPr="0087376B">
        <w:rPr>
          <w:rFonts w:ascii="Arial" w:hAnsi="Arial" w:cs="Arial"/>
          <w:b w:val="0"/>
          <w:color w:val="auto"/>
        </w:rPr>
        <w:t xml:space="preserve"> </w:t>
      </w:r>
      <w:r>
        <w:rPr>
          <w:rFonts w:ascii="Arial" w:hAnsi="Arial" w:cs="Arial"/>
          <w:b w:val="0"/>
          <w:color w:val="auto"/>
        </w:rPr>
        <w:t>Федерације</w:t>
      </w:r>
      <w:r w:rsidR="007B6BE3" w:rsidRPr="0087376B">
        <w:rPr>
          <w:rFonts w:ascii="Arial" w:hAnsi="Arial" w:cs="Arial"/>
          <w:b w:val="0"/>
          <w:color w:val="auto"/>
        </w:rPr>
        <w:t xml:space="preserve"> </w:t>
      </w:r>
      <w:r>
        <w:rPr>
          <w:rFonts w:ascii="Arial" w:hAnsi="Arial" w:cs="Arial"/>
          <w:b w:val="0"/>
          <w:color w:val="auto"/>
        </w:rPr>
        <w:t>БиХ</w:t>
      </w:r>
      <w:bookmarkEnd w:id="57"/>
    </w:p>
    <w:p w14:paraId="4CAC8D25" w14:textId="77777777" w:rsidR="007B6BE3" w:rsidRPr="0087376B" w:rsidRDefault="007B6BE3" w:rsidP="007B6BE3">
      <w:pPr>
        <w:pStyle w:val="ParagraphNumbering"/>
        <w:numPr>
          <w:ilvl w:val="0"/>
          <w:numId w:val="0"/>
        </w:numPr>
        <w:autoSpaceDE w:val="0"/>
        <w:spacing w:after="0" w:line="276" w:lineRule="auto"/>
        <w:ind w:firstLine="360"/>
        <w:jc w:val="both"/>
      </w:pPr>
    </w:p>
    <w:p w14:paraId="12AFA088" w14:textId="77777777" w:rsidR="007B6BE3" w:rsidRPr="00625E9C" w:rsidRDefault="005B20F8" w:rsidP="007B6BE3">
      <w:pPr>
        <w:pStyle w:val="ParagraphNumbering"/>
        <w:numPr>
          <w:ilvl w:val="0"/>
          <w:numId w:val="0"/>
        </w:numPr>
        <w:autoSpaceDE w:val="0"/>
        <w:spacing w:after="0" w:line="276" w:lineRule="auto"/>
        <w:ind w:firstLine="360"/>
        <w:jc w:val="both"/>
        <w:rPr>
          <w:rFonts w:ascii="Arial" w:hAnsi="Arial" w:cs="Arial"/>
          <w:sz w:val="22"/>
        </w:rPr>
      </w:pPr>
      <w:r>
        <w:rPr>
          <w:rFonts w:ascii="Arial" w:eastAsiaTheme="minorHAnsi" w:hAnsi="Arial" w:cs="Arial"/>
          <w:sz w:val="22"/>
        </w:rPr>
        <w:t>Валутна</w:t>
      </w:r>
      <w:r w:rsidR="007B6BE3" w:rsidRPr="0087376B">
        <w:rPr>
          <w:rFonts w:ascii="Arial" w:eastAsiaTheme="minorHAnsi" w:hAnsi="Arial" w:cs="Arial"/>
          <w:sz w:val="22"/>
        </w:rPr>
        <w:t xml:space="preserve"> </w:t>
      </w:r>
      <w:r>
        <w:rPr>
          <w:rFonts w:ascii="Arial" w:eastAsiaTheme="minorHAnsi" w:hAnsi="Arial" w:cs="Arial"/>
          <w:sz w:val="22"/>
        </w:rPr>
        <w:t>структура</w:t>
      </w:r>
      <w:r w:rsidR="007B6BE3" w:rsidRPr="0087376B">
        <w:rPr>
          <w:rFonts w:ascii="Arial" w:eastAsiaTheme="minorHAnsi" w:hAnsi="Arial" w:cs="Arial"/>
          <w:sz w:val="22"/>
        </w:rPr>
        <w:t xml:space="preserve"> </w:t>
      </w:r>
      <w:r>
        <w:rPr>
          <w:rFonts w:ascii="Arial" w:eastAsiaTheme="minorHAnsi" w:hAnsi="Arial" w:cs="Arial"/>
          <w:sz w:val="22"/>
        </w:rPr>
        <w:t>спољног</w:t>
      </w:r>
      <w:r w:rsidR="007B6BE3" w:rsidRPr="0087376B">
        <w:rPr>
          <w:rFonts w:ascii="Arial" w:eastAsiaTheme="minorHAnsi" w:hAnsi="Arial" w:cs="Arial"/>
          <w:sz w:val="22"/>
        </w:rPr>
        <w:t xml:space="preserve"> </w:t>
      </w:r>
      <w:r>
        <w:rPr>
          <w:rFonts w:ascii="Arial" w:eastAsiaTheme="minorHAnsi" w:hAnsi="Arial" w:cs="Arial"/>
          <w:sz w:val="22"/>
        </w:rPr>
        <w:t>дуга</w:t>
      </w:r>
      <w:r w:rsidR="007B6BE3" w:rsidRPr="0087376B">
        <w:rPr>
          <w:rFonts w:ascii="Arial" w:eastAsiaTheme="minorHAnsi" w:hAnsi="Arial" w:cs="Arial"/>
          <w:sz w:val="22"/>
        </w:rPr>
        <w:t xml:space="preserve"> </w:t>
      </w:r>
      <w:r>
        <w:rPr>
          <w:rFonts w:ascii="Arial" w:eastAsiaTheme="minorHAnsi" w:hAnsi="Arial" w:cs="Arial"/>
          <w:sz w:val="22"/>
        </w:rPr>
        <w:t>Федерације</w:t>
      </w:r>
      <w:r w:rsidR="007B6BE3" w:rsidRPr="0087376B">
        <w:rPr>
          <w:rFonts w:ascii="Arial" w:eastAsiaTheme="minorHAnsi" w:hAnsi="Arial" w:cs="Arial"/>
          <w:sz w:val="22"/>
        </w:rPr>
        <w:t xml:space="preserve"> </w:t>
      </w:r>
      <w:r>
        <w:rPr>
          <w:rFonts w:ascii="Arial" w:eastAsiaTheme="minorHAnsi" w:hAnsi="Arial" w:cs="Arial"/>
          <w:sz w:val="22"/>
        </w:rPr>
        <w:t>БиХ</w:t>
      </w:r>
      <w:r w:rsidR="007B6BE3" w:rsidRPr="0087376B">
        <w:rPr>
          <w:rFonts w:ascii="Arial" w:eastAsiaTheme="minorHAnsi" w:hAnsi="Arial" w:cs="Arial"/>
          <w:sz w:val="22"/>
        </w:rPr>
        <w:t xml:space="preserve"> </w:t>
      </w:r>
      <w:r>
        <w:rPr>
          <w:rFonts w:ascii="Arial" w:eastAsiaTheme="minorHAnsi" w:hAnsi="Arial" w:cs="Arial"/>
          <w:sz w:val="22"/>
        </w:rPr>
        <w:t>дефинирана</w:t>
      </w:r>
      <w:r w:rsidR="007B6BE3" w:rsidRPr="0087376B">
        <w:rPr>
          <w:rFonts w:ascii="Arial" w:eastAsiaTheme="minorHAnsi" w:hAnsi="Arial" w:cs="Arial"/>
          <w:sz w:val="22"/>
        </w:rPr>
        <w:t xml:space="preserve"> </w:t>
      </w:r>
      <w:r>
        <w:rPr>
          <w:rFonts w:ascii="Arial" w:eastAsiaTheme="minorHAnsi" w:hAnsi="Arial" w:cs="Arial"/>
          <w:sz w:val="22"/>
        </w:rPr>
        <w:t>је</w:t>
      </w:r>
      <w:r w:rsidR="007B6BE3" w:rsidRPr="0087376B">
        <w:rPr>
          <w:rFonts w:ascii="Arial" w:eastAsiaTheme="minorHAnsi" w:hAnsi="Arial" w:cs="Arial"/>
          <w:sz w:val="22"/>
        </w:rPr>
        <w:t xml:space="preserve"> </w:t>
      </w:r>
      <w:r>
        <w:rPr>
          <w:rFonts w:ascii="Arial" w:eastAsiaTheme="minorHAnsi" w:hAnsi="Arial" w:cs="Arial"/>
          <w:sz w:val="22"/>
        </w:rPr>
        <w:t>доступним</w:t>
      </w:r>
      <w:r w:rsidR="007B6BE3" w:rsidRPr="0087376B">
        <w:rPr>
          <w:rFonts w:ascii="Arial" w:eastAsiaTheme="minorHAnsi" w:hAnsi="Arial" w:cs="Arial"/>
          <w:sz w:val="22"/>
        </w:rPr>
        <w:t xml:space="preserve"> </w:t>
      </w:r>
      <w:r>
        <w:rPr>
          <w:rFonts w:ascii="Arial" w:eastAsiaTheme="minorHAnsi" w:hAnsi="Arial" w:cs="Arial"/>
          <w:sz w:val="22"/>
        </w:rPr>
        <w:t>изворима</w:t>
      </w:r>
      <w:r w:rsidR="007B6BE3" w:rsidRPr="0087376B">
        <w:rPr>
          <w:rFonts w:ascii="Arial" w:eastAsiaTheme="minorHAnsi" w:hAnsi="Arial" w:cs="Arial"/>
          <w:sz w:val="22"/>
        </w:rPr>
        <w:t xml:space="preserve"> </w:t>
      </w:r>
      <w:r>
        <w:rPr>
          <w:rFonts w:ascii="Arial" w:eastAsiaTheme="minorHAnsi" w:hAnsi="Arial" w:cs="Arial"/>
          <w:sz w:val="22"/>
        </w:rPr>
        <w:t>финансирања</w:t>
      </w:r>
      <w:r w:rsidR="007B6BE3" w:rsidRPr="0087376B">
        <w:rPr>
          <w:rFonts w:ascii="Arial" w:eastAsiaTheme="minorHAnsi" w:hAnsi="Arial" w:cs="Arial"/>
          <w:sz w:val="22"/>
        </w:rPr>
        <w:t xml:space="preserve">. </w:t>
      </w:r>
      <w:r>
        <w:rPr>
          <w:rFonts w:ascii="Arial" w:eastAsiaTheme="minorHAnsi" w:hAnsi="Arial" w:cs="Arial"/>
          <w:sz w:val="22"/>
        </w:rPr>
        <w:t>Најзаступљенија</w:t>
      </w:r>
      <w:r w:rsidR="007B6BE3" w:rsidRPr="0087376B">
        <w:rPr>
          <w:rFonts w:ascii="Arial" w:eastAsiaTheme="minorHAnsi" w:hAnsi="Arial" w:cs="Arial"/>
          <w:sz w:val="22"/>
        </w:rPr>
        <w:t xml:space="preserve"> </w:t>
      </w:r>
      <w:r>
        <w:rPr>
          <w:rFonts w:ascii="Arial" w:eastAsiaTheme="minorHAnsi" w:hAnsi="Arial" w:cs="Arial"/>
          <w:sz w:val="22"/>
        </w:rPr>
        <w:t>валута</w:t>
      </w:r>
      <w:r w:rsidR="007B6BE3" w:rsidRPr="0087376B">
        <w:rPr>
          <w:rFonts w:ascii="Arial" w:eastAsiaTheme="minorHAnsi" w:hAnsi="Arial" w:cs="Arial"/>
          <w:sz w:val="22"/>
        </w:rPr>
        <w:t xml:space="preserve"> </w:t>
      </w:r>
      <w:r>
        <w:rPr>
          <w:rFonts w:ascii="Arial" w:eastAsiaTheme="minorHAnsi" w:hAnsi="Arial" w:cs="Arial"/>
          <w:sz w:val="22"/>
        </w:rPr>
        <w:t>у</w:t>
      </w:r>
      <w:r w:rsidR="007B6BE3" w:rsidRPr="0087376B">
        <w:rPr>
          <w:rFonts w:ascii="Arial" w:eastAsiaTheme="minorHAnsi" w:hAnsi="Arial" w:cs="Arial"/>
          <w:sz w:val="22"/>
        </w:rPr>
        <w:t xml:space="preserve"> </w:t>
      </w:r>
      <w:r>
        <w:rPr>
          <w:rFonts w:ascii="Arial" w:eastAsiaTheme="minorHAnsi" w:hAnsi="Arial" w:cs="Arial"/>
          <w:sz w:val="22"/>
        </w:rPr>
        <w:t>портфолију</w:t>
      </w:r>
      <w:r w:rsidR="007B6BE3" w:rsidRPr="0087376B">
        <w:rPr>
          <w:rFonts w:ascii="Arial" w:eastAsiaTheme="minorHAnsi" w:hAnsi="Arial" w:cs="Arial"/>
          <w:sz w:val="22"/>
        </w:rPr>
        <w:t xml:space="preserve"> </w:t>
      </w:r>
      <w:r>
        <w:rPr>
          <w:rFonts w:ascii="Arial" w:eastAsiaTheme="minorHAnsi" w:hAnsi="Arial" w:cs="Arial"/>
          <w:sz w:val="22"/>
        </w:rPr>
        <w:t>дуга</w:t>
      </w:r>
      <w:r w:rsidR="007B6BE3" w:rsidRPr="0087376B">
        <w:rPr>
          <w:rFonts w:ascii="Arial" w:eastAsiaTheme="minorHAnsi" w:hAnsi="Arial" w:cs="Arial"/>
          <w:sz w:val="22"/>
        </w:rPr>
        <w:t xml:space="preserve"> </w:t>
      </w:r>
      <w:r>
        <w:rPr>
          <w:rFonts w:ascii="Arial" w:eastAsiaTheme="minorHAnsi" w:hAnsi="Arial" w:cs="Arial"/>
          <w:sz w:val="22"/>
        </w:rPr>
        <w:t>Федерације</w:t>
      </w:r>
      <w:r w:rsidR="007B6BE3" w:rsidRPr="0087376B">
        <w:rPr>
          <w:rFonts w:ascii="Arial" w:eastAsiaTheme="minorHAnsi" w:hAnsi="Arial" w:cs="Arial"/>
          <w:sz w:val="22"/>
        </w:rPr>
        <w:t xml:space="preserve"> </w:t>
      </w:r>
      <w:r>
        <w:rPr>
          <w:rFonts w:ascii="Arial" w:eastAsiaTheme="minorHAnsi" w:hAnsi="Arial" w:cs="Arial"/>
          <w:sz w:val="22"/>
        </w:rPr>
        <w:t>БиХ</w:t>
      </w:r>
      <w:r w:rsidR="007B6BE3" w:rsidRPr="0087376B">
        <w:rPr>
          <w:rFonts w:ascii="Arial" w:eastAsiaTheme="minorHAnsi" w:hAnsi="Arial" w:cs="Arial"/>
          <w:sz w:val="22"/>
        </w:rPr>
        <w:t xml:space="preserve"> </w:t>
      </w:r>
      <w:r>
        <w:rPr>
          <w:rFonts w:ascii="Arial" w:eastAsiaTheme="minorHAnsi" w:hAnsi="Arial" w:cs="Arial"/>
          <w:sz w:val="22"/>
        </w:rPr>
        <w:t>је</w:t>
      </w:r>
      <w:r w:rsidR="007B6BE3" w:rsidRPr="0087376B">
        <w:rPr>
          <w:rFonts w:ascii="Arial" w:eastAsiaTheme="minorHAnsi" w:hAnsi="Arial" w:cs="Arial"/>
          <w:sz w:val="22"/>
        </w:rPr>
        <w:t xml:space="preserve"> </w:t>
      </w:r>
      <w:r>
        <w:rPr>
          <w:rFonts w:ascii="Arial" w:eastAsiaTheme="minorHAnsi" w:hAnsi="Arial" w:cs="Arial"/>
          <w:sz w:val="22"/>
        </w:rPr>
        <w:t>еуро</w:t>
      </w:r>
      <w:r w:rsidR="007B6BE3" w:rsidRPr="0087376B">
        <w:rPr>
          <w:rFonts w:ascii="Arial" w:eastAsiaTheme="minorHAnsi" w:hAnsi="Arial" w:cs="Arial"/>
          <w:sz w:val="22"/>
        </w:rPr>
        <w:t xml:space="preserve"> </w:t>
      </w:r>
      <w:r w:rsidR="007B6BE3" w:rsidRPr="00625E9C">
        <w:rPr>
          <w:rFonts w:ascii="Arial" w:eastAsiaTheme="minorHAnsi" w:hAnsi="Arial" w:cs="Arial"/>
          <w:sz w:val="22"/>
        </w:rPr>
        <w:t>(</w:t>
      </w:r>
      <w:r w:rsidRPr="00625E9C">
        <w:rPr>
          <w:rFonts w:ascii="Arial" w:eastAsiaTheme="minorHAnsi" w:hAnsi="Arial" w:cs="Arial"/>
          <w:sz w:val="22"/>
        </w:rPr>
        <w:t>Е</w:t>
      </w:r>
      <w:r w:rsidR="00625E9C" w:rsidRPr="00625E9C">
        <w:rPr>
          <w:rFonts w:ascii="Arial" w:eastAsiaTheme="minorHAnsi" w:hAnsi="Arial" w:cs="Arial"/>
          <w:sz w:val="22"/>
        </w:rPr>
        <w:t>UR</w:t>
      </w:r>
      <w:r w:rsidR="007B6BE3" w:rsidRPr="00625E9C">
        <w:rPr>
          <w:rFonts w:ascii="Arial" w:eastAsiaTheme="minorHAnsi" w:hAnsi="Arial" w:cs="Arial"/>
          <w:sz w:val="22"/>
        </w:rPr>
        <w:t xml:space="preserve">), </w:t>
      </w:r>
      <w:r w:rsidRPr="00625E9C">
        <w:rPr>
          <w:rFonts w:ascii="Arial" w:eastAsiaTheme="minorHAnsi" w:hAnsi="Arial" w:cs="Arial"/>
          <w:sz w:val="22"/>
        </w:rPr>
        <w:t>затим</w:t>
      </w:r>
      <w:r w:rsidR="007B6BE3" w:rsidRPr="00625E9C">
        <w:rPr>
          <w:rFonts w:ascii="Arial" w:eastAsiaTheme="minorHAnsi" w:hAnsi="Arial" w:cs="Arial"/>
          <w:sz w:val="22"/>
        </w:rPr>
        <w:t xml:space="preserve"> </w:t>
      </w:r>
      <w:r w:rsidRPr="00625E9C">
        <w:rPr>
          <w:rFonts w:ascii="Arial" w:eastAsiaTheme="minorHAnsi" w:hAnsi="Arial" w:cs="Arial"/>
          <w:sz w:val="22"/>
        </w:rPr>
        <w:t>слиједе</w:t>
      </w:r>
      <w:r w:rsidR="007B6BE3" w:rsidRPr="00625E9C">
        <w:rPr>
          <w:rFonts w:ascii="Arial" w:eastAsiaTheme="minorHAnsi" w:hAnsi="Arial" w:cs="Arial"/>
          <w:sz w:val="22"/>
        </w:rPr>
        <w:t xml:space="preserve"> </w:t>
      </w:r>
      <w:r w:rsidRPr="00625E9C">
        <w:rPr>
          <w:rFonts w:ascii="Arial" w:eastAsiaTheme="minorHAnsi" w:hAnsi="Arial" w:cs="Arial"/>
          <w:sz w:val="22"/>
        </w:rPr>
        <w:t>Специјална</w:t>
      </w:r>
      <w:r w:rsidR="007B6BE3" w:rsidRPr="00625E9C">
        <w:rPr>
          <w:rFonts w:ascii="Arial" w:eastAsiaTheme="minorHAnsi" w:hAnsi="Arial" w:cs="Arial"/>
          <w:sz w:val="22"/>
        </w:rPr>
        <w:t xml:space="preserve"> </w:t>
      </w:r>
      <w:r w:rsidRPr="00625E9C">
        <w:rPr>
          <w:rFonts w:ascii="Arial" w:eastAsiaTheme="minorHAnsi" w:hAnsi="Arial" w:cs="Arial"/>
          <w:sz w:val="22"/>
        </w:rPr>
        <w:t>Права</w:t>
      </w:r>
      <w:r w:rsidR="007B6BE3" w:rsidRPr="00625E9C">
        <w:rPr>
          <w:rFonts w:ascii="Arial" w:eastAsiaTheme="minorHAnsi" w:hAnsi="Arial" w:cs="Arial"/>
          <w:sz w:val="22"/>
        </w:rPr>
        <w:t xml:space="preserve"> </w:t>
      </w:r>
      <w:r w:rsidRPr="00625E9C">
        <w:rPr>
          <w:rFonts w:ascii="Arial" w:eastAsiaTheme="minorHAnsi" w:hAnsi="Arial" w:cs="Arial"/>
          <w:sz w:val="22"/>
        </w:rPr>
        <w:t>Вучења</w:t>
      </w:r>
      <w:r w:rsidR="007B6BE3" w:rsidRPr="00625E9C">
        <w:rPr>
          <w:rFonts w:ascii="Arial" w:eastAsiaTheme="minorHAnsi" w:hAnsi="Arial" w:cs="Arial"/>
          <w:sz w:val="22"/>
        </w:rPr>
        <w:t xml:space="preserve"> (</w:t>
      </w:r>
      <w:r w:rsidR="00625E9C" w:rsidRPr="00625E9C">
        <w:rPr>
          <w:rFonts w:ascii="Arial" w:eastAsiaTheme="minorHAnsi" w:hAnsi="Arial" w:cs="Arial"/>
          <w:sz w:val="22"/>
        </w:rPr>
        <w:t>SDR</w:t>
      </w:r>
      <w:r w:rsidR="007B6BE3" w:rsidRPr="00625E9C">
        <w:rPr>
          <w:rFonts w:ascii="Arial" w:eastAsiaTheme="minorHAnsi" w:hAnsi="Arial" w:cs="Arial"/>
          <w:sz w:val="22"/>
        </w:rPr>
        <w:t>)</w:t>
      </w:r>
      <w:r w:rsidR="007B6BE3" w:rsidRPr="00625E9C">
        <w:rPr>
          <w:rStyle w:val="FootnoteReference"/>
          <w:rFonts w:ascii="Arial" w:eastAsiaTheme="minorHAnsi" w:hAnsi="Arial" w:cs="Arial"/>
          <w:sz w:val="22"/>
        </w:rPr>
        <w:footnoteReference w:id="3"/>
      </w:r>
      <w:r w:rsidR="007B6BE3" w:rsidRPr="00625E9C">
        <w:rPr>
          <w:rFonts w:ascii="Arial" w:eastAsiaTheme="minorHAnsi" w:hAnsi="Arial" w:cs="Arial"/>
          <w:sz w:val="22"/>
        </w:rPr>
        <w:t xml:space="preserve"> </w:t>
      </w:r>
      <w:r w:rsidRPr="00625E9C">
        <w:rPr>
          <w:rFonts w:ascii="Arial" w:eastAsiaTheme="minorHAnsi" w:hAnsi="Arial" w:cs="Arial"/>
          <w:sz w:val="22"/>
        </w:rPr>
        <w:t>и</w:t>
      </w:r>
      <w:r w:rsidR="007B6BE3" w:rsidRPr="00625E9C">
        <w:rPr>
          <w:rFonts w:ascii="Arial" w:eastAsiaTheme="minorHAnsi" w:hAnsi="Arial" w:cs="Arial"/>
          <w:sz w:val="22"/>
        </w:rPr>
        <w:t xml:space="preserve"> </w:t>
      </w:r>
      <w:r w:rsidRPr="00625E9C">
        <w:rPr>
          <w:rFonts w:ascii="Arial" w:eastAsiaTheme="minorHAnsi" w:hAnsi="Arial" w:cs="Arial"/>
          <w:sz w:val="22"/>
        </w:rPr>
        <w:t>амерички</w:t>
      </w:r>
      <w:r w:rsidR="007B6BE3" w:rsidRPr="00625E9C">
        <w:rPr>
          <w:rFonts w:ascii="Arial" w:eastAsiaTheme="minorHAnsi" w:hAnsi="Arial" w:cs="Arial"/>
          <w:sz w:val="22"/>
        </w:rPr>
        <w:t xml:space="preserve"> </w:t>
      </w:r>
      <w:r w:rsidRPr="00625E9C">
        <w:rPr>
          <w:rFonts w:ascii="Arial" w:eastAsiaTheme="minorHAnsi" w:hAnsi="Arial" w:cs="Arial"/>
          <w:sz w:val="22"/>
        </w:rPr>
        <w:t>долар</w:t>
      </w:r>
      <w:r w:rsidR="007B6BE3" w:rsidRPr="00625E9C">
        <w:rPr>
          <w:rFonts w:ascii="Arial" w:eastAsiaTheme="minorHAnsi" w:hAnsi="Arial" w:cs="Arial"/>
          <w:sz w:val="22"/>
        </w:rPr>
        <w:t xml:space="preserve"> (</w:t>
      </w:r>
      <w:r w:rsidR="00625E9C" w:rsidRPr="00625E9C">
        <w:rPr>
          <w:rFonts w:ascii="Arial" w:eastAsiaTheme="minorHAnsi" w:hAnsi="Arial" w:cs="Arial"/>
          <w:sz w:val="22"/>
        </w:rPr>
        <w:t>USD</w:t>
      </w:r>
      <w:r w:rsidR="007B6BE3" w:rsidRPr="00625E9C">
        <w:rPr>
          <w:rFonts w:ascii="Arial" w:eastAsiaTheme="minorHAnsi" w:hAnsi="Arial" w:cs="Arial"/>
          <w:sz w:val="22"/>
        </w:rPr>
        <w:t>).</w:t>
      </w:r>
      <w:r w:rsidR="007B6BE3" w:rsidRPr="00625E9C">
        <w:rPr>
          <w:rFonts w:ascii="Arial" w:hAnsi="Arial" w:cs="Arial"/>
          <w:sz w:val="22"/>
        </w:rPr>
        <w:t xml:space="preserve"> </w:t>
      </w:r>
    </w:p>
    <w:p w14:paraId="76AE3DF2" w14:textId="77777777" w:rsidR="007B6BE3" w:rsidRPr="0087376B" w:rsidRDefault="007B6BE3" w:rsidP="007B6BE3">
      <w:pPr>
        <w:pStyle w:val="ParagraphNumbering"/>
        <w:numPr>
          <w:ilvl w:val="0"/>
          <w:numId w:val="0"/>
        </w:numPr>
        <w:autoSpaceDE w:val="0"/>
        <w:spacing w:after="0" w:line="276" w:lineRule="auto"/>
        <w:ind w:firstLine="360"/>
        <w:jc w:val="both"/>
        <w:rPr>
          <w:rFonts w:ascii="Arial" w:hAnsi="Arial" w:cs="Arial"/>
        </w:rPr>
      </w:pPr>
    </w:p>
    <w:p w14:paraId="158B6421" w14:textId="77777777" w:rsidR="007B6BE3" w:rsidRPr="0087376B" w:rsidRDefault="005B20F8" w:rsidP="007B6BE3">
      <w:pPr>
        <w:pStyle w:val="NoSpacing"/>
        <w:spacing w:line="276" w:lineRule="auto"/>
        <w:jc w:val="both"/>
        <w:rPr>
          <w:rFonts w:ascii="Arial" w:hAnsi="Arial" w:cs="Arial"/>
          <w:szCs w:val="24"/>
          <w:lang w:val="hr-HR"/>
        </w:rPr>
      </w:pPr>
      <w:r w:rsidRPr="00196EEC">
        <w:rPr>
          <w:rFonts w:ascii="Arial" w:hAnsi="Arial" w:cs="Arial"/>
          <w:szCs w:val="24"/>
          <w:lang w:val="hr-HR"/>
        </w:rPr>
        <w:t>Слика</w:t>
      </w:r>
      <w:r w:rsidR="007B6BE3" w:rsidRPr="00196EEC">
        <w:rPr>
          <w:rFonts w:ascii="Arial" w:hAnsi="Arial" w:cs="Arial"/>
          <w:szCs w:val="24"/>
          <w:lang w:val="hr-HR"/>
        </w:rPr>
        <w:t xml:space="preserve"> 2. </w:t>
      </w:r>
      <w:r w:rsidRPr="00196EEC">
        <w:rPr>
          <w:rFonts w:ascii="Arial" w:hAnsi="Arial" w:cs="Arial"/>
          <w:szCs w:val="24"/>
          <w:lang w:val="hr-HR"/>
        </w:rPr>
        <w:t>Валутна</w:t>
      </w:r>
      <w:r w:rsidR="007B6BE3" w:rsidRPr="00196EEC">
        <w:rPr>
          <w:rFonts w:ascii="Arial" w:hAnsi="Arial" w:cs="Arial"/>
          <w:szCs w:val="24"/>
          <w:lang w:val="hr-HR"/>
        </w:rPr>
        <w:t xml:space="preserve"> </w:t>
      </w:r>
      <w:r w:rsidRPr="00196EEC">
        <w:rPr>
          <w:rFonts w:ascii="Arial" w:hAnsi="Arial" w:cs="Arial"/>
          <w:szCs w:val="24"/>
          <w:lang w:val="hr-HR"/>
        </w:rPr>
        <w:t>структура</w:t>
      </w:r>
      <w:r w:rsidR="007B6BE3" w:rsidRPr="00196EEC">
        <w:rPr>
          <w:rFonts w:ascii="Arial" w:hAnsi="Arial" w:cs="Arial"/>
          <w:szCs w:val="24"/>
          <w:lang w:val="hr-HR"/>
        </w:rPr>
        <w:t xml:space="preserve"> </w:t>
      </w:r>
      <w:r w:rsidRPr="00196EEC">
        <w:rPr>
          <w:rFonts w:ascii="Arial" w:hAnsi="Arial" w:cs="Arial"/>
          <w:szCs w:val="24"/>
          <w:lang w:val="hr-HR"/>
        </w:rPr>
        <w:t>спољног</w:t>
      </w:r>
      <w:r w:rsidR="007B6BE3" w:rsidRPr="00196EEC">
        <w:rPr>
          <w:rFonts w:ascii="Arial" w:hAnsi="Arial" w:cs="Arial"/>
          <w:szCs w:val="24"/>
          <w:lang w:val="hr-HR"/>
        </w:rPr>
        <w:t xml:space="preserve"> </w:t>
      </w:r>
      <w:r w:rsidRPr="00196EEC">
        <w:rPr>
          <w:rFonts w:ascii="Arial" w:hAnsi="Arial" w:cs="Arial"/>
          <w:szCs w:val="24"/>
          <w:lang w:val="hr-HR"/>
        </w:rPr>
        <w:t>дуга</w:t>
      </w:r>
      <w:r w:rsidR="007B6BE3" w:rsidRPr="00196EEC">
        <w:rPr>
          <w:rFonts w:ascii="Arial" w:hAnsi="Arial" w:cs="Arial"/>
          <w:szCs w:val="24"/>
          <w:lang w:val="hr-HR"/>
        </w:rPr>
        <w:t xml:space="preserve"> </w:t>
      </w:r>
      <w:r w:rsidRPr="00196EEC">
        <w:rPr>
          <w:rFonts w:ascii="Arial" w:hAnsi="Arial" w:cs="Arial"/>
          <w:szCs w:val="24"/>
          <w:lang w:val="hr-HR"/>
        </w:rPr>
        <w:t>Федерације</w:t>
      </w:r>
      <w:r w:rsidR="007B6BE3" w:rsidRPr="00196EEC">
        <w:rPr>
          <w:rFonts w:ascii="Arial" w:hAnsi="Arial" w:cs="Arial"/>
          <w:szCs w:val="24"/>
          <w:lang w:val="hr-HR"/>
        </w:rPr>
        <w:t xml:space="preserve"> </w:t>
      </w:r>
      <w:r w:rsidRPr="00196EEC">
        <w:rPr>
          <w:rFonts w:ascii="Arial" w:hAnsi="Arial" w:cs="Arial"/>
          <w:szCs w:val="24"/>
          <w:lang w:val="hr-HR"/>
        </w:rPr>
        <w:t>БиХ</w:t>
      </w:r>
    </w:p>
    <w:p w14:paraId="1F8CF92B" w14:textId="1C2DADB8" w:rsidR="007B6BE3" w:rsidRPr="0087376B" w:rsidRDefault="00196EEC" w:rsidP="007B6BE3">
      <w:pPr>
        <w:pStyle w:val="NoSpacing"/>
        <w:spacing w:line="276" w:lineRule="auto"/>
        <w:jc w:val="both"/>
        <w:rPr>
          <w:rFonts w:ascii="Arial" w:hAnsi="Arial" w:cs="Arial"/>
          <w:sz w:val="24"/>
          <w:szCs w:val="24"/>
          <w:lang w:val="hr-HR"/>
        </w:rPr>
      </w:pPr>
      <w:r>
        <w:rPr>
          <w:rFonts w:ascii="Arial" w:hAnsi="Arial" w:cs="Arial"/>
          <w:noProof/>
          <w:sz w:val="24"/>
          <w:szCs w:val="24"/>
          <w:lang w:val="hr-HR"/>
        </w:rPr>
        <w:drawing>
          <wp:inline distT="0" distB="0" distL="0" distR="0" wp14:anchorId="4B7860CF" wp14:editId="5E68865B">
            <wp:extent cx="2941200" cy="208263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1200" cy="2082638"/>
                    </a:xfrm>
                    <a:prstGeom prst="rect">
                      <a:avLst/>
                    </a:prstGeom>
                    <a:noFill/>
                  </pic:spPr>
                </pic:pic>
              </a:graphicData>
            </a:graphic>
          </wp:inline>
        </w:drawing>
      </w:r>
      <w:r>
        <w:rPr>
          <w:rFonts w:ascii="Arial" w:hAnsi="Arial" w:cs="Arial"/>
          <w:noProof/>
          <w:sz w:val="24"/>
          <w:szCs w:val="24"/>
          <w:lang w:val="hr-HR"/>
        </w:rPr>
        <w:drawing>
          <wp:inline distT="0" distB="0" distL="0" distR="0" wp14:anchorId="341A815A" wp14:editId="0F0B6201">
            <wp:extent cx="2676525" cy="202374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525" cy="2023745"/>
                    </a:xfrm>
                    <a:prstGeom prst="rect">
                      <a:avLst/>
                    </a:prstGeom>
                    <a:noFill/>
                  </pic:spPr>
                </pic:pic>
              </a:graphicData>
            </a:graphic>
          </wp:inline>
        </w:drawing>
      </w:r>
    </w:p>
    <w:p w14:paraId="7E3F9C6B" w14:textId="77777777" w:rsidR="007B6BE3" w:rsidRPr="0087376B" w:rsidRDefault="007B6BE3" w:rsidP="007B6BE3">
      <w:pPr>
        <w:pStyle w:val="NoSpacing"/>
        <w:spacing w:line="276" w:lineRule="auto"/>
        <w:jc w:val="both"/>
        <w:rPr>
          <w:rFonts w:ascii="Arial" w:hAnsi="Arial" w:cs="Arial"/>
          <w:sz w:val="24"/>
          <w:szCs w:val="24"/>
          <w:lang w:val="hr-HR"/>
        </w:rPr>
      </w:pPr>
      <w:r w:rsidRPr="0087376B">
        <w:rPr>
          <w:lang w:val="hr-HR" w:eastAsia="bs-Latn-BA"/>
        </w:rPr>
        <w:t xml:space="preserve"> </w:t>
      </w:r>
    </w:p>
    <w:p w14:paraId="69609EBE" w14:textId="77777777" w:rsidR="007B6BE3" w:rsidRPr="0087376B" w:rsidRDefault="005B20F8" w:rsidP="007B6BE3">
      <w:pPr>
        <w:pStyle w:val="NoSpacing"/>
        <w:spacing w:line="276" w:lineRule="auto"/>
        <w:jc w:val="both"/>
        <w:rPr>
          <w:rFonts w:ascii="Arial" w:hAnsi="Arial" w:cs="Arial"/>
          <w:lang w:val="hr-HR"/>
        </w:rPr>
      </w:pPr>
      <w:r>
        <w:rPr>
          <w:rFonts w:ascii="Arial" w:hAnsi="Arial" w:cs="Arial"/>
          <w:szCs w:val="24"/>
          <w:lang w:val="hr-HR"/>
        </w:rPr>
        <w:t>Декомпозицијом</w:t>
      </w:r>
      <w:r w:rsidR="007B6BE3" w:rsidRPr="0087376B">
        <w:rPr>
          <w:rFonts w:ascii="Arial" w:hAnsi="Arial" w:cs="Arial"/>
          <w:szCs w:val="24"/>
          <w:lang w:val="hr-HR"/>
        </w:rPr>
        <w:t xml:space="preserve"> </w:t>
      </w:r>
      <w:r w:rsidR="00625E9C" w:rsidRPr="00625E9C">
        <w:rPr>
          <w:rFonts w:ascii="Arial" w:hAnsi="Arial" w:cs="Arial"/>
          <w:szCs w:val="24"/>
          <w:lang w:val="hr-HR"/>
        </w:rPr>
        <w:t>SDR</w:t>
      </w:r>
      <w:r w:rsidR="007B6BE3" w:rsidRPr="00625E9C">
        <w:rPr>
          <w:rFonts w:ascii="Arial" w:hAnsi="Arial" w:cs="Arial"/>
          <w:szCs w:val="24"/>
          <w:lang w:val="hr-HR"/>
        </w:rPr>
        <w:t>-</w:t>
      </w:r>
      <w:r w:rsidRPr="00625E9C">
        <w:rPr>
          <w:rFonts w:ascii="Arial" w:hAnsi="Arial" w:cs="Arial"/>
          <w:szCs w:val="24"/>
          <w:lang w:val="hr-HR"/>
        </w:rPr>
        <w:t>а</w:t>
      </w:r>
      <w:r w:rsidR="007B6BE3" w:rsidRPr="00625E9C">
        <w:rPr>
          <w:rFonts w:ascii="Arial" w:hAnsi="Arial" w:cs="Arial"/>
          <w:szCs w:val="24"/>
          <w:lang w:val="hr-HR"/>
        </w:rPr>
        <w:t xml:space="preserve">, </w:t>
      </w:r>
      <w:r w:rsidRPr="00625E9C">
        <w:rPr>
          <w:rFonts w:ascii="Arial" w:hAnsi="Arial" w:cs="Arial"/>
          <w:szCs w:val="24"/>
          <w:lang w:val="hr-HR"/>
        </w:rPr>
        <w:t>учешће</w:t>
      </w:r>
      <w:r w:rsidR="007B6BE3" w:rsidRPr="00625E9C">
        <w:rPr>
          <w:rFonts w:ascii="Arial" w:hAnsi="Arial" w:cs="Arial"/>
          <w:szCs w:val="24"/>
          <w:lang w:val="hr-HR"/>
        </w:rPr>
        <w:t xml:space="preserve"> </w:t>
      </w:r>
      <w:r w:rsidRPr="00625E9C">
        <w:rPr>
          <w:rFonts w:ascii="Arial" w:hAnsi="Arial" w:cs="Arial"/>
          <w:szCs w:val="24"/>
          <w:lang w:val="hr-HR"/>
        </w:rPr>
        <w:t>Е</w:t>
      </w:r>
      <w:r w:rsidR="00625E9C" w:rsidRPr="00625E9C">
        <w:rPr>
          <w:rFonts w:ascii="Arial" w:hAnsi="Arial" w:cs="Arial"/>
          <w:szCs w:val="24"/>
          <w:lang w:val="hr-HR"/>
        </w:rPr>
        <w:t>UR</w:t>
      </w:r>
      <w:r w:rsidR="007B6BE3" w:rsidRPr="00625E9C">
        <w:rPr>
          <w:rFonts w:ascii="Arial" w:hAnsi="Arial" w:cs="Arial"/>
          <w:szCs w:val="24"/>
          <w:lang w:val="hr-HR"/>
        </w:rPr>
        <w:t xml:space="preserve"> </w:t>
      </w:r>
      <w:r w:rsidRPr="00625E9C">
        <w:rPr>
          <w:rFonts w:ascii="Arial" w:hAnsi="Arial" w:cs="Arial"/>
          <w:szCs w:val="24"/>
          <w:lang w:val="hr-HR"/>
        </w:rPr>
        <w:t>валуте</w:t>
      </w:r>
      <w:r w:rsidR="007B6BE3" w:rsidRPr="00625E9C">
        <w:rPr>
          <w:rFonts w:ascii="Arial" w:hAnsi="Arial" w:cs="Arial"/>
          <w:szCs w:val="24"/>
          <w:lang w:val="hr-HR"/>
        </w:rPr>
        <w:t xml:space="preserve"> </w:t>
      </w:r>
      <w:r w:rsidRPr="00625E9C">
        <w:rPr>
          <w:rFonts w:ascii="Arial" w:hAnsi="Arial" w:cs="Arial"/>
          <w:szCs w:val="24"/>
          <w:lang w:val="hr-HR"/>
        </w:rPr>
        <w:t>расте</w:t>
      </w:r>
      <w:r w:rsidR="007B6BE3" w:rsidRPr="00625E9C">
        <w:rPr>
          <w:rFonts w:ascii="Arial" w:hAnsi="Arial" w:cs="Arial"/>
          <w:szCs w:val="24"/>
          <w:lang w:val="hr-HR"/>
        </w:rPr>
        <w:t xml:space="preserve"> </w:t>
      </w:r>
      <w:r w:rsidRPr="00625E9C">
        <w:rPr>
          <w:rFonts w:ascii="Arial" w:hAnsi="Arial" w:cs="Arial"/>
          <w:szCs w:val="24"/>
          <w:lang w:val="hr-HR"/>
        </w:rPr>
        <w:t>на</w:t>
      </w:r>
      <w:r w:rsidR="007B6BE3" w:rsidRPr="00625E9C">
        <w:rPr>
          <w:rFonts w:ascii="Arial" w:hAnsi="Arial" w:cs="Arial"/>
          <w:szCs w:val="24"/>
          <w:lang w:val="hr-HR"/>
        </w:rPr>
        <w:t xml:space="preserve"> 69,70%, </w:t>
      </w:r>
      <w:r w:rsidRPr="00625E9C">
        <w:rPr>
          <w:rFonts w:ascii="Arial" w:hAnsi="Arial" w:cs="Arial"/>
          <w:szCs w:val="24"/>
          <w:lang w:val="hr-HR"/>
        </w:rPr>
        <w:t>а</w:t>
      </w:r>
      <w:r w:rsidR="007B6BE3" w:rsidRPr="00625E9C">
        <w:rPr>
          <w:rFonts w:ascii="Arial" w:hAnsi="Arial" w:cs="Arial"/>
          <w:szCs w:val="24"/>
          <w:lang w:val="hr-HR"/>
        </w:rPr>
        <w:t xml:space="preserve"> </w:t>
      </w:r>
      <w:r w:rsidR="00625E9C" w:rsidRPr="00625E9C">
        <w:rPr>
          <w:rFonts w:ascii="Arial" w:hAnsi="Arial" w:cs="Arial"/>
          <w:szCs w:val="24"/>
          <w:lang w:val="hr-HR"/>
        </w:rPr>
        <w:t>USD</w:t>
      </w:r>
      <w:r w:rsidR="007B6BE3" w:rsidRPr="00625E9C">
        <w:rPr>
          <w:rFonts w:ascii="Arial" w:hAnsi="Arial" w:cs="Arial"/>
          <w:szCs w:val="24"/>
          <w:lang w:val="hr-HR"/>
        </w:rPr>
        <w:t xml:space="preserve"> </w:t>
      </w:r>
      <w:r>
        <w:rPr>
          <w:rFonts w:ascii="Arial" w:hAnsi="Arial" w:cs="Arial"/>
          <w:szCs w:val="24"/>
          <w:lang w:val="hr-HR"/>
        </w:rPr>
        <w:t>на</w:t>
      </w:r>
      <w:r w:rsidR="007B6BE3" w:rsidRPr="0087376B">
        <w:rPr>
          <w:rFonts w:ascii="Arial" w:hAnsi="Arial" w:cs="Arial"/>
          <w:szCs w:val="24"/>
          <w:lang w:val="hr-HR"/>
        </w:rPr>
        <w:t xml:space="preserve"> 22,95% </w:t>
      </w:r>
      <w:r>
        <w:rPr>
          <w:rFonts w:ascii="Arial" w:hAnsi="Arial" w:cs="Arial"/>
          <w:szCs w:val="24"/>
          <w:lang w:val="hr-HR"/>
        </w:rPr>
        <w:t>укупног</w:t>
      </w:r>
      <w:r w:rsidR="007B6BE3" w:rsidRPr="0087376B">
        <w:rPr>
          <w:rFonts w:ascii="Arial" w:hAnsi="Arial" w:cs="Arial"/>
          <w:szCs w:val="24"/>
          <w:lang w:val="hr-HR"/>
        </w:rPr>
        <w:t xml:space="preserve"> </w:t>
      </w:r>
      <w:r>
        <w:rPr>
          <w:rFonts w:ascii="Arial" w:hAnsi="Arial" w:cs="Arial"/>
          <w:szCs w:val="24"/>
          <w:lang w:val="hr-HR"/>
        </w:rPr>
        <w:t>спољног</w:t>
      </w:r>
      <w:r w:rsidR="007B6BE3" w:rsidRPr="0087376B">
        <w:rPr>
          <w:rFonts w:ascii="Arial" w:hAnsi="Arial" w:cs="Arial"/>
          <w:szCs w:val="24"/>
          <w:lang w:val="hr-HR"/>
        </w:rPr>
        <w:t xml:space="preserve"> </w:t>
      </w:r>
      <w:r>
        <w:rPr>
          <w:rFonts w:ascii="Arial" w:hAnsi="Arial" w:cs="Arial"/>
          <w:szCs w:val="24"/>
          <w:lang w:val="hr-HR"/>
        </w:rPr>
        <w:t>дуга</w:t>
      </w:r>
      <w:r w:rsidR="007B6BE3" w:rsidRPr="0087376B">
        <w:rPr>
          <w:rFonts w:ascii="Arial" w:hAnsi="Arial" w:cs="Arial"/>
          <w:szCs w:val="24"/>
          <w:lang w:val="hr-HR"/>
        </w:rPr>
        <w:t>.</w:t>
      </w:r>
    </w:p>
    <w:p w14:paraId="3AB6D230" w14:textId="77777777" w:rsidR="007B6BE3" w:rsidRPr="0087376B" w:rsidRDefault="007B6BE3" w:rsidP="007B6BE3">
      <w:pPr>
        <w:pStyle w:val="NoSpacing"/>
        <w:spacing w:line="276" w:lineRule="auto"/>
        <w:jc w:val="both"/>
        <w:rPr>
          <w:rFonts w:ascii="Arial" w:hAnsi="Arial" w:cs="Arial"/>
          <w:szCs w:val="24"/>
          <w:lang w:val="hr-HR"/>
        </w:rPr>
      </w:pPr>
    </w:p>
    <w:p w14:paraId="12AA5C3F" w14:textId="77777777" w:rsidR="007B6BE3" w:rsidRPr="0087376B" w:rsidRDefault="007B6BE3" w:rsidP="007B6BE3">
      <w:pPr>
        <w:pStyle w:val="NoSpacing"/>
        <w:spacing w:line="276" w:lineRule="auto"/>
        <w:jc w:val="both"/>
        <w:rPr>
          <w:rFonts w:ascii="Arial" w:hAnsi="Arial" w:cs="Arial"/>
          <w:szCs w:val="24"/>
          <w:lang w:val="hr-HR"/>
        </w:rPr>
      </w:pPr>
    </w:p>
    <w:p w14:paraId="2CA1AA70" w14:textId="77777777" w:rsidR="007B6BE3" w:rsidRPr="0092788C" w:rsidRDefault="005B20F8" w:rsidP="0092788C">
      <w:pPr>
        <w:pStyle w:val="Heading3"/>
        <w:numPr>
          <w:ilvl w:val="2"/>
          <w:numId w:val="1"/>
        </w:numPr>
        <w:spacing w:before="0"/>
        <w:ind w:left="993" w:hanging="567"/>
        <w:rPr>
          <w:rFonts w:ascii="Arial" w:hAnsi="Arial" w:cs="Arial"/>
          <w:b w:val="0"/>
          <w:color w:val="auto"/>
        </w:rPr>
      </w:pPr>
      <w:bookmarkStart w:id="58" w:name="_Toc149810608"/>
      <w:r>
        <w:rPr>
          <w:rFonts w:ascii="Arial" w:hAnsi="Arial" w:cs="Arial"/>
          <w:b w:val="0"/>
          <w:color w:val="auto"/>
        </w:rPr>
        <w:t>Каматна</w:t>
      </w:r>
      <w:r w:rsidR="007B6BE3" w:rsidRPr="0087376B">
        <w:rPr>
          <w:rFonts w:ascii="Arial" w:hAnsi="Arial" w:cs="Arial"/>
          <w:b w:val="0"/>
          <w:color w:val="auto"/>
        </w:rPr>
        <w:t xml:space="preserve"> </w:t>
      </w:r>
      <w:r>
        <w:rPr>
          <w:rFonts w:ascii="Arial" w:hAnsi="Arial" w:cs="Arial"/>
          <w:b w:val="0"/>
          <w:color w:val="auto"/>
        </w:rPr>
        <w:t>структура</w:t>
      </w:r>
      <w:r w:rsidR="007B6BE3" w:rsidRPr="0087376B">
        <w:rPr>
          <w:rFonts w:ascii="Arial" w:hAnsi="Arial" w:cs="Arial"/>
          <w:b w:val="0"/>
          <w:color w:val="auto"/>
        </w:rPr>
        <w:t xml:space="preserve"> </w:t>
      </w:r>
      <w:r>
        <w:rPr>
          <w:rFonts w:ascii="Arial" w:hAnsi="Arial" w:cs="Arial"/>
          <w:b w:val="0"/>
          <w:color w:val="auto"/>
        </w:rPr>
        <w:t>спољног</w:t>
      </w:r>
      <w:r w:rsidR="007B6BE3" w:rsidRPr="0087376B">
        <w:rPr>
          <w:rFonts w:ascii="Arial" w:hAnsi="Arial" w:cs="Arial"/>
          <w:b w:val="0"/>
          <w:color w:val="auto"/>
        </w:rPr>
        <w:t xml:space="preserve"> </w:t>
      </w:r>
      <w:r>
        <w:rPr>
          <w:rFonts w:ascii="Arial" w:hAnsi="Arial" w:cs="Arial"/>
          <w:b w:val="0"/>
          <w:color w:val="auto"/>
        </w:rPr>
        <w:t>дуга</w:t>
      </w:r>
      <w:r w:rsidR="007B6BE3" w:rsidRPr="0087376B">
        <w:rPr>
          <w:rFonts w:ascii="Arial" w:hAnsi="Arial" w:cs="Arial"/>
          <w:b w:val="0"/>
          <w:color w:val="auto"/>
        </w:rPr>
        <w:t xml:space="preserve"> </w:t>
      </w:r>
      <w:r>
        <w:rPr>
          <w:rFonts w:ascii="Arial" w:hAnsi="Arial" w:cs="Arial"/>
          <w:b w:val="0"/>
          <w:color w:val="auto"/>
        </w:rPr>
        <w:t>Федерације</w:t>
      </w:r>
      <w:r w:rsidR="007B6BE3" w:rsidRPr="0087376B">
        <w:rPr>
          <w:rFonts w:ascii="Arial" w:hAnsi="Arial" w:cs="Arial"/>
          <w:b w:val="0"/>
          <w:color w:val="auto"/>
        </w:rPr>
        <w:t xml:space="preserve"> </w:t>
      </w:r>
      <w:r>
        <w:rPr>
          <w:rFonts w:ascii="Arial" w:hAnsi="Arial" w:cs="Arial"/>
          <w:b w:val="0"/>
          <w:color w:val="auto"/>
        </w:rPr>
        <w:t>БиХ</w:t>
      </w:r>
      <w:bookmarkEnd w:id="58"/>
    </w:p>
    <w:p w14:paraId="51146473" w14:textId="77777777" w:rsidR="007B6BE3" w:rsidRPr="0087376B" w:rsidRDefault="007B6BE3" w:rsidP="007B6BE3">
      <w:pPr>
        <w:pStyle w:val="NoSpacing"/>
        <w:spacing w:line="276" w:lineRule="auto"/>
        <w:jc w:val="both"/>
        <w:rPr>
          <w:rFonts w:ascii="Arial" w:hAnsi="Arial" w:cs="Arial"/>
          <w:szCs w:val="24"/>
          <w:lang w:val="hr-HR"/>
        </w:rPr>
      </w:pPr>
    </w:p>
    <w:p w14:paraId="165E80D9" w14:textId="77777777" w:rsidR="007B6BE3" w:rsidRPr="0087376B" w:rsidRDefault="005B20F8" w:rsidP="007B6BE3">
      <w:pPr>
        <w:pStyle w:val="NoSpacing"/>
        <w:spacing w:line="276" w:lineRule="auto"/>
        <w:ind w:firstLine="426"/>
        <w:jc w:val="both"/>
        <w:rPr>
          <w:rFonts w:ascii="Arial" w:hAnsi="Arial" w:cs="Arial"/>
          <w:szCs w:val="24"/>
          <w:lang w:val="hr-HR"/>
        </w:rPr>
      </w:pPr>
      <w:r>
        <w:rPr>
          <w:rFonts w:ascii="Arial" w:hAnsi="Arial" w:cs="Arial"/>
          <w:szCs w:val="24"/>
          <w:lang w:val="hr-HR"/>
        </w:rPr>
        <w:t>Са</w:t>
      </w:r>
      <w:r w:rsidR="007B6BE3" w:rsidRPr="0087376B">
        <w:rPr>
          <w:rFonts w:ascii="Arial" w:hAnsi="Arial" w:cs="Arial"/>
          <w:szCs w:val="24"/>
          <w:lang w:val="hr-HR"/>
        </w:rPr>
        <w:t xml:space="preserve"> </w:t>
      </w:r>
      <w:r>
        <w:rPr>
          <w:rFonts w:ascii="Arial" w:hAnsi="Arial" w:cs="Arial"/>
          <w:szCs w:val="24"/>
          <w:lang w:val="hr-HR"/>
        </w:rPr>
        <w:t>фиксном</w:t>
      </w:r>
      <w:r w:rsidR="007B6BE3" w:rsidRPr="0087376B">
        <w:rPr>
          <w:rFonts w:ascii="Arial" w:hAnsi="Arial" w:cs="Arial"/>
          <w:szCs w:val="24"/>
          <w:lang w:val="hr-HR"/>
        </w:rPr>
        <w:t xml:space="preserve"> </w:t>
      </w:r>
      <w:r>
        <w:rPr>
          <w:rFonts w:ascii="Arial" w:hAnsi="Arial" w:cs="Arial"/>
          <w:szCs w:val="24"/>
          <w:lang w:val="hr-HR"/>
        </w:rPr>
        <w:t>каматном</w:t>
      </w:r>
      <w:r w:rsidR="007B6BE3" w:rsidRPr="0087376B">
        <w:rPr>
          <w:rFonts w:ascii="Arial" w:hAnsi="Arial" w:cs="Arial"/>
          <w:szCs w:val="24"/>
          <w:lang w:val="hr-HR"/>
        </w:rPr>
        <w:t xml:space="preserve"> </w:t>
      </w:r>
      <w:r>
        <w:rPr>
          <w:rFonts w:ascii="Arial" w:hAnsi="Arial" w:cs="Arial"/>
          <w:szCs w:val="24"/>
          <w:lang w:val="hr-HR"/>
        </w:rPr>
        <w:t>стопом</w:t>
      </w:r>
      <w:r w:rsidR="007B6BE3" w:rsidRPr="0087376B">
        <w:rPr>
          <w:rFonts w:ascii="Arial" w:hAnsi="Arial" w:cs="Arial"/>
          <w:szCs w:val="24"/>
          <w:lang w:val="hr-HR"/>
        </w:rPr>
        <w:t xml:space="preserve"> </w:t>
      </w:r>
      <w:r>
        <w:rPr>
          <w:rFonts w:ascii="Arial" w:hAnsi="Arial" w:cs="Arial"/>
          <w:szCs w:val="24"/>
          <w:lang w:val="hr-HR"/>
        </w:rPr>
        <w:t>уговорено</w:t>
      </w:r>
      <w:r w:rsidR="007B6BE3" w:rsidRPr="0087376B">
        <w:rPr>
          <w:rFonts w:ascii="Arial" w:hAnsi="Arial" w:cs="Arial"/>
          <w:szCs w:val="24"/>
          <w:lang w:val="hr-HR"/>
        </w:rPr>
        <w:t xml:space="preserve"> </w:t>
      </w:r>
      <w:r>
        <w:rPr>
          <w:rFonts w:ascii="Arial" w:hAnsi="Arial" w:cs="Arial"/>
          <w:szCs w:val="24"/>
          <w:lang w:val="hr-HR"/>
        </w:rPr>
        <w:t>је</w:t>
      </w:r>
      <w:r w:rsidR="007B6BE3" w:rsidRPr="0087376B">
        <w:rPr>
          <w:rFonts w:ascii="Arial" w:hAnsi="Arial" w:cs="Arial"/>
          <w:szCs w:val="24"/>
          <w:lang w:val="hr-HR"/>
        </w:rPr>
        <w:t xml:space="preserve"> 3.116,79 </w:t>
      </w:r>
      <w:r>
        <w:rPr>
          <w:rFonts w:ascii="Arial" w:hAnsi="Arial" w:cs="Arial"/>
          <w:szCs w:val="24"/>
          <w:lang w:val="hr-HR"/>
        </w:rPr>
        <w:t>мил</w:t>
      </w:r>
      <w:r w:rsidR="007B6BE3" w:rsidRPr="0087376B">
        <w:rPr>
          <w:rFonts w:ascii="Arial" w:hAnsi="Arial" w:cs="Arial"/>
          <w:szCs w:val="24"/>
          <w:lang w:val="hr-HR"/>
        </w:rPr>
        <w:t>.</w:t>
      </w:r>
      <w:r>
        <w:rPr>
          <w:rFonts w:ascii="Arial" w:hAnsi="Arial" w:cs="Arial"/>
          <w:szCs w:val="24"/>
          <w:lang w:val="hr-HR"/>
        </w:rPr>
        <w:t>КМ</w:t>
      </w:r>
      <w:r w:rsidR="007B6BE3" w:rsidRPr="0087376B">
        <w:rPr>
          <w:rFonts w:ascii="Arial" w:hAnsi="Arial" w:cs="Arial"/>
          <w:szCs w:val="24"/>
          <w:lang w:val="hr-HR"/>
        </w:rPr>
        <w:t xml:space="preserve"> </w:t>
      </w:r>
      <w:r>
        <w:rPr>
          <w:rFonts w:ascii="Arial" w:hAnsi="Arial" w:cs="Arial"/>
          <w:szCs w:val="24"/>
          <w:lang w:val="hr-HR"/>
        </w:rPr>
        <w:t>или</w:t>
      </w:r>
      <w:r w:rsidR="007B6BE3" w:rsidRPr="0087376B">
        <w:rPr>
          <w:rFonts w:ascii="Arial" w:hAnsi="Arial" w:cs="Arial"/>
          <w:szCs w:val="24"/>
          <w:lang w:val="hr-HR"/>
        </w:rPr>
        <w:t xml:space="preserve"> 57,61%, </w:t>
      </w:r>
      <w:r>
        <w:rPr>
          <w:rFonts w:ascii="Arial" w:hAnsi="Arial" w:cs="Arial"/>
          <w:szCs w:val="24"/>
          <w:lang w:val="hr-HR"/>
        </w:rPr>
        <w:t>а</w:t>
      </w:r>
      <w:r w:rsidR="007B6BE3" w:rsidRPr="0087376B">
        <w:rPr>
          <w:rFonts w:ascii="Arial" w:hAnsi="Arial" w:cs="Arial"/>
          <w:szCs w:val="24"/>
          <w:lang w:val="hr-HR"/>
        </w:rPr>
        <w:t xml:space="preserve"> </w:t>
      </w:r>
      <w:r>
        <w:rPr>
          <w:rFonts w:ascii="Arial" w:hAnsi="Arial" w:cs="Arial"/>
          <w:szCs w:val="24"/>
          <w:lang w:val="hr-HR"/>
        </w:rPr>
        <w:t>са</w:t>
      </w:r>
      <w:r w:rsidR="007B6BE3" w:rsidRPr="0087376B">
        <w:rPr>
          <w:rFonts w:ascii="Arial" w:hAnsi="Arial" w:cs="Arial"/>
          <w:szCs w:val="24"/>
          <w:lang w:val="hr-HR"/>
        </w:rPr>
        <w:t xml:space="preserve"> </w:t>
      </w:r>
      <w:r>
        <w:rPr>
          <w:rFonts w:ascii="Arial" w:hAnsi="Arial" w:cs="Arial"/>
          <w:szCs w:val="24"/>
          <w:lang w:val="hr-HR"/>
        </w:rPr>
        <w:t>промјењивом</w:t>
      </w:r>
      <w:r w:rsidR="007B6BE3" w:rsidRPr="0087376B">
        <w:rPr>
          <w:rFonts w:ascii="Arial" w:hAnsi="Arial" w:cs="Arial"/>
          <w:szCs w:val="24"/>
          <w:lang w:val="hr-HR"/>
        </w:rPr>
        <w:t xml:space="preserve"> </w:t>
      </w:r>
      <w:r>
        <w:rPr>
          <w:rFonts w:ascii="Arial" w:hAnsi="Arial" w:cs="Arial"/>
          <w:szCs w:val="24"/>
          <w:lang w:val="hr-HR"/>
        </w:rPr>
        <w:t>каматном</w:t>
      </w:r>
      <w:r w:rsidR="007B6BE3" w:rsidRPr="0087376B">
        <w:rPr>
          <w:rFonts w:ascii="Arial" w:hAnsi="Arial" w:cs="Arial"/>
          <w:szCs w:val="24"/>
          <w:lang w:val="hr-HR"/>
        </w:rPr>
        <w:t xml:space="preserve"> </w:t>
      </w:r>
      <w:r>
        <w:rPr>
          <w:rFonts w:ascii="Arial" w:hAnsi="Arial" w:cs="Arial"/>
          <w:szCs w:val="24"/>
          <w:lang w:val="hr-HR"/>
        </w:rPr>
        <w:t>стопом</w:t>
      </w:r>
      <w:r w:rsidR="007B6BE3" w:rsidRPr="0087376B">
        <w:rPr>
          <w:rFonts w:ascii="Arial" w:hAnsi="Arial" w:cs="Arial"/>
          <w:szCs w:val="24"/>
          <w:lang w:val="hr-HR"/>
        </w:rPr>
        <w:t xml:space="preserve"> 2.293,70 </w:t>
      </w:r>
      <w:r>
        <w:rPr>
          <w:rFonts w:ascii="Arial" w:hAnsi="Arial" w:cs="Arial"/>
          <w:szCs w:val="24"/>
          <w:lang w:val="hr-HR"/>
        </w:rPr>
        <w:t>мил</w:t>
      </w:r>
      <w:r w:rsidR="007B6BE3" w:rsidRPr="0087376B">
        <w:rPr>
          <w:rFonts w:ascii="Arial" w:hAnsi="Arial" w:cs="Arial"/>
          <w:szCs w:val="24"/>
          <w:lang w:val="hr-HR"/>
        </w:rPr>
        <w:t>.</w:t>
      </w:r>
      <w:r>
        <w:rPr>
          <w:rFonts w:ascii="Arial" w:hAnsi="Arial" w:cs="Arial"/>
          <w:szCs w:val="24"/>
          <w:lang w:val="hr-HR"/>
        </w:rPr>
        <w:t>КМ</w:t>
      </w:r>
      <w:r w:rsidR="007B6BE3" w:rsidRPr="0087376B">
        <w:rPr>
          <w:rFonts w:ascii="Arial" w:hAnsi="Arial" w:cs="Arial"/>
          <w:szCs w:val="24"/>
          <w:lang w:val="hr-HR"/>
        </w:rPr>
        <w:t xml:space="preserve"> </w:t>
      </w:r>
      <w:r>
        <w:rPr>
          <w:rFonts w:ascii="Arial" w:hAnsi="Arial" w:cs="Arial"/>
          <w:szCs w:val="24"/>
          <w:lang w:val="hr-HR"/>
        </w:rPr>
        <w:t>или</w:t>
      </w:r>
      <w:r w:rsidR="007B6BE3" w:rsidRPr="0087376B">
        <w:rPr>
          <w:rFonts w:ascii="Arial" w:hAnsi="Arial" w:cs="Arial"/>
          <w:szCs w:val="24"/>
          <w:lang w:val="hr-HR"/>
        </w:rPr>
        <w:t xml:space="preserve"> 42,39% </w:t>
      </w:r>
      <w:r>
        <w:rPr>
          <w:rFonts w:ascii="Arial" w:hAnsi="Arial" w:cs="Arial"/>
          <w:szCs w:val="24"/>
          <w:lang w:val="hr-HR"/>
        </w:rPr>
        <w:t>укупног</w:t>
      </w:r>
      <w:r w:rsidR="007B6BE3" w:rsidRPr="0087376B">
        <w:rPr>
          <w:rFonts w:ascii="Arial" w:hAnsi="Arial" w:cs="Arial"/>
          <w:szCs w:val="24"/>
          <w:lang w:val="hr-HR"/>
        </w:rPr>
        <w:t xml:space="preserve"> </w:t>
      </w:r>
      <w:r>
        <w:rPr>
          <w:rFonts w:ascii="Arial" w:hAnsi="Arial" w:cs="Arial"/>
          <w:szCs w:val="24"/>
          <w:lang w:val="hr-HR"/>
        </w:rPr>
        <w:t>спољног</w:t>
      </w:r>
      <w:r w:rsidR="007B6BE3" w:rsidRPr="0087376B">
        <w:rPr>
          <w:rFonts w:ascii="Arial" w:hAnsi="Arial" w:cs="Arial"/>
          <w:szCs w:val="24"/>
          <w:lang w:val="hr-HR"/>
        </w:rPr>
        <w:t xml:space="preserve"> </w:t>
      </w:r>
      <w:r>
        <w:rPr>
          <w:rFonts w:ascii="Arial" w:hAnsi="Arial" w:cs="Arial"/>
          <w:szCs w:val="24"/>
          <w:lang w:val="hr-HR"/>
        </w:rPr>
        <w:t>дуга</w:t>
      </w:r>
      <w:r w:rsidR="007B6BE3" w:rsidRPr="0087376B">
        <w:rPr>
          <w:rFonts w:ascii="Arial" w:hAnsi="Arial" w:cs="Arial"/>
          <w:szCs w:val="24"/>
          <w:lang w:val="hr-HR"/>
        </w:rPr>
        <w:t>.</w:t>
      </w:r>
    </w:p>
    <w:p w14:paraId="4281BBFB" w14:textId="77777777" w:rsidR="007B6BE3" w:rsidRPr="0087376B" w:rsidRDefault="007B6BE3" w:rsidP="007B6BE3">
      <w:pPr>
        <w:pStyle w:val="NoSpacing"/>
        <w:spacing w:line="276" w:lineRule="auto"/>
        <w:ind w:firstLine="426"/>
        <w:jc w:val="both"/>
        <w:rPr>
          <w:rFonts w:ascii="Arial" w:hAnsi="Arial" w:cs="Arial"/>
          <w:szCs w:val="24"/>
          <w:lang w:val="hr-HR"/>
        </w:rPr>
      </w:pPr>
    </w:p>
    <w:p w14:paraId="06155A0A" w14:textId="77777777" w:rsidR="007B6BE3" w:rsidRPr="0087376B" w:rsidRDefault="005B20F8" w:rsidP="007B6BE3">
      <w:pPr>
        <w:pStyle w:val="NoSpacing"/>
        <w:spacing w:line="276" w:lineRule="auto"/>
        <w:jc w:val="both"/>
        <w:rPr>
          <w:rFonts w:ascii="Arial" w:hAnsi="Arial" w:cs="Arial"/>
          <w:szCs w:val="24"/>
          <w:lang w:val="hr-HR"/>
        </w:rPr>
      </w:pPr>
      <w:r>
        <w:rPr>
          <w:rFonts w:ascii="Arial" w:hAnsi="Arial" w:cs="Arial"/>
          <w:szCs w:val="24"/>
          <w:lang w:val="hr-HR"/>
        </w:rPr>
        <w:t>Слика</w:t>
      </w:r>
      <w:r w:rsidR="007B6BE3" w:rsidRPr="0087376B">
        <w:rPr>
          <w:rFonts w:ascii="Arial" w:hAnsi="Arial" w:cs="Arial"/>
          <w:szCs w:val="24"/>
          <w:lang w:val="hr-HR"/>
        </w:rPr>
        <w:t xml:space="preserve"> 3. </w:t>
      </w:r>
      <w:r>
        <w:rPr>
          <w:rFonts w:ascii="Arial" w:hAnsi="Arial" w:cs="Arial"/>
          <w:szCs w:val="24"/>
          <w:lang w:val="hr-HR"/>
        </w:rPr>
        <w:t>Структура</w:t>
      </w:r>
      <w:r w:rsidR="007B6BE3" w:rsidRPr="0087376B">
        <w:rPr>
          <w:rFonts w:ascii="Arial" w:hAnsi="Arial" w:cs="Arial"/>
          <w:szCs w:val="24"/>
          <w:lang w:val="hr-HR"/>
        </w:rPr>
        <w:t xml:space="preserve"> </w:t>
      </w:r>
      <w:r>
        <w:rPr>
          <w:rFonts w:ascii="Arial" w:hAnsi="Arial" w:cs="Arial"/>
          <w:szCs w:val="24"/>
          <w:lang w:val="hr-HR"/>
        </w:rPr>
        <w:t>спољног</w:t>
      </w:r>
      <w:r w:rsidR="007B6BE3" w:rsidRPr="0087376B">
        <w:rPr>
          <w:rFonts w:ascii="Arial" w:hAnsi="Arial" w:cs="Arial"/>
          <w:szCs w:val="24"/>
          <w:lang w:val="hr-HR"/>
        </w:rPr>
        <w:t xml:space="preserve"> </w:t>
      </w:r>
      <w:r>
        <w:rPr>
          <w:rFonts w:ascii="Arial" w:hAnsi="Arial" w:cs="Arial"/>
          <w:szCs w:val="24"/>
          <w:lang w:val="hr-HR"/>
        </w:rPr>
        <w:t>дуга</w:t>
      </w:r>
      <w:r w:rsidR="007B6BE3" w:rsidRPr="0087376B">
        <w:rPr>
          <w:rFonts w:ascii="Arial" w:hAnsi="Arial" w:cs="Arial"/>
          <w:szCs w:val="24"/>
          <w:lang w:val="hr-HR"/>
        </w:rPr>
        <w:t xml:space="preserve"> </w:t>
      </w:r>
      <w:r>
        <w:rPr>
          <w:rFonts w:ascii="Arial" w:hAnsi="Arial" w:cs="Arial"/>
          <w:szCs w:val="24"/>
          <w:lang w:val="hr-HR"/>
        </w:rPr>
        <w:t>Федерације</w:t>
      </w:r>
      <w:r w:rsidR="007B6BE3" w:rsidRPr="0087376B">
        <w:rPr>
          <w:rFonts w:ascii="Arial" w:hAnsi="Arial" w:cs="Arial"/>
          <w:szCs w:val="24"/>
          <w:lang w:val="hr-HR"/>
        </w:rPr>
        <w:t xml:space="preserve"> </w:t>
      </w:r>
      <w:r>
        <w:rPr>
          <w:rFonts w:ascii="Arial" w:hAnsi="Arial" w:cs="Arial"/>
          <w:szCs w:val="24"/>
          <w:lang w:val="hr-HR"/>
        </w:rPr>
        <w:t>БиХ</w:t>
      </w:r>
      <w:r w:rsidR="007B6BE3" w:rsidRPr="0087376B">
        <w:rPr>
          <w:rFonts w:ascii="Arial" w:hAnsi="Arial" w:cs="Arial"/>
          <w:szCs w:val="24"/>
          <w:lang w:val="hr-HR"/>
        </w:rPr>
        <w:t xml:space="preserve"> </w:t>
      </w:r>
      <w:r>
        <w:rPr>
          <w:rFonts w:ascii="Arial" w:hAnsi="Arial" w:cs="Arial"/>
          <w:szCs w:val="24"/>
          <w:lang w:val="hr-HR"/>
        </w:rPr>
        <w:t>према</w:t>
      </w:r>
      <w:r w:rsidR="007B6BE3" w:rsidRPr="0087376B">
        <w:rPr>
          <w:rFonts w:ascii="Arial" w:hAnsi="Arial" w:cs="Arial"/>
          <w:szCs w:val="24"/>
          <w:lang w:val="hr-HR"/>
        </w:rPr>
        <w:t xml:space="preserve"> </w:t>
      </w:r>
      <w:r>
        <w:rPr>
          <w:rFonts w:ascii="Arial" w:hAnsi="Arial" w:cs="Arial"/>
          <w:szCs w:val="24"/>
          <w:lang w:val="hr-HR"/>
        </w:rPr>
        <w:t>врсти</w:t>
      </w:r>
      <w:r w:rsidR="007B6BE3" w:rsidRPr="0087376B">
        <w:rPr>
          <w:rFonts w:ascii="Arial" w:hAnsi="Arial" w:cs="Arial"/>
          <w:szCs w:val="24"/>
          <w:lang w:val="hr-HR"/>
        </w:rPr>
        <w:t xml:space="preserve"> </w:t>
      </w:r>
      <w:r>
        <w:rPr>
          <w:rFonts w:ascii="Arial" w:hAnsi="Arial" w:cs="Arial"/>
          <w:szCs w:val="24"/>
          <w:lang w:val="hr-HR"/>
        </w:rPr>
        <w:t>каматне</w:t>
      </w:r>
      <w:r w:rsidR="007B6BE3" w:rsidRPr="0087376B">
        <w:rPr>
          <w:rFonts w:ascii="Arial" w:hAnsi="Arial" w:cs="Arial"/>
          <w:szCs w:val="24"/>
          <w:lang w:val="hr-HR"/>
        </w:rPr>
        <w:t xml:space="preserve"> </w:t>
      </w:r>
      <w:r>
        <w:rPr>
          <w:rFonts w:ascii="Arial" w:hAnsi="Arial" w:cs="Arial"/>
          <w:szCs w:val="24"/>
          <w:lang w:val="hr-HR"/>
        </w:rPr>
        <w:t>стопе</w:t>
      </w:r>
    </w:p>
    <w:p w14:paraId="7C2BDA8A" w14:textId="77777777" w:rsidR="007B6BE3" w:rsidRPr="0087376B" w:rsidRDefault="007B6BE3" w:rsidP="007B6BE3">
      <w:pPr>
        <w:pStyle w:val="NoSpacing"/>
        <w:spacing w:line="276" w:lineRule="auto"/>
        <w:jc w:val="both"/>
        <w:rPr>
          <w:rFonts w:ascii="Arial" w:hAnsi="Arial" w:cs="Arial"/>
          <w:szCs w:val="24"/>
          <w:lang w:val="hr-HR"/>
        </w:rPr>
      </w:pPr>
      <w:r w:rsidRPr="0087376B">
        <w:rPr>
          <w:noProof/>
          <w:lang w:val="hr-HR" w:eastAsia="hr-HR"/>
        </w:rPr>
        <w:drawing>
          <wp:inline distT="0" distB="0" distL="0" distR="0" wp14:anchorId="231D2FB5" wp14:editId="31BBE794">
            <wp:extent cx="5867400" cy="2033905"/>
            <wp:effectExtent l="0" t="0" r="0" b="44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6BE714" w14:textId="77777777" w:rsidR="007B6BE3" w:rsidRPr="0087376B" w:rsidRDefault="007B6BE3" w:rsidP="007B6BE3">
      <w:pPr>
        <w:pStyle w:val="NoSpacing"/>
        <w:spacing w:line="276" w:lineRule="auto"/>
        <w:jc w:val="both"/>
        <w:rPr>
          <w:rFonts w:ascii="Arial" w:hAnsi="Arial" w:cs="Arial"/>
          <w:szCs w:val="24"/>
          <w:lang w:val="hr-HR"/>
        </w:rPr>
      </w:pPr>
    </w:p>
    <w:p w14:paraId="7B8CC959" w14:textId="77777777" w:rsidR="007B6BE3" w:rsidRPr="0087376B" w:rsidRDefault="007B6BE3" w:rsidP="007B6BE3">
      <w:pPr>
        <w:pStyle w:val="NoSpacing"/>
        <w:spacing w:line="276" w:lineRule="auto"/>
        <w:jc w:val="center"/>
        <w:rPr>
          <w:rFonts w:ascii="Arial" w:hAnsi="Arial" w:cs="Arial"/>
          <w:sz w:val="24"/>
          <w:szCs w:val="24"/>
          <w:lang w:val="hr-HR"/>
        </w:rPr>
      </w:pPr>
    </w:p>
    <w:p w14:paraId="6315486D" w14:textId="77777777" w:rsidR="00625E9C" w:rsidRDefault="00625E9C">
      <w:pPr>
        <w:spacing w:after="160" w:line="259" w:lineRule="auto"/>
        <w:rPr>
          <w:rFonts w:ascii="Arial" w:eastAsiaTheme="majorEastAsia" w:hAnsi="Arial" w:cs="Arial"/>
          <w:bCs/>
          <w:sz w:val="24"/>
          <w:szCs w:val="26"/>
        </w:rPr>
      </w:pPr>
      <w:bookmarkStart w:id="59" w:name="_Toc100754199"/>
      <w:bookmarkStart w:id="60" w:name="_Toc100754643"/>
      <w:bookmarkStart w:id="61" w:name="_Toc100755035"/>
      <w:bookmarkStart w:id="62" w:name="_Toc100818766"/>
      <w:bookmarkStart w:id="63" w:name="_Toc100820472"/>
      <w:bookmarkStart w:id="64" w:name="_Toc100822760"/>
      <w:bookmarkStart w:id="65" w:name="_Toc100823299"/>
      <w:bookmarkStart w:id="66" w:name="_Toc100823742"/>
      <w:bookmarkStart w:id="67" w:name="_Toc100754200"/>
      <w:bookmarkStart w:id="68" w:name="_Toc100754644"/>
      <w:bookmarkStart w:id="69" w:name="_Toc100755036"/>
      <w:bookmarkStart w:id="70" w:name="_Toc100818767"/>
      <w:bookmarkStart w:id="71" w:name="_Toc100820473"/>
      <w:bookmarkStart w:id="72" w:name="_Toc100822761"/>
      <w:bookmarkStart w:id="73" w:name="_Toc100823300"/>
      <w:bookmarkStart w:id="74" w:name="_Toc100823743"/>
      <w:bookmarkStart w:id="75" w:name="_Toc100754201"/>
      <w:bookmarkStart w:id="76" w:name="_Toc100754645"/>
      <w:bookmarkStart w:id="77" w:name="_Toc100755037"/>
      <w:bookmarkStart w:id="78" w:name="_Toc100818768"/>
      <w:bookmarkStart w:id="79" w:name="_Toc100820474"/>
      <w:bookmarkStart w:id="80" w:name="_Toc100822762"/>
      <w:bookmarkStart w:id="81" w:name="_Toc100823301"/>
      <w:bookmarkStart w:id="82" w:name="_Toc100823744"/>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rFonts w:ascii="Arial" w:hAnsi="Arial" w:cs="Arial"/>
          <w:b/>
          <w:sz w:val="24"/>
        </w:rPr>
        <w:br w:type="page"/>
      </w:r>
    </w:p>
    <w:p w14:paraId="4288696B" w14:textId="77777777" w:rsidR="007B6BE3" w:rsidRPr="0092788C" w:rsidRDefault="005B20F8" w:rsidP="0092788C">
      <w:pPr>
        <w:pStyle w:val="Heading2"/>
        <w:numPr>
          <w:ilvl w:val="1"/>
          <w:numId w:val="1"/>
        </w:numPr>
        <w:spacing w:before="0"/>
        <w:ind w:left="993" w:hanging="709"/>
        <w:rPr>
          <w:rFonts w:ascii="Arial" w:hAnsi="Arial" w:cs="Arial"/>
          <w:b w:val="0"/>
          <w:color w:val="auto"/>
          <w:sz w:val="24"/>
          <w:szCs w:val="24"/>
        </w:rPr>
      </w:pPr>
      <w:bookmarkStart w:id="83" w:name="_Toc149810609"/>
      <w:r w:rsidRPr="0092788C">
        <w:rPr>
          <w:rFonts w:ascii="Arial" w:hAnsi="Arial" w:cs="Arial"/>
          <w:b w:val="0"/>
          <w:color w:val="auto"/>
          <w:sz w:val="24"/>
          <w:szCs w:val="24"/>
        </w:rPr>
        <w:lastRenderedPageBreak/>
        <w:t>Структура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унутрашњег</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дуга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Федерације</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БиХ</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на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дан</w:t>
      </w:r>
      <w:r w:rsidR="007B6BE3" w:rsidRPr="0092788C">
        <w:rPr>
          <w:rFonts w:ascii="Arial" w:hAnsi="Arial" w:cs="Arial"/>
          <w:b w:val="0"/>
          <w:color w:val="auto"/>
          <w:sz w:val="24"/>
          <w:szCs w:val="24"/>
        </w:rPr>
        <w:t xml:space="preserve"> 31.12.2022. </w:t>
      </w:r>
      <w:r w:rsidRPr="0092788C">
        <w:rPr>
          <w:rFonts w:ascii="Arial" w:hAnsi="Arial" w:cs="Arial"/>
          <w:b w:val="0"/>
          <w:color w:val="auto"/>
          <w:sz w:val="24"/>
          <w:szCs w:val="24"/>
        </w:rPr>
        <w:t>године</w:t>
      </w:r>
      <w:bookmarkEnd w:id="83"/>
    </w:p>
    <w:p w14:paraId="06411653" w14:textId="77777777" w:rsidR="007B6BE3" w:rsidRPr="0087376B" w:rsidRDefault="007B6BE3" w:rsidP="007B6BE3">
      <w:pPr>
        <w:pStyle w:val="NoSpacing"/>
        <w:spacing w:line="276" w:lineRule="auto"/>
        <w:ind w:firstLine="284"/>
        <w:jc w:val="both"/>
        <w:rPr>
          <w:rFonts w:ascii="Arial" w:hAnsi="Arial" w:cs="Arial"/>
          <w:szCs w:val="24"/>
          <w:lang w:val="hr-HR"/>
        </w:rPr>
      </w:pPr>
    </w:p>
    <w:p w14:paraId="0A022993" w14:textId="77777777" w:rsidR="007B6BE3" w:rsidRPr="0087376B" w:rsidRDefault="005B20F8" w:rsidP="007B6BE3">
      <w:pPr>
        <w:pStyle w:val="NoSpacing"/>
        <w:spacing w:line="276" w:lineRule="auto"/>
        <w:ind w:firstLine="284"/>
        <w:jc w:val="both"/>
        <w:rPr>
          <w:rFonts w:ascii="Arial" w:hAnsi="Arial" w:cs="Arial"/>
          <w:szCs w:val="24"/>
          <w:lang w:val="hr-HR"/>
        </w:rPr>
      </w:pPr>
      <w:r>
        <w:rPr>
          <w:rFonts w:ascii="Arial" w:hAnsi="Arial" w:cs="Arial"/>
          <w:szCs w:val="24"/>
          <w:lang w:val="hr-HR"/>
        </w:rPr>
        <w:t>Унутрашњи</w:t>
      </w:r>
      <w:r w:rsidR="007B6BE3" w:rsidRPr="0087376B">
        <w:rPr>
          <w:rFonts w:ascii="Arial" w:hAnsi="Arial" w:cs="Arial"/>
          <w:szCs w:val="24"/>
          <w:lang w:val="hr-HR"/>
        </w:rPr>
        <w:t xml:space="preserve"> </w:t>
      </w:r>
      <w:r>
        <w:rPr>
          <w:rFonts w:ascii="Arial" w:hAnsi="Arial" w:cs="Arial"/>
          <w:szCs w:val="24"/>
          <w:lang w:val="hr-HR"/>
        </w:rPr>
        <w:t>дуг</w:t>
      </w:r>
      <w:r w:rsidR="007B6BE3" w:rsidRPr="0087376B">
        <w:rPr>
          <w:rFonts w:ascii="Arial" w:hAnsi="Arial" w:cs="Arial"/>
          <w:szCs w:val="24"/>
          <w:lang w:val="hr-HR"/>
        </w:rPr>
        <w:t xml:space="preserve"> </w:t>
      </w:r>
      <w:r>
        <w:rPr>
          <w:rFonts w:ascii="Arial" w:hAnsi="Arial" w:cs="Arial"/>
          <w:lang w:val="hr-HR"/>
        </w:rPr>
        <w:t>који</w:t>
      </w:r>
      <w:r w:rsidR="007B6BE3" w:rsidRPr="0087376B">
        <w:rPr>
          <w:rFonts w:ascii="Arial" w:hAnsi="Arial" w:cs="Arial"/>
          <w:lang w:val="hr-HR"/>
        </w:rPr>
        <w:t xml:space="preserve"> </w:t>
      </w:r>
      <w:r>
        <w:rPr>
          <w:rFonts w:ascii="Arial" w:hAnsi="Arial" w:cs="Arial"/>
          <w:lang w:val="hr-HR"/>
        </w:rPr>
        <w:t>је</w:t>
      </w:r>
      <w:r w:rsidR="007B6BE3" w:rsidRPr="0087376B">
        <w:rPr>
          <w:rFonts w:ascii="Arial" w:hAnsi="Arial" w:cs="Arial"/>
          <w:lang w:val="hr-HR"/>
        </w:rPr>
        <w:t xml:space="preserve"> </w:t>
      </w:r>
      <w:r>
        <w:rPr>
          <w:rFonts w:ascii="Arial" w:hAnsi="Arial" w:cs="Arial"/>
          <w:lang w:val="hr-HR"/>
        </w:rPr>
        <w:t>укључен</w:t>
      </w:r>
      <w:r w:rsidR="007B6BE3" w:rsidRPr="0087376B">
        <w:rPr>
          <w:rFonts w:ascii="Arial" w:hAnsi="Arial" w:cs="Arial"/>
          <w:lang w:val="hr-HR"/>
        </w:rPr>
        <w:t xml:space="preserve"> </w:t>
      </w:r>
      <w:r>
        <w:rPr>
          <w:rFonts w:ascii="Arial" w:hAnsi="Arial" w:cs="Arial"/>
          <w:lang w:val="hr-HR"/>
        </w:rPr>
        <w:t>у</w:t>
      </w:r>
      <w:r w:rsidR="007B6BE3" w:rsidRPr="0087376B">
        <w:rPr>
          <w:rFonts w:ascii="Arial" w:hAnsi="Arial" w:cs="Arial"/>
          <w:lang w:val="hr-HR"/>
        </w:rPr>
        <w:t xml:space="preserve"> </w:t>
      </w:r>
      <w:r>
        <w:rPr>
          <w:rFonts w:ascii="Arial" w:hAnsi="Arial" w:cs="Arial"/>
          <w:lang w:val="hr-HR"/>
        </w:rPr>
        <w:t>Стратегију</w:t>
      </w:r>
      <w:r w:rsidR="007B6BE3" w:rsidRPr="0087376B">
        <w:rPr>
          <w:rFonts w:ascii="Arial" w:hAnsi="Arial" w:cs="Arial"/>
          <w:lang w:val="hr-HR"/>
        </w:rPr>
        <w:t xml:space="preserve"> </w:t>
      </w:r>
      <w:r>
        <w:rPr>
          <w:rFonts w:ascii="Arial" w:hAnsi="Arial" w:cs="Arial"/>
          <w:lang w:val="hr-HR"/>
        </w:rPr>
        <w:t>састоји</w:t>
      </w:r>
      <w:r w:rsidR="007B6BE3" w:rsidRPr="0087376B">
        <w:rPr>
          <w:rFonts w:ascii="Arial" w:hAnsi="Arial" w:cs="Arial"/>
          <w:lang w:val="hr-HR"/>
        </w:rPr>
        <w:t xml:space="preserve"> </w:t>
      </w:r>
      <w:r>
        <w:rPr>
          <w:rFonts w:ascii="Arial" w:hAnsi="Arial" w:cs="Arial"/>
          <w:lang w:val="hr-HR"/>
        </w:rPr>
        <w:t>се</w:t>
      </w:r>
      <w:r w:rsidR="007B6BE3" w:rsidRPr="0087376B">
        <w:rPr>
          <w:rFonts w:ascii="Arial" w:hAnsi="Arial" w:cs="Arial"/>
          <w:lang w:val="hr-HR"/>
        </w:rPr>
        <w:t xml:space="preserve"> </w:t>
      </w:r>
      <w:r>
        <w:rPr>
          <w:rFonts w:ascii="Arial" w:hAnsi="Arial" w:cs="Arial"/>
          <w:lang w:val="hr-HR"/>
        </w:rPr>
        <w:t>од</w:t>
      </w:r>
      <w:r w:rsidR="007B6BE3" w:rsidRPr="0087376B">
        <w:rPr>
          <w:rFonts w:ascii="Arial" w:hAnsi="Arial" w:cs="Arial"/>
          <w:szCs w:val="24"/>
          <w:lang w:val="hr-HR"/>
        </w:rPr>
        <w:t xml:space="preserve"> </w:t>
      </w:r>
      <w:r>
        <w:rPr>
          <w:rFonts w:ascii="Arial" w:hAnsi="Arial" w:cs="Arial"/>
          <w:szCs w:val="24"/>
          <w:lang w:val="hr-HR"/>
        </w:rPr>
        <w:t>дуга</w:t>
      </w:r>
      <w:r w:rsidR="007B6BE3" w:rsidRPr="0087376B">
        <w:rPr>
          <w:rFonts w:ascii="Arial" w:hAnsi="Arial" w:cs="Arial"/>
          <w:szCs w:val="24"/>
          <w:lang w:val="hr-HR"/>
        </w:rPr>
        <w:t xml:space="preserve"> </w:t>
      </w:r>
      <w:r>
        <w:rPr>
          <w:rFonts w:ascii="Arial" w:hAnsi="Arial" w:cs="Arial"/>
          <w:szCs w:val="24"/>
          <w:lang w:val="hr-HR"/>
        </w:rPr>
        <w:t>који</w:t>
      </w:r>
      <w:r w:rsidR="007B6BE3" w:rsidRPr="0087376B">
        <w:rPr>
          <w:rFonts w:ascii="Arial" w:hAnsi="Arial" w:cs="Arial"/>
          <w:szCs w:val="24"/>
          <w:lang w:val="hr-HR"/>
        </w:rPr>
        <w:t xml:space="preserve"> </w:t>
      </w:r>
      <w:r>
        <w:rPr>
          <w:rFonts w:ascii="Arial" w:hAnsi="Arial" w:cs="Arial"/>
          <w:szCs w:val="24"/>
          <w:lang w:val="hr-HR"/>
        </w:rPr>
        <w:t>је</w:t>
      </w:r>
      <w:r w:rsidR="007B6BE3" w:rsidRPr="0087376B">
        <w:rPr>
          <w:rFonts w:ascii="Arial" w:hAnsi="Arial" w:cs="Arial"/>
          <w:szCs w:val="24"/>
          <w:lang w:val="hr-HR"/>
        </w:rPr>
        <w:t xml:space="preserve"> </w:t>
      </w:r>
      <w:r>
        <w:rPr>
          <w:rFonts w:ascii="Arial" w:hAnsi="Arial" w:cs="Arial"/>
          <w:szCs w:val="24"/>
          <w:lang w:val="hr-HR"/>
        </w:rPr>
        <w:t>настао</w:t>
      </w:r>
      <w:r w:rsidR="007B6BE3" w:rsidRPr="0087376B">
        <w:rPr>
          <w:rFonts w:ascii="Arial" w:hAnsi="Arial" w:cs="Arial"/>
          <w:szCs w:val="24"/>
          <w:lang w:val="hr-HR"/>
        </w:rPr>
        <w:t xml:space="preserve"> </w:t>
      </w:r>
      <w:r>
        <w:rPr>
          <w:rFonts w:ascii="Arial" w:hAnsi="Arial" w:cs="Arial"/>
          <w:szCs w:val="24"/>
          <w:lang w:val="hr-HR"/>
        </w:rPr>
        <w:t>у</w:t>
      </w:r>
      <w:r w:rsidR="007B6BE3" w:rsidRPr="0087376B">
        <w:rPr>
          <w:rFonts w:ascii="Arial" w:hAnsi="Arial" w:cs="Arial"/>
          <w:szCs w:val="24"/>
          <w:lang w:val="hr-HR"/>
        </w:rPr>
        <w:t xml:space="preserve"> </w:t>
      </w:r>
      <w:r>
        <w:rPr>
          <w:rFonts w:ascii="Arial" w:hAnsi="Arial" w:cs="Arial"/>
          <w:szCs w:val="24"/>
          <w:lang w:val="hr-HR"/>
        </w:rPr>
        <w:t>складу</w:t>
      </w:r>
      <w:r w:rsidR="007B6BE3" w:rsidRPr="0087376B">
        <w:rPr>
          <w:rFonts w:ascii="Arial" w:hAnsi="Arial" w:cs="Arial"/>
          <w:szCs w:val="24"/>
          <w:lang w:val="hr-HR"/>
        </w:rPr>
        <w:t xml:space="preserve"> </w:t>
      </w:r>
      <w:r>
        <w:rPr>
          <w:rFonts w:ascii="Arial" w:hAnsi="Arial" w:cs="Arial"/>
          <w:szCs w:val="24"/>
          <w:lang w:val="hr-HR"/>
        </w:rPr>
        <w:t>са</w:t>
      </w:r>
      <w:r w:rsidR="007B6BE3" w:rsidRPr="0087376B">
        <w:rPr>
          <w:rFonts w:ascii="Arial" w:hAnsi="Arial" w:cs="Arial"/>
          <w:szCs w:val="24"/>
          <w:lang w:val="hr-HR"/>
        </w:rPr>
        <w:t xml:space="preserve"> </w:t>
      </w:r>
      <w:r>
        <w:rPr>
          <w:rFonts w:ascii="Arial" w:hAnsi="Arial" w:cs="Arial"/>
          <w:szCs w:val="24"/>
          <w:lang w:val="hr-HR"/>
        </w:rPr>
        <w:t>законом</w:t>
      </w:r>
      <w:r w:rsidR="007B6BE3" w:rsidRPr="0087376B">
        <w:rPr>
          <w:rStyle w:val="FootnoteReference"/>
          <w:rFonts w:ascii="Arial" w:hAnsi="Arial" w:cs="Arial"/>
          <w:szCs w:val="24"/>
        </w:rPr>
        <w:footnoteReference w:id="4"/>
      </w:r>
      <w:r w:rsidR="007B6BE3" w:rsidRPr="0087376B">
        <w:rPr>
          <w:rFonts w:ascii="Arial" w:hAnsi="Arial" w:cs="Arial"/>
          <w:szCs w:val="24"/>
          <w:lang w:val="hr-HR"/>
        </w:rPr>
        <w:t xml:space="preserve"> </w:t>
      </w:r>
      <w:r>
        <w:rPr>
          <w:rFonts w:ascii="Arial" w:hAnsi="Arial" w:cs="Arial"/>
          <w:szCs w:val="24"/>
          <w:lang w:val="hr-HR"/>
        </w:rPr>
        <w:t>у</w:t>
      </w:r>
      <w:r w:rsidR="007B6BE3" w:rsidRPr="0087376B">
        <w:rPr>
          <w:rFonts w:ascii="Arial" w:hAnsi="Arial" w:cs="Arial"/>
          <w:szCs w:val="24"/>
          <w:lang w:val="hr-HR"/>
        </w:rPr>
        <w:t xml:space="preserve"> </w:t>
      </w:r>
      <w:r>
        <w:rPr>
          <w:rFonts w:ascii="Arial" w:hAnsi="Arial" w:cs="Arial"/>
          <w:szCs w:val="24"/>
          <w:lang w:val="hr-HR"/>
        </w:rPr>
        <w:t>облику</w:t>
      </w:r>
      <w:r w:rsidR="007B6BE3" w:rsidRPr="0087376B">
        <w:rPr>
          <w:rFonts w:ascii="Arial" w:hAnsi="Arial" w:cs="Arial"/>
          <w:szCs w:val="24"/>
          <w:lang w:val="hr-HR"/>
        </w:rPr>
        <w:t xml:space="preserve"> </w:t>
      </w:r>
      <w:r>
        <w:rPr>
          <w:rFonts w:ascii="Arial" w:hAnsi="Arial" w:cs="Arial"/>
          <w:lang w:val="hr-HR"/>
        </w:rPr>
        <w:t>хартија</w:t>
      </w:r>
      <w:r w:rsidR="009D7230">
        <w:rPr>
          <w:rFonts w:ascii="Arial" w:hAnsi="Arial" w:cs="Arial"/>
          <w:lang w:val="hr-HR"/>
        </w:rPr>
        <w:t xml:space="preserve"> </w:t>
      </w:r>
      <w:r>
        <w:rPr>
          <w:rFonts w:ascii="Arial" w:hAnsi="Arial" w:cs="Arial"/>
          <w:lang w:val="hr-HR"/>
        </w:rPr>
        <w:t>од</w:t>
      </w:r>
      <w:r w:rsidR="009D7230">
        <w:rPr>
          <w:rFonts w:ascii="Arial" w:hAnsi="Arial" w:cs="Arial"/>
          <w:lang w:val="hr-HR"/>
        </w:rPr>
        <w:t xml:space="preserve"> </w:t>
      </w:r>
      <w:r>
        <w:rPr>
          <w:rFonts w:ascii="Arial" w:hAnsi="Arial" w:cs="Arial"/>
          <w:lang w:val="hr-HR"/>
        </w:rPr>
        <w:t>вриједности</w:t>
      </w:r>
      <w:r w:rsidR="009D7230" w:rsidRPr="0087376B">
        <w:rPr>
          <w:rFonts w:ascii="Arial" w:hAnsi="Arial" w:cs="Arial"/>
          <w:szCs w:val="24"/>
          <w:lang w:val="hr-HR"/>
        </w:rPr>
        <w:t xml:space="preserve"> </w:t>
      </w:r>
      <w:r>
        <w:rPr>
          <w:rFonts w:ascii="Arial" w:hAnsi="Arial" w:cs="Arial"/>
          <w:szCs w:val="24"/>
          <w:lang w:val="hr-HR"/>
        </w:rPr>
        <w:t>и</w:t>
      </w:r>
      <w:r w:rsidR="007B6BE3" w:rsidRPr="0087376B">
        <w:rPr>
          <w:rFonts w:ascii="Arial" w:hAnsi="Arial" w:cs="Arial"/>
          <w:szCs w:val="24"/>
          <w:lang w:val="hr-HR"/>
        </w:rPr>
        <w:t xml:space="preserve"> </w:t>
      </w:r>
      <w:r>
        <w:rPr>
          <w:rFonts w:ascii="Arial" w:hAnsi="Arial" w:cs="Arial"/>
          <w:szCs w:val="24"/>
          <w:lang w:val="hr-HR"/>
        </w:rPr>
        <w:t>унутрашњег</w:t>
      </w:r>
      <w:r w:rsidR="007B6BE3" w:rsidRPr="0087376B">
        <w:rPr>
          <w:rFonts w:ascii="Arial" w:hAnsi="Arial" w:cs="Arial"/>
          <w:szCs w:val="24"/>
          <w:lang w:val="hr-HR"/>
        </w:rPr>
        <w:t xml:space="preserve"> </w:t>
      </w:r>
      <w:r>
        <w:rPr>
          <w:rFonts w:ascii="Arial" w:hAnsi="Arial" w:cs="Arial"/>
          <w:szCs w:val="24"/>
          <w:lang w:val="hr-HR"/>
        </w:rPr>
        <w:t>дуга</w:t>
      </w:r>
      <w:r w:rsidR="007B6BE3" w:rsidRPr="0087376B">
        <w:rPr>
          <w:rFonts w:ascii="Arial" w:hAnsi="Arial" w:cs="Arial"/>
          <w:szCs w:val="24"/>
          <w:lang w:val="hr-HR"/>
        </w:rPr>
        <w:t xml:space="preserve"> </w:t>
      </w:r>
      <w:r>
        <w:rPr>
          <w:rFonts w:ascii="Arial" w:hAnsi="Arial" w:cs="Arial"/>
          <w:szCs w:val="24"/>
          <w:lang w:val="hr-HR"/>
        </w:rPr>
        <w:t>насталог</w:t>
      </w:r>
      <w:r w:rsidR="007B6BE3" w:rsidRPr="0087376B">
        <w:rPr>
          <w:rFonts w:ascii="Arial" w:hAnsi="Arial" w:cs="Arial"/>
          <w:szCs w:val="24"/>
          <w:lang w:val="hr-HR"/>
        </w:rPr>
        <w:t xml:space="preserve"> </w:t>
      </w:r>
      <w:r>
        <w:rPr>
          <w:rFonts w:ascii="Arial" w:hAnsi="Arial" w:cs="Arial"/>
          <w:szCs w:val="24"/>
          <w:lang w:val="hr-HR"/>
        </w:rPr>
        <w:t>емисијом</w:t>
      </w:r>
      <w:r w:rsidR="007B6BE3" w:rsidRPr="0087376B">
        <w:rPr>
          <w:rFonts w:ascii="Arial" w:hAnsi="Arial" w:cs="Arial"/>
          <w:szCs w:val="24"/>
          <w:lang w:val="hr-HR"/>
        </w:rPr>
        <w:t xml:space="preserve"> </w:t>
      </w:r>
      <w:r>
        <w:rPr>
          <w:rFonts w:ascii="Arial" w:hAnsi="Arial" w:cs="Arial"/>
          <w:szCs w:val="24"/>
          <w:lang w:val="hr-HR"/>
        </w:rPr>
        <w:t>тржишних</w:t>
      </w:r>
      <w:r w:rsidR="007B6BE3" w:rsidRPr="0087376B">
        <w:rPr>
          <w:rFonts w:ascii="Arial" w:hAnsi="Arial" w:cs="Arial"/>
          <w:szCs w:val="24"/>
          <w:lang w:val="hr-HR"/>
        </w:rPr>
        <w:t xml:space="preserve"> </w:t>
      </w:r>
      <w:r>
        <w:rPr>
          <w:rFonts w:ascii="Arial" w:hAnsi="Arial" w:cs="Arial"/>
          <w:lang w:val="hr-HR"/>
        </w:rPr>
        <w:t>хартија</w:t>
      </w:r>
      <w:r w:rsidR="009D7230">
        <w:rPr>
          <w:rFonts w:ascii="Arial" w:hAnsi="Arial" w:cs="Arial"/>
          <w:lang w:val="hr-HR"/>
        </w:rPr>
        <w:t xml:space="preserve"> </w:t>
      </w:r>
      <w:r>
        <w:rPr>
          <w:rFonts w:ascii="Arial" w:hAnsi="Arial" w:cs="Arial"/>
          <w:lang w:val="hr-HR"/>
        </w:rPr>
        <w:t>од</w:t>
      </w:r>
      <w:r w:rsidR="009D7230">
        <w:rPr>
          <w:rFonts w:ascii="Arial" w:hAnsi="Arial" w:cs="Arial"/>
          <w:lang w:val="hr-HR"/>
        </w:rPr>
        <w:t xml:space="preserve"> </w:t>
      </w:r>
      <w:r>
        <w:rPr>
          <w:rFonts w:ascii="Arial" w:hAnsi="Arial" w:cs="Arial"/>
          <w:lang w:val="hr-HR"/>
        </w:rPr>
        <w:t>вриједности</w:t>
      </w:r>
      <w:r w:rsidR="007B6BE3" w:rsidRPr="0087376B">
        <w:rPr>
          <w:rFonts w:ascii="Arial" w:hAnsi="Arial" w:cs="Arial"/>
          <w:szCs w:val="24"/>
          <w:lang w:val="hr-HR"/>
        </w:rPr>
        <w:t xml:space="preserve">. </w:t>
      </w:r>
      <w:r>
        <w:rPr>
          <w:rFonts w:ascii="Arial" w:hAnsi="Arial" w:cs="Arial"/>
          <w:szCs w:val="24"/>
          <w:lang w:val="hr-HR"/>
        </w:rPr>
        <w:t>Унутрашњи</w:t>
      </w:r>
      <w:r w:rsidR="007B6BE3" w:rsidRPr="0087376B">
        <w:rPr>
          <w:rFonts w:ascii="Arial" w:hAnsi="Arial" w:cs="Arial"/>
          <w:szCs w:val="24"/>
          <w:lang w:val="hr-HR"/>
        </w:rPr>
        <w:t xml:space="preserve"> </w:t>
      </w:r>
      <w:r>
        <w:rPr>
          <w:rFonts w:ascii="Arial" w:hAnsi="Arial" w:cs="Arial"/>
          <w:szCs w:val="24"/>
          <w:lang w:val="hr-HR"/>
        </w:rPr>
        <w:t>дуг</w:t>
      </w:r>
      <w:r w:rsidR="007B6BE3" w:rsidRPr="0087376B">
        <w:rPr>
          <w:rFonts w:ascii="Arial" w:hAnsi="Arial" w:cs="Arial"/>
          <w:szCs w:val="24"/>
          <w:lang w:val="hr-HR"/>
        </w:rPr>
        <w:t xml:space="preserve"> </w:t>
      </w:r>
      <w:r>
        <w:rPr>
          <w:rFonts w:ascii="Arial" w:hAnsi="Arial" w:cs="Arial"/>
          <w:szCs w:val="24"/>
          <w:lang w:val="hr-HR"/>
        </w:rPr>
        <w:t>уговорен</w:t>
      </w:r>
      <w:r w:rsidR="007B6BE3" w:rsidRPr="0087376B">
        <w:rPr>
          <w:rFonts w:ascii="Arial" w:hAnsi="Arial" w:cs="Arial"/>
          <w:szCs w:val="24"/>
          <w:lang w:val="hr-HR"/>
        </w:rPr>
        <w:t xml:space="preserve"> </w:t>
      </w:r>
      <w:r>
        <w:rPr>
          <w:rFonts w:ascii="Arial" w:hAnsi="Arial" w:cs="Arial"/>
          <w:szCs w:val="24"/>
          <w:lang w:val="hr-HR"/>
        </w:rPr>
        <w:t>је</w:t>
      </w:r>
      <w:r w:rsidR="007B6BE3" w:rsidRPr="0087376B">
        <w:rPr>
          <w:rFonts w:ascii="Arial" w:hAnsi="Arial" w:cs="Arial"/>
          <w:szCs w:val="24"/>
          <w:lang w:val="hr-HR"/>
        </w:rPr>
        <w:t xml:space="preserve"> </w:t>
      </w:r>
      <w:r>
        <w:rPr>
          <w:rFonts w:ascii="Arial" w:hAnsi="Arial" w:cs="Arial"/>
          <w:szCs w:val="24"/>
          <w:lang w:val="hr-HR"/>
        </w:rPr>
        <w:t>у</w:t>
      </w:r>
      <w:r w:rsidR="007B6BE3" w:rsidRPr="0087376B">
        <w:rPr>
          <w:rFonts w:ascii="Arial" w:hAnsi="Arial" w:cs="Arial"/>
          <w:szCs w:val="24"/>
          <w:lang w:val="hr-HR"/>
        </w:rPr>
        <w:t xml:space="preserve"> </w:t>
      </w:r>
      <w:r>
        <w:rPr>
          <w:rFonts w:ascii="Arial" w:hAnsi="Arial" w:cs="Arial"/>
          <w:szCs w:val="24"/>
          <w:lang w:val="hr-HR"/>
        </w:rPr>
        <w:t>домаћој</w:t>
      </w:r>
      <w:r w:rsidR="007B6BE3" w:rsidRPr="0087376B">
        <w:rPr>
          <w:rFonts w:ascii="Arial" w:hAnsi="Arial" w:cs="Arial"/>
          <w:szCs w:val="24"/>
          <w:lang w:val="hr-HR"/>
        </w:rPr>
        <w:t xml:space="preserve"> </w:t>
      </w:r>
      <w:r>
        <w:rPr>
          <w:rFonts w:ascii="Arial" w:hAnsi="Arial" w:cs="Arial"/>
          <w:szCs w:val="24"/>
          <w:lang w:val="hr-HR"/>
        </w:rPr>
        <w:t>валути</w:t>
      </w:r>
      <w:r w:rsidR="007B6BE3" w:rsidRPr="0087376B">
        <w:rPr>
          <w:rFonts w:ascii="Arial" w:hAnsi="Arial" w:cs="Arial"/>
          <w:szCs w:val="24"/>
          <w:lang w:val="hr-HR"/>
        </w:rPr>
        <w:t xml:space="preserve"> (</w:t>
      </w:r>
      <w:r>
        <w:rPr>
          <w:rFonts w:ascii="Arial" w:hAnsi="Arial" w:cs="Arial"/>
          <w:szCs w:val="24"/>
          <w:lang w:val="hr-HR"/>
        </w:rPr>
        <w:t>КМ</w:t>
      </w:r>
      <w:r w:rsidR="007B6BE3" w:rsidRPr="0087376B">
        <w:rPr>
          <w:rFonts w:ascii="Arial" w:hAnsi="Arial" w:cs="Arial"/>
          <w:szCs w:val="24"/>
          <w:lang w:val="hr-HR"/>
        </w:rPr>
        <w:t xml:space="preserve">) </w:t>
      </w:r>
      <w:r>
        <w:rPr>
          <w:rFonts w:ascii="Arial" w:hAnsi="Arial" w:cs="Arial"/>
          <w:szCs w:val="24"/>
          <w:lang w:val="hr-HR"/>
        </w:rPr>
        <w:t>и</w:t>
      </w:r>
      <w:r w:rsidR="007B6BE3" w:rsidRPr="0087376B">
        <w:rPr>
          <w:rFonts w:ascii="Arial" w:hAnsi="Arial" w:cs="Arial"/>
          <w:szCs w:val="24"/>
          <w:lang w:val="hr-HR"/>
        </w:rPr>
        <w:t xml:space="preserve"> </w:t>
      </w:r>
      <w:r>
        <w:rPr>
          <w:rFonts w:ascii="Arial" w:hAnsi="Arial" w:cs="Arial"/>
          <w:szCs w:val="24"/>
          <w:lang w:val="hr-HR"/>
        </w:rPr>
        <w:t>са</w:t>
      </w:r>
      <w:r w:rsidR="007B6BE3" w:rsidRPr="0087376B">
        <w:rPr>
          <w:rFonts w:ascii="Arial" w:hAnsi="Arial" w:cs="Arial"/>
          <w:szCs w:val="24"/>
          <w:lang w:val="hr-HR"/>
        </w:rPr>
        <w:t xml:space="preserve"> </w:t>
      </w:r>
      <w:r>
        <w:rPr>
          <w:rFonts w:ascii="Arial" w:hAnsi="Arial" w:cs="Arial"/>
          <w:szCs w:val="24"/>
          <w:lang w:val="hr-HR"/>
        </w:rPr>
        <w:t>фиксним</w:t>
      </w:r>
      <w:r w:rsidR="007B6BE3" w:rsidRPr="0087376B">
        <w:rPr>
          <w:rFonts w:ascii="Arial" w:hAnsi="Arial" w:cs="Arial"/>
          <w:szCs w:val="24"/>
          <w:lang w:val="hr-HR"/>
        </w:rPr>
        <w:t xml:space="preserve"> </w:t>
      </w:r>
      <w:r>
        <w:rPr>
          <w:rFonts w:ascii="Arial" w:hAnsi="Arial" w:cs="Arial"/>
          <w:szCs w:val="24"/>
          <w:lang w:val="hr-HR"/>
        </w:rPr>
        <w:t>каматним</w:t>
      </w:r>
      <w:r w:rsidR="007B6BE3" w:rsidRPr="0087376B">
        <w:rPr>
          <w:rFonts w:ascii="Arial" w:hAnsi="Arial" w:cs="Arial"/>
          <w:szCs w:val="24"/>
          <w:lang w:val="hr-HR"/>
        </w:rPr>
        <w:t xml:space="preserve"> </w:t>
      </w:r>
      <w:r>
        <w:rPr>
          <w:rFonts w:ascii="Arial" w:hAnsi="Arial" w:cs="Arial"/>
          <w:szCs w:val="24"/>
          <w:lang w:val="hr-HR"/>
        </w:rPr>
        <w:t>стопама</w:t>
      </w:r>
      <w:r w:rsidR="007B6BE3" w:rsidRPr="0087376B">
        <w:rPr>
          <w:rFonts w:ascii="Arial" w:hAnsi="Arial" w:cs="Arial"/>
          <w:szCs w:val="24"/>
          <w:lang w:val="hr-HR"/>
        </w:rPr>
        <w:t xml:space="preserve">. </w:t>
      </w:r>
      <w:r w:rsidR="009D7230">
        <w:rPr>
          <w:rFonts w:ascii="Arial" w:hAnsi="Arial" w:cs="Arial"/>
          <w:szCs w:val="24"/>
          <w:lang w:val="hr-HR"/>
        </w:rPr>
        <w:t xml:space="preserve"> </w:t>
      </w:r>
    </w:p>
    <w:p w14:paraId="1001A174" w14:textId="77777777" w:rsidR="007B6BE3" w:rsidRPr="0087376B" w:rsidRDefault="007B6BE3" w:rsidP="007B6BE3">
      <w:pPr>
        <w:pStyle w:val="NoSpacing"/>
        <w:spacing w:line="276" w:lineRule="auto"/>
        <w:ind w:firstLine="284"/>
        <w:jc w:val="both"/>
        <w:rPr>
          <w:rFonts w:ascii="Arial" w:hAnsi="Arial" w:cs="Arial"/>
          <w:szCs w:val="24"/>
          <w:lang w:val="hr-HR"/>
        </w:rPr>
      </w:pPr>
    </w:p>
    <w:p w14:paraId="299BA9B2" w14:textId="77777777" w:rsidR="007B6BE3" w:rsidRPr="0087376B" w:rsidRDefault="005B20F8" w:rsidP="007B6BE3">
      <w:pPr>
        <w:rPr>
          <w:rFonts w:ascii="Arial" w:hAnsi="Arial" w:cs="Arial"/>
        </w:rPr>
      </w:pPr>
      <w:r>
        <w:rPr>
          <w:rFonts w:ascii="Arial" w:hAnsi="Arial" w:cs="Arial"/>
        </w:rPr>
        <w:t>Табела</w:t>
      </w:r>
      <w:r w:rsidR="007B6BE3" w:rsidRPr="0087376B">
        <w:rPr>
          <w:rFonts w:ascii="Arial" w:hAnsi="Arial" w:cs="Arial"/>
        </w:rPr>
        <w:t xml:space="preserve"> 3. </w:t>
      </w:r>
      <w:r>
        <w:rPr>
          <w:rFonts w:ascii="Arial" w:hAnsi="Arial" w:cs="Arial"/>
        </w:rPr>
        <w:t>Унутрашњи</w:t>
      </w:r>
      <w:r w:rsidR="007B6BE3" w:rsidRPr="0087376B">
        <w:rPr>
          <w:rFonts w:ascii="Arial" w:hAnsi="Arial" w:cs="Arial"/>
        </w:rPr>
        <w:t xml:space="preserve"> </w:t>
      </w:r>
      <w:r>
        <w:rPr>
          <w:rFonts w:ascii="Arial" w:hAnsi="Arial" w:cs="Arial"/>
        </w:rPr>
        <w:t>дуг</w:t>
      </w:r>
      <w:r w:rsidR="007B6BE3" w:rsidRPr="0087376B">
        <w:rPr>
          <w:rFonts w:ascii="Arial" w:hAnsi="Arial" w:cs="Arial"/>
        </w:rPr>
        <w:t xml:space="preserve"> </w:t>
      </w:r>
      <w:r>
        <w:rPr>
          <w:rFonts w:ascii="Arial" w:hAnsi="Arial" w:cs="Arial"/>
        </w:rPr>
        <w:t>Федерације</w:t>
      </w:r>
      <w:r w:rsidR="007B6BE3" w:rsidRPr="0087376B">
        <w:rPr>
          <w:rFonts w:ascii="Arial" w:hAnsi="Arial" w:cs="Arial"/>
        </w:rPr>
        <w:t xml:space="preserve"> </w:t>
      </w:r>
      <w:r>
        <w:rPr>
          <w:rFonts w:ascii="Arial" w:hAnsi="Arial" w:cs="Arial"/>
        </w:rPr>
        <w:t>БиХ</w:t>
      </w:r>
      <w:r w:rsidR="007B6BE3" w:rsidRPr="0087376B">
        <w:rPr>
          <w:rFonts w:ascii="Arial" w:hAnsi="Arial" w:cs="Arial"/>
        </w:rPr>
        <w:t xml:space="preserve"> </w:t>
      </w:r>
      <w:r>
        <w:rPr>
          <w:rFonts w:ascii="Arial" w:hAnsi="Arial" w:cs="Arial"/>
        </w:rPr>
        <w:t>укључен</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Стратегију</w:t>
      </w:r>
      <w:r w:rsidR="007B6BE3" w:rsidRPr="0087376B">
        <w:rPr>
          <w:rFonts w:ascii="Arial" w:hAnsi="Arial" w:cs="Arial"/>
        </w:rPr>
        <w:t xml:space="preserve"> </w:t>
      </w:r>
    </w:p>
    <w:tbl>
      <w:tblPr>
        <w:tblW w:w="5000" w:type="pct"/>
        <w:tblLook w:val="04A0" w:firstRow="1" w:lastRow="0" w:firstColumn="1" w:lastColumn="0" w:noHBand="0" w:noVBand="1"/>
      </w:tblPr>
      <w:tblGrid>
        <w:gridCol w:w="5234"/>
        <w:gridCol w:w="2464"/>
        <w:gridCol w:w="1615"/>
      </w:tblGrid>
      <w:tr w:rsidR="007B6BE3" w:rsidRPr="0087376B" w14:paraId="1C97B158" w14:textId="77777777" w:rsidTr="007B6BE3">
        <w:trPr>
          <w:trHeight w:val="345"/>
        </w:trPr>
        <w:tc>
          <w:tcPr>
            <w:tcW w:w="2810" w:type="pct"/>
            <w:tcBorders>
              <w:top w:val="single" w:sz="8" w:space="0" w:color="4F81BD"/>
              <w:left w:val="single" w:sz="8" w:space="0" w:color="0070C0"/>
              <w:bottom w:val="nil"/>
              <w:right w:val="nil"/>
            </w:tcBorders>
            <w:shd w:val="clear" w:color="auto" w:fill="auto"/>
            <w:noWrap/>
            <w:vAlign w:val="center"/>
            <w:hideMark/>
          </w:tcPr>
          <w:p w14:paraId="53C9E13D" w14:textId="77777777" w:rsidR="007B6BE3" w:rsidRPr="0087376B" w:rsidRDefault="005B20F8" w:rsidP="007B6BE3">
            <w:pPr>
              <w:spacing w:after="0" w:line="240" w:lineRule="auto"/>
              <w:jc w:val="center"/>
              <w:rPr>
                <w:rFonts w:ascii="Arial Narrow" w:eastAsia="Times New Roman" w:hAnsi="Arial Narrow" w:cs="Calibri"/>
              </w:rPr>
            </w:pPr>
            <w:r>
              <w:rPr>
                <w:rFonts w:ascii="Arial Narrow" w:eastAsia="Times New Roman" w:hAnsi="Arial Narrow" w:cs="Calibri"/>
              </w:rPr>
              <w:t>Врста</w:t>
            </w:r>
            <w:r w:rsidR="007B6BE3" w:rsidRPr="0087376B">
              <w:rPr>
                <w:rFonts w:ascii="Arial Narrow" w:eastAsia="Times New Roman" w:hAnsi="Arial Narrow" w:cs="Calibri"/>
              </w:rPr>
              <w:t xml:space="preserve"> </w:t>
            </w:r>
            <w:r>
              <w:rPr>
                <w:rFonts w:ascii="Arial Narrow" w:eastAsia="Times New Roman" w:hAnsi="Arial Narrow" w:cs="Calibri"/>
              </w:rPr>
              <w:t>дуга</w:t>
            </w:r>
          </w:p>
        </w:tc>
        <w:tc>
          <w:tcPr>
            <w:tcW w:w="1323" w:type="pct"/>
            <w:tcBorders>
              <w:top w:val="single" w:sz="8" w:space="0" w:color="4F81BD"/>
              <w:left w:val="nil"/>
              <w:bottom w:val="nil"/>
              <w:right w:val="nil"/>
            </w:tcBorders>
            <w:shd w:val="clear" w:color="auto" w:fill="auto"/>
            <w:noWrap/>
            <w:vAlign w:val="center"/>
            <w:hideMark/>
          </w:tcPr>
          <w:p w14:paraId="02D2B742" w14:textId="77777777" w:rsidR="007B6BE3" w:rsidRPr="0087376B" w:rsidRDefault="005B20F8" w:rsidP="007B6BE3">
            <w:pPr>
              <w:spacing w:after="0" w:line="240" w:lineRule="auto"/>
              <w:jc w:val="center"/>
              <w:rPr>
                <w:rFonts w:ascii="Arial Narrow" w:eastAsia="Times New Roman" w:hAnsi="Arial Narrow" w:cs="Calibri"/>
              </w:rPr>
            </w:pPr>
            <w:r>
              <w:rPr>
                <w:rFonts w:ascii="Arial Narrow" w:eastAsia="Times New Roman" w:hAnsi="Arial Narrow" w:cs="Calibri"/>
              </w:rPr>
              <w:t>Укључен</w:t>
            </w:r>
            <w:r w:rsidR="007B6BE3" w:rsidRPr="0087376B">
              <w:rPr>
                <w:rFonts w:ascii="Arial Narrow" w:eastAsia="Times New Roman" w:hAnsi="Arial Narrow" w:cs="Calibri"/>
              </w:rPr>
              <w:t xml:space="preserve"> (√)/ </w:t>
            </w:r>
            <w:r>
              <w:rPr>
                <w:rFonts w:ascii="Arial Narrow" w:eastAsia="Times New Roman" w:hAnsi="Arial Narrow" w:cs="Calibri"/>
              </w:rPr>
              <w:t>Искључен</w:t>
            </w:r>
            <w:r w:rsidR="007B6BE3" w:rsidRPr="0087376B">
              <w:rPr>
                <w:rFonts w:ascii="Arial Narrow" w:eastAsia="Times New Roman" w:hAnsi="Arial Narrow" w:cs="Calibri"/>
              </w:rPr>
              <w:t xml:space="preserve"> (x)</w:t>
            </w:r>
          </w:p>
        </w:tc>
        <w:tc>
          <w:tcPr>
            <w:tcW w:w="867" w:type="pct"/>
            <w:tcBorders>
              <w:top w:val="single" w:sz="8" w:space="0" w:color="4F81BD"/>
              <w:left w:val="nil"/>
              <w:bottom w:val="nil"/>
              <w:right w:val="single" w:sz="8" w:space="0" w:color="0070C0"/>
            </w:tcBorders>
            <w:shd w:val="clear" w:color="auto" w:fill="auto"/>
            <w:noWrap/>
            <w:vAlign w:val="center"/>
            <w:hideMark/>
          </w:tcPr>
          <w:p w14:paraId="68CD0723" w14:textId="77777777" w:rsidR="007B6BE3" w:rsidRPr="0087376B" w:rsidRDefault="005B20F8" w:rsidP="007B6BE3">
            <w:pPr>
              <w:spacing w:after="0" w:line="240" w:lineRule="auto"/>
              <w:jc w:val="center"/>
              <w:rPr>
                <w:rFonts w:ascii="Arial Narrow" w:eastAsia="Times New Roman" w:hAnsi="Arial Narrow" w:cs="Calibri"/>
              </w:rPr>
            </w:pPr>
            <w:r>
              <w:rPr>
                <w:rFonts w:ascii="Arial Narrow" w:eastAsia="Times New Roman" w:hAnsi="Arial Narrow" w:cs="Calibri"/>
              </w:rPr>
              <w:t>Износ</w:t>
            </w:r>
            <w:r w:rsidR="007B6BE3" w:rsidRPr="0087376B">
              <w:rPr>
                <w:rFonts w:ascii="Arial Narrow" w:eastAsia="Times New Roman" w:hAnsi="Arial Narrow" w:cs="Calibri"/>
              </w:rPr>
              <w:t xml:space="preserve"> (</w:t>
            </w:r>
            <w:r>
              <w:rPr>
                <w:rFonts w:ascii="Arial Narrow" w:eastAsia="Times New Roman" w:hAnsi="Arial Narrow" w:cs="Calibri"/>
              </w:rPr>
              <w:t>мил</w:t>
            </w:r>
            <w:r w:rsidR="007B6BE3" w:rsidRPr="0087376B">
              <w:rPr>
                <w:rFonts w:ascii="Arial Narrow" w:eastAsia="Times New Roman" w:hAnsi="Arial Narrow" w:cs="Calibri"/>
              </w:rPr>
              <w:t>.</w:t>
            </w:r>
            <w:r>
              <w:rPr>
                <w:rFonts w:ascii="Arial Narrow" w:eastAsia="Times New Roman" w:hAnsi="Arial Narrow" w:cs="Calibri"/>
              </w:rPr>
              <w:t>КМ</w:t>
            </w:r>
            <w:r w:rsidR="007B6BE3" w:rsidRPr="0087376B">
              <w:rPr>
                <w:rFonts w:ascii="Arial Narrow" w:eastAsia="Times New Roman" w:hAnsi="Arial Narrow" w:cs="Calibri"/>
              </w:rPr>
              <w:t>)</w:t>
            </w:r>
          </w:p>
        </w:tc>
      </w:tr>
      <w:tr w:rsidR="007B6BE3" w:rsidRPr="0087376B" w14:paraId="3BCE08C7" w14:textId="77777777" w:rsidTr="007B6BE3">
        <w:trPr>
          <w:trHeight w:val="330"/>
        </w:trPr>
        <w:tc>
          <w:tcPr>
            <w:tcW w:w="2810" w:type="pct"/>
            <w:tcBorders>
              <w:top w:val="nil"/>
              <w:left w:val="single" w:sz="8" w:space="0" w:color="4F81BD"/>
              <w:bottom w:val="nil"/>
              <w:right w:val="nil"/>
            </w:tcBorders>
            <w:shd w:val="clear" w:color="auto" w:fill="auto"/>
            <w:noWrap/>
            <w:vAlign w:val="center"/>
            <w:hideMark/>
          </w:tcPr>
          <w:p w14:paraId="027B4F78" w14:textId="77777777" w:rsidR="007B6BE3" w:rsidRPr="0087376B" w:rsidRDefault="005B20F8" w:rsidP="007B6BE3">
            <w:pPr>
              <w:spacing w:after="0" w:line="240" w:lineRule="auto"/>
              <w:rPr>
                <w:rFonts w:ascii="Arial Narrow" w:eastAsia="Times New Roman" w:hAnsi="Arial Narrow" w:cs="Calibri"/>
              </w:rPr>
            </w:pPr>
            <w:r>
              <w:rPr>
                <w:rFonts w:ascii="Arial Narrow" w:eastAsia="Times New Roman" w:hAnsi="Arial Narrow" w:cs="Calibri"/>
              </w:rPr>
              <w:t>Унутрашњи</w:t>
            </w:r>
            <w:r w:rsidR="007B6BE3" w:rsidRPr="0087376B">
              <w:rPr>
                <w:rFonts w:ascii="Arial Narrow" w:eastAsia="Times New Roman" w:hAnsi="Arial Narrow" w:cs="Calibri"/>
              </w:rPr>
              <w:t xml:space="preserve"> </w:t>
            </w:r>
            <w:r>
              <w:rPr>
                <w:rFonts w:ascii="Arial Narrow" w:eastAsia="Times New Roman" w:hAnsi="Arial Narrow" w:cs="Calibri"/>
              </w:rPr>
              <w:t>дуг</w:t>
            </w:r>
            <w:r w:rsidR="007B6BE3" w:rsidRPr="0087376B">
              <w:rPr>
                <w:rFonts w:ascii="Arial Narrow" w:eastAsia="Times New Roman" w:hAnsi="Arial Narrow" w:cs="Calibri"/>
              </w:rPr>
              <w:t xml:space="preserve"> </w:t>
            </w:r>
            <w:r>
              <w:rPr>
                <w:rFonts w:ascii="Arial Narrow" w:eastAsia="Times New Roman" w:hAnsi="Arial Narrow" w:cs="Calibri"/>
              </w:rPr>
              <w:t>ФБиХ</w:t>
            </w:r>
            <w:r w:rsidR="007B6BE3" w:rsidRPr="0087376B">
              <w:rPr>
                <w:rFonts w:ascii="Arial Narrow" w:eastAsia="Times New Roman" w:hAnsi="Arial Narrow" w:cs="Calibri"/>
              </w:rPr>
              <w:t xml:space="preserve">, </w:t>
            </w:r>
            <w:r>
              <w:rPr>
                <w:rFonts w:ascii="Arial Narrow" w:eastAsia="Times New Roman" w:hAnsi="Arial Narrow" w:cs="Calibri"/>
              </w:rPr>
              <w:t>од</w:t>
            </w:r>
            <w:r w:rsidR="007B6BE3" w:rsidRPr="0087376B">
              <w:rPr>
                <w:rFonts w:ascii="Arial Narrow" w:eastAsia="Times New Roman" w:hAnsi="Arial Narrow" w:cs="Calibri"/>
              </w:rPr>
              <w:t xml:space="preserve"> </w:t>
            </w:r>
            <w:r>
              <w:rPr>
                <w:rFonts w:ascii="Arial Narrow" w:eastAsia="Times New Roman" w:hAnsi="Arial Narrow" w:cs="Calibri"/>
              </w:rPr>
              <w:t>чега</w:t>
            </w:r>
            <w:r w:rsidR="007B6BE3" w:rsidRPr="0087376B">
              <w:rPr>
                <w:rFonts w:ascii="Arial Narrow" w:eastAsia="Times New Roman" w:hAnsi="Arial Narrow" w:cs="Calibri"/>
              </w:rPr>
              <w:t>:</w:t>
            </w:r>
          </w:p>
        </w:tc>
        <w:tc>
          <w:tcPr>
            <w:tcW w:w="1323" w:type="pct"/>
            <w:tcBorders>
              <w:top w:val="nil"/>
              <w:left w:val="nil"/>
              <w:bottom w:val="nil"/>
              <w:right w:val="nil"/>
            </w:tcBorders>
            <w:shd w:val="clear" w:color="auto" w:fill="auto"/>
            <w:noWrap/>
            <w:vAlign w:val="center"/>
            <w:hideMark/>
          </w:tcPr>
          <w:p w14:paraId="4FA4618B" w14:textId="77777777" w:rsidR="007B6BE3" w:rsidRPr="0087376B" w:rsidRDefault="007B6BE3" w:rsidP="007B6BE3">
            <w:pPr>
              <w:spacing w:after="0" w:line="240" w:lineRule="auto"/>
              <w:rPr>
                <w:rFonts w:ascii="Arial Narrow" w:eastAsia="Times New Roman" w:hAnsi="Arial Narrow" w:cs="Calibri"/>
              </w:rPr>
            </w:pPr>
          </w:p>
        </w:tc>
        <w:tc>
          <w:tcPr>
            <w:tcW w:w="867" w:type="pct"/>
            <w:tcBorders>
              <w:top w:val="nil"/>
              <w:left w:val="nil"/>
              <w:bottom w:val="nil"/>
              <w:right w:val="single" w:sz="8" w:space="0" w:color="0070C0"/>
            </w:tcBorders>
            <w:shd w:val="clear" w:color="auto" w:fill="auto"/>
            <w:noWrap/>
            <w:vAlign w:val="center"/>
            <w:hideMark/>
          </w:tcPr>
          <w:p w14:paraId="703EFF1E" w14:textId="77777777" w:rsidR="007B6BE3" w:rsidRPr="0087376B" w:rsidRDefault="007B6BE3" w:rsidP="007B6BE3">
            <w:pPr>
              <w:spacing w:after="0" w:line="240" w:lineRule="auto"/>
              <w:jc w:val="right"/>
              <w:rPr>
                <w:rFonts w:ascii="Arial Narrow" w:eastAsia="Times New Roman" w:hAnsi="Arial Narrow" w:cs="Calibri"/>
              </w:rPr>
            </w:pPr>
            <w:r w:rsidRPr="0087376B">
              <w:rPr>
                <w:rFonts w:ascii="Arial Narrow" w:eastAsia="Times New Roman" w:hAnsi="Arial Narrow" w:cs="Calibri"/>
              </w:rPr>
              <w:t>678,69</w:t>
            </w:r>
          </w:p>
        </w:tc>
      </w:tr>
      <w:tr w:rsidR="007B6BE3" w:rsidRPr="0087376B" w14:paraId="66869168" w14:textId="77777777" w:rsidTr="007B6BE3">
        <w:trPr>
          <w:trHeight w:val="330"/>
        </w:trPr>
        <w:tc>
          <w:tcPr>
            <w:tcW w:w="2810" w:type="pct"/>
            <w:tcBorders>
              <w:top w:val="nil"/>
              <w:left w:val="single" w:sz="8" w:space="0" w:color="4F81BD"/>
              <w:bottom w:val="nil"/>
              <w:right w:val="nil"/>
            </w:tcBorders>
            <w:shd w:val="clear" w:color="auto" w:fill="auto"/>
            <w:noWrap/>
            <w:vAlign w:val="center"/>
            <w:hideMark/>
          </w:tcPr>
          <w:p w14:paraId="6A337CE7" w14:textId="77777777" w:rsidR="007B6BE3" w:rsidRPr="0087376B" w:rsidRDefault="007B6BE3" w:rsidP="007B6BE3">
            <w:pPr>
              <w:spacing w:after="0" w:line="240" w:lineRule="auto"/>
              <w:ind w:firstLineChars="300" w:firstLine="660"/>
              <w:rPr>
                <w:rFonts w:ascii="Arial Narrow" w:eastAsia="Times New Roman" w:hAnsi="Arial Narrow" w:cs="Calibri"/>
              </w:rPr>
            </w:pPr>
            <w:r w:rsidRPr="0087376B">
              <w:rPr>
                <w:rFonts w:ascii="Arial Narrow" w:eastAsia="Times New Roman" w:hAnsi="Arial Narrow" w:cs="Calibri"/>
              </w:rPr>
              <w:t xml:space="preserve">-          </w:t>
            </w:r>
            <w:r w:rsidR="005B20F8">
              <w:rPr>
                <w:rFonts w:ascii="Arial Narrow" w:eastAsia="Times New Roman" w:hAnsi="Arial Narrow" w:cs="Calibri"/>
              </w:rPr>
              <w:t>Трезорски</w:t>
            </w:r>
            <w:r w:rsidRPr="0087376B">
              <w:rPr>
                <w:rFonts w:ascii="Arial Narrow" w:eastAsia="Times New Roman" w:hAnsi="Arial Narrow" w:cs="Calibri"/>
              </w:rPr>
              <w:t xml:space="preserve"> </w:t>
            </w:r>
            <w:r w:rsidR="005B20F8">
              <w:rPr>
                <w:rFonts w:ascii="Arial Narrow" w:eastAsia="Times New Roman" w:hAnsi="Arial Narrow" w:cs="Calibri"/>
              </w:rPr>
              <w:t>записи</w:t>
            </w:r>
            <w:r w:rsidRPr="0087376B">
              <w:rPr>
                <w:rFonts w:ascii="Arial Narrow" w:eastAsia="Times New Roman" w:hAnsi="Arial Narrow" w:cs="Calibri"/>
              </w:rPr>
              <w:t xml:space="preserve"> </w:t>
            </w:r>
            <w:r w:rsidR="005B20F8">
              <w:rPr>
                <w:rFonts w:ascii="Arial Narrow" w:eastAsia="Times New Roman" w:hAnsi="Arial Narrow" w:cs="Calibri"/>
              </w:rPr>
              <w:t>ФБиХ</w:t>
            </w:r>
          </w:p>
        </w:tc>
        <w:tc>
          <w:tcPr>
            <w:tcW w:w="1323" w:type="pct"/>
            <w:tcBorders>
              <w:top w:val="nil"/>
              <w:left w:val="nil"/>
              <w:bottom w:val="nil"/>
              <w:right w:val="nil"/>
            </w:tcBorders>
            <w:shd w:val="clear" w:color="auto" w:fill="auto"/>
            <w:noWrap/>
            <w:vAlign w:val="center"/>
            <w:hideMark/>
          </w:tcPr>
          <w:p w14:paraId="544B961D" w14:textId="77777777" w:rsidR="007B6BE3" w:rsidRPr="0087376B" w:rsidRDefault="007B6BE3" w:rsidP="007B6BE3">
            <w:pPr>
              <w:spacing w:after="0" w:line="240" w:lineRule="auto"/>
              <w:jc w:val="center"/>
              <w:rPr>
                <w:rFonts w:ascii="Arial Narrow" w:eastAsia="Times New Roman" w:hAnsi="Arial Narrow" w:cs="Calibri"/>
              </w:rPr>
            </w:pPr>
            <w:r w:rsidRPr="0087376B">
              <w:rPr>
                <w:rFonts w:ascii="Arial Narrow" w:eastAsia="Times New Roman" w:hAnsi="Arial Narrow" w:cs="Calibri"/>
              </w:rPr>
              <w:t>√</w:t>
            </w:r>
          </w:p>
        </w:tc>
        <w:tc>
          <w:tcPr>
            <w:tcW w:w="867" w:type="pct"/>
            <w:tcBorders>
              <w:top w:val="nil"/>
              <w:left w:val="nil"/>
              <w:bottom w:val="nil"/>
              <w:right w:val="single" w:sz="8" w:space="0" w:color="0070C0"/>
            </w:tcBorders>
            <w:shd w:val="clear" w:color="auto" w:fill="auto"/>
            <w:noWrap/>
            <w:vAlign w:val="center"/>
            <w:hideMark/>
          </w:tcPr>
          <w:p w14:paraId="72CABB76" w14:textId="77777777" w:rsidR="007B6BE3" w:rsidRPr="0087376B" w:rsidRDefault="007B6BE3" w:rsidP="007B6BE3">
            <w:pPr>
              <w:spacing w:after="0" w:line="240" w:lineRule="auto"/>
              <w:jc w:val="right"/>
              <w:rPr>
                <w:rFonts w:ascii="Arial Narrow" w:eastAsia="Times New Roman" w:hAnsi="Arial Narrow" w:cs="Calibri"/>
              </w:rPr>
            </w:pPr>
            <w:r w:rsidRPr="0087376B">
              <w:rPr>
                <w:rFonts w:ascii="Arial Narrow" w:eastAsia="Times New Roman" w:hAnsi="Arial Narrow" w:cs="Calibri"/>
              </w:rPr>
              <w:t>50,00</w:t>
            </w:r>
          </w:p>
        </w:tc>
      </w:tr>
      <w:tr w:rsidR="007B6BE3" w:rsidRPr="0087376B" w14:paraId="1F7F0C71" w14:textId="77777777" w:rsidTr="007B6BE3">
        <w:trPr>
          <w:trHeight w:val="345"/>
        </w:trPr>
        <w:tc>
          <w:tcPr>
            <w:tcW w:w="2810" w:type="pct"/>
            <w:tcBorders>
              <w:top w:val="nil"/>
              <w:left w:val="single" w:sz="8" w:space="0" w:color="4F81BD"/>
              <w:bottom w:val="nil"/>
              <w:right w:val="nil"/>
            </w:tcBorders>
            <w:shd w:val="clear" w:color="auto" w:fill="auto"/>
            <w:noWrap/>
            <w:vAlign w:val="center"/>
            <w:hideMark/>
          </w:tcPr>
          <w:p w14:paraId="53852037" w14:textId="77777777" w:rsidR="007B6BE3" w:rsidRPr="0087376B" w:rsidRDefault="007B6BE3" w:rsidP="007B6BE3">
            <w:pPr>
              <w:spacing w:after="0" w:line="240" w:lineRule="auto"/>
              <w:ind w:firstLineChars="300" w:firstLine="660"/>
              <w:rPr>
                <w:rFonts w:ascii="Arial Narrow" w:eastAsia="Times New Roman" w:hAnsi="Arial Narrow" w:cs="Calibri"/>
              </w:rPr>
            </w:pPr>
            <w:r w:rsidRPr="0087376B">
              <w:rPr>
                <w:rFonts w:ascii="Arial Narrow" w:eastAsia="Times New Roman" w:hAnsi="Arial Narrow" w:cs="Calibri"/>
              </w:rPr>
              <w:t xml:space="preserve">-          </w:t>
            </w:r>
            <w:r w:rsidR="005B20F8">
              <w:rPr>
                <w:rFonts w:ascii="Arial Narrow" w:eastAsia="Times New Roman" w:hAnsi="Arial Narrow" w:cs="Calibri"/>
              </w:rPr>
              <w:t>Трезорске</w:t>
            </w:r>
            <w:r w:rsidRPr="0087376B">
              <w:rPr>
                <w:rFonts w:ascii="Arial Narrow" w:eastAsia="Times New Roman" w:hAnsi="Arial Narrow" w:cs="Calibri"/>
              </w:rPr>
              <w:t xml:space="preserve"> </w:t>
            </w:r>
            <w:r w:rsidR="005B20F8">
              <w:rPr>
                <w:rFonts w:ascii="Arial Narrow" w:eastAsia="Times New Roman" w:hAnsi="Arial Narrow" w:cs="Calibri"/>
              </w:rPr>
              <w:t>обвезнице</w:t>
            </w:r>
            <w:r w:rsidRPr="0087376B">
              <w:rPr>
                <w:rFonts w:ascii="Arial Narrow" w:eastAsia="Times New Roman" w:hAnsi="Arial Narrow" w:cs="Calibri"/>
              </w:rPr>
              <w:t xml:space="preserve"> </w:t>
            </w:r>
            <w:r w:rsidR="005B20F8">
              <w:rPr>
                <w:rFonts w:ascii="Arial Narrow" w:eastAsia="Times New Roman" w:hAnsi="Arial Narrow" w:cs="Calibri"/>
              </w:rPr>
              <w:t>ФБиХ</w:t>
            </w:r>
          </w:p>
        </w:tc>
        <w:tc>
          <w:tcPr>
            <w:tcW w:w="1323" w:type="pct"/>
            <w:tcBorders>
              <w:top w:val="nil"/>
              <w:left w:val="nil"/>
              <w:bottom w:val="nil"/>
              <w:right w:val="nil"/>
            </w:tcBorders>
            <w:shd w:val="clear" w:color="auto" w:fill="auto"/>
            <w:noWrap/>
            <w:vAlign w:val="center"/>
            <w:hideMark/>
          </w:tcPr>
          <w:p w14:paraId="3531CB3A" w14:textId="77777777" w:rsidR="007B6BE3" w:rsidRPr="0087376B" w:rsidRDefault="007B6BE3" w:rsidP="007B6BE3">
            <w:pPr>
              <w:spacing w:after="0" w:line="240" w:lineRule="auto"/>
              <w:jc w:val="center"/>
              <w:rPr>
                <w:rFonts w:ascii="Arial Narrow" w:eastAsia="Times New Roman" w:hAnsi="Arial Narrow" w:cs="Calibri"/>
              </w:rPr>
            </w:pPr>
            <w:r w:rsidRPr="0087376B">
              <w:rPr>
                <w:rFonts w:ascii="Arial Narrow" w:eastAsia="Times New Roman" w:hAnsi="Arial Narrow" w:cs="Calibri"/>
              </w:rPr>
              <w:t>√</w:t>
            </w:r>
          </w:p>
        </w:tc>
        <w:tc>
          <w:tcPr>
            <w:tcW w:w="867" w:type="pct"/>
            <w:tcBorders>
              <w:top w:val="nil"/>
              <w:left w:val="nil"/>
              <w:bottom w:val="nil"/>
              <w:right w:val="single" w:sz="8" w:space="0" w:color="0070C0"/>
            </w:tcBorders>
            <w:shd w:val="clear" w:color="auto" w:fill="auto"/>
            <w:noWrap/>
            <w:vAlign w:val="center"/>
            <w:hideMark/>
          </w:tcPr>
          <w:p w14:paraId="524E4377" w14:textId="77777777" w:rsidR="007B6BE3" w:rsidRPr="0087376B" w:rsidRDefault="007B6BE3" w:rsidP="007B6BE3">
            <w:pPr>
              <w:spacing w:after="0" w:line="240" w:lineRule="auto"/>
              <w:jc w:val="right"/>
              <w:rPr>
                <w:rFonts w:ascii="Arial Narrow" w:eastAsia="Times New Roman" w:hAnsi="Arial Narrow" w:cs="Calibri"/>
              </w:rPr>
            </w:pPr>
            <w:r w:rsidRPr="0087376B">
              <w:rPr>
                <w:rFonts w:ascii="Arial Narrow" w:eastAsia="Times New Roman" w:hAnsi="Arial Narrow" w:cs="Calibri"/>
              </w:rPr>
              <w:t>590,00</w:t>
            </w:r>
          </w:p>
        </w:tc>
      </w:tr>
      <w:tr w:rsidR="007B6BE3" w:rsidRPr="0087376B" w14:paraId="212103C3" w14:textId="77777777" w:rsidTr="007B6BE3">
        <w:trPr>
          <w:trHeight w:val="345"/>
        </w:trPr>
        <w:tc>
          <w:tcPr>
            <w:tcW w:w="2810" w:type="pct"/>
            <w:tcBorders>
              <w:top w:val="nil"/>
              <w:left w:val="single" w:sz="8" w:space="0" w:color="4F81BD"/>
              <w:bottom w:val="single" w:sz="8" w:space="0" w:color="4F81BD"/>
              <w:right w:val="nil"/>
            </w:tcBorders>
            <w:shd w:val="clear" w:color="auto" w:fill="auto"/>
            <w:noWrap/>
            <w:vAlign w:val="center"/>
            <w:hideMark/>
          </w:tcPr>
          <w:p w14:paraId="680D0737" w14:textId="77777777" w:rsidR="007B6BE3" w:rsidRPr="0087376B" w:rsidRDefault="007B6BE3" w:rsidP="007B6BE3">
            <w:pPr>
              <w:spacing w:after="0" w:line="240" w:lineRule="auto"/>
              <w:ind w:firstLineChars="300" w:firstLine="660"/>
              <w:rPr>
                <w:rFonts w:ascii="Arial Narrow" w:eastAsia="Times New Roman" w:hAnsi="Arial Narrow" w:cs="Calibri"/>
              </w:rPr>
            </w:pPr>
            <w:r w:rsidRPr="0087376B">
              <w:rPr>
                <w:rFonts w:ascii="Arial Narrow" w:eastAsia="Times New Roman" w:hAnsi="Arial Narrow" w:cs="Calibri"/>
              </w:rPr>
              <w:t xml:space="preserve">-          </w:t>
            </w:r>
            <w:r w:rsidR="005B20F8">
              <w:rPr>
                <w:rFonts w:ascii="Arial Narrow" w:eastAsia="Times New Roman" w:hAnsi="Arial Narrow" w:cs="Calibri"/>
              </w:rPr>
              <w:t>Обвезнице</w:t>
            </w:r>
            <w:r w:rsidRPr="0087376B">
              <w:rPr>
                <w:rFonts w:ascii="Arial Narrow" w:eastAsia="Times New Roman" w:hAnsi="Arial Narrow" w:cs="Calibri"/>
              </w:rPr>
              <w:t xml:space="preserve"> </w:t>
            </w:r>
            <w:r w:rsidR="005B20F8">
              <w:rPr>
                <w:rFonts w:ascii="Arial Narrow" w:eastAsia="Times New Roman" w:hAnsi="Arial Narrow" w:cs="Calibri"/>
              </w:rPr>
              <w:t>за</w:t>
            </w:r>
            <w:r w:rsidRPr="0087376B">
              <w:rPr>
                <w:rFonts w:ascii="Arial Narrow" w:eastAsia="Times New Roman" w:hAnsi="Arial Narrow" w:cs="Calibri"/>
              </w:rPr>
              <w:t xml:space="preserve"> </w:t>
            </w:r>
            <w:r w:rsidR="005B20F8">
              <w:rPr>
                <w:rFonts w:ascii="Arial Narrow" w:eastAsia="Times New Roman" w:hAnsi="Arial Narrow" w:cs="Calibri"/>
              </w:rPr>
              <w:t>ратна</w:t>
            </w:r>
            <w:r w:rsidRPr="0087376B">
              <w:rPr>
                <w:rFonts w:ascii="Arial Narrow" w:eastAsia="Times New Roman" w:hAnsi="Arial Narrow" w:cs="Calibri"/>
              </w:rPr>
              <w:t xml:space="preserve"> </w:t>
            </w:r>
            <w:r w:rsidR="005B20F8">
              <w:rPr>
                <w:rFonts w:ascii="Arial Narrow" w:eastAsia="Times New Roman" w:hAnsi="Arial Narrow" w:cs="Calibri"/>
              </w:rPr>
              <w:t>потраживања</w:t>
            </w:r>
            <w:r w:rsidRPr="0087376B">
              <w:rPr>
                <w:rFonts w:ascii="Arial Narrow" w:eastAsia="Times New Roman" w:hAnsi="Arial Narrow" w:cs="Calibri"/>
              </w:rPr>
              <w:t xml:space="preserve"> (</w:t>
            </w:r>
            <w:r w:rsidR="005B20F8">
              <w:rPr>
                <w:rFonts w:ascii="Arial Narrow" w:eastAsia="Times New Roman" w:hAnsi="Arial Narrow" w:cs="Calibri"/>
              </w:rPr>
              <w:t>РТ</w:t>
            </w:r>
            <w:r w:rsidRPr="0087376B">
              <w:rPr>
                <w:rFonts w:ascii="Arial Narrow" w:eastAsia="Times New Roman" w:hAnsi="Arial Narrow" w:cs="Calibri"/>
              </w:rPr>
              <w:t>)</w:t>
            </w:r>
          </w:p>
        </w:tc>
        <w:tc>
          <w:tcPr>
            <w:tcW w:w="1323" w:type="pct"/>
            <w:tcBorders>
              <w:top w:val="nil"/>
              <w:left w:val="nil"/>
              <w:bottom w:val="single" w:sz="8" w:space="0" w:color="4F81BD"/>
              <w:right w:val="nil"/>
            </w:tcBorders>
            <w:shd w:val="clear" w:color="auto" w:fill="auto"/>
            <w:noWrap/>
            <w:vAlign w:val="center"/>
            <w:hideMark/>
          </w:tcPr>
          <w:p w14:paraId="56DAC3B6" w14:textId="77777777" w:rsidR="007B6BE3" w:rsidRPr="0087376B" w:rsidRDefault="007B6BE3" w:rsidP="007B6BE3">
            <w:pPr>
              <w:spacing w:after="0" w:line="240" w:lineRule="auto"/>
              <w:jc w:val="center"/>
              <w:rPr>
                <w:rFonts w:ascii="Arial Narrow" w:eastAsia="Times New Roman" w:hAnsi="Arial Narrow" w:cs="Calibri"/>
              </w:rPr>
            </w:pPr>
            <w:r w:rsidRPr="0087376B">
              <w:rPr>
                <w:rFonts w:ascii="Arial Narrow" w:eastAsia="Times New Roman" w:hAnsi="Arial Narrow" w:cs="Calibri"/>
              </w:rPr>
              <w:t>√</w:t>
            </w:r>
          </w:p>
        </w:tc>
        <w:tc>
          <w:tcPr>
            <w:tcW w:w="867" w:type="pct"/>
            <w:tcBorders>
              <w:top w:val="nil"/>
              <w:left w:val="nil"/>
              <w:bottom w:val="single" w:sz="8" w:space="0" w:color="0070C0"/>
              <w:right w:val="single" w:sz="8" w:space="0" w:color="0070C0"/>
            </w:tcBorders>
            <w:shd w:val="clear" w:color="auto" w:fill="auto"/>
            <w:noWrap/>
            <w:vAlign w:val="center"/>
            <w:hideMark/>
          </w:tcPr>
          <w:p w14:paraId="21930B30" w14:textId="77777777" w:rsidR="007B6BE3" w:rsidRPr="0087376B" w:rsidRDefault="007B6BE3" w:rsidP="007B6BE3">
            <w:pPr>
              <w:spacing w:after="0" w:line="240" w:lineRule="auto"/>
              <w:jc w:val="right"/>
              <w:rPr>
                <w:rFonts w:ascii="Arial Narrow" w:eastAsia="Times New Roman" w:hAnsi="Arial Narrow" w:cs="Calibri"/>
              </w:rPr>
            </w:pPr>
            <w:r w:rsidRPr="0087376B">
              <w:rPr>
                <w:rFonts w:ascii="Arial Narrow" w:eastAsia="Times New Roman" w:hAnsi="Arial Narrow" w:cs="Calibri"/>
              </w:rPr>
              <w:t>38,69</w:t>
            </w:r>
          </w:p>
        </w:tc>
      </w:tr>
    </w:tbl>
    <w:p w14:paraId="0A9A02B8" w14:textId="77777777" w:rsidR="007B6BE3" w:rsidRPr="0087376B" w:rsidRDefault="007B6BE3" w:rsidP="007B6BE3">
      <w:pPr>
        <w:pStyle w:val="NoSpacing"/>
        <w:spacing w:line="276" w:lineRule="auto"/>
        <w:ind w:left="1288"/>
        <w:jc w:val="both"/>
        <w:rPr>
          <w:rFonts w:ascii="Arial" w:hAnsi="Arial" w:cs="Arial"/>
          <w:szCs w:val="24"/>
          <w:lang w:val="hr-HR"/>
        </w:rPr>
      </w:pPr>
    </w:p>
    <w:p w14:paraId="51670D22" w14:textId="77777777" w:rsidR="007B6BE3" w:rsidRPr="0087376B" w:rsidRDefault="007B6BE3" w:rsidP="007B6BE3">
      <w:pPr>
        <w:pStyle w:val="Heading3"/>
        <w:spacing w:before="0" w:line="240" w:lineRule="auto"/>
        <w:ind w:left="1288"/>
        <w:rPr>
          <w:sz w:val="20"/>
        </w:rPr>
      </w:pPr>
    </w:p>
    <w:p w14:paraId="796FA558" w14:textId="77777777" w:rsidR="007B6BE3" w:rsidRPr="0092788C" w:rsidRDefault="005B20F8" w:rsidP="0092788C">
      <w:pPr>
        <w:pStyle w:val="Heading3"/>
        <w:numPr>
          <w:ilvl w:val="2"/>
          <w:numId w:val="1"/>
        </w:numPr>
        <w:spacing w:before="0"/>
        <w:ind w:left="993" w:hanging="567"/>
        <w:rPr>
          <w:rFonts w:ascii="Arial" w:hAnsi="Arial" w:cs="Arial"/>
          <w:b w:val="0"/>
          <w:color w:val="auto"/>
        </w:rPr>
      </w:pPr>
      <w:bookmarkStart w:id="84" w:name="_Toc149810610"/>
      <w:r>
        <w:rPr>
          <w:rFonts w:ascii="Arial" w:hAnsi="Arial" w:cs="Arial"/>
          <w:b w:val="0"/>
          <w:color w:val="auto"/>
        </w:rPr>
        <w:t>Каматна</w:t>
      </w:r>
      <w:r w:rsidR="007B6BE3" w:rsidRPr="0087376B">
        <w:rPr>
          <w:rFonts w:ascii="Arial" w:hAnsi="Arial" w:cs="Arial"/>
          <w:b w:val="0"/>
          <w:color w:val="auto"/>
        </w:rPr>
        <w:t xml:space="preserve"> </w:t>
      </w:r>
      <w:r>
        <w:rPr>
          <w:rFonts w:ascii="Arial" w:hAnsi="Arial" w:cs="Arial"/>
          <w:b w:val="0"/>
          <w:color w:val="auto"/>
        </w:rPr>
        <w:t>структура</w:t>
      </w:r>
      <w:r w:rsidR="007B6BE3" w:rsidRPr="0087376B">
        <w:rPr>
          <w:rFonts w:ascii="Arial" w:hAnsi="Arial" w:cs="Arial"/>
          <w:b w:val="0"/>
          <w:color w:val="auto"/>
        </w:rPr>
        <w:t xml:space="preserve"> </w:t>
      </w:r>
      <w:r>
        <w:rPr>
          <w:rFonts w:ascii="Arial" w:hAnsi="Arial" w:cs="Arial"/>
          <w:b w:val="0"/>
          <w:color w:val="auto"/>
        </w:rPr>
        <w:t>унутрашњег</w:t>
      </w:r>
      <w:r w:rsidR="007B6BE3" w:rsidRPr="0087376B">
        <w:rPr>
          <w:rFonts w:ascii="Arial" w:hAnsi="Arial" w:cs="Arial"/>
          <w:b w:val="0"/>
          <w:color w:val="auto"/>
        </w:rPr>
        <w:t xml:space="preserve"> </w:t>
      </w:r>
      <w:r>
        <w:rPr>
          <w:rFonts w:ascii="Arial" w:hAnsi="Arial" w:cs="Arial"/>
          <w:b w:val="0"/>
          <w:color w:val="auto"/>
        </w:rPr>
        <w:t>дуга</w:t>
      </w:r>
      <w:r w:rsidR="007B6BE3" w:rsidRPr="0087376B">
        <w:rPr>
          <w:rFonts w:ascii="Arial" w:hAnsi="Arial" w:cs="Arial"/>
          <w:b w:val="0"/>
          <w:color w:val="auto"/>
        </w:rPr>
        <w:t xml:space="preserve"> </w:t>
      </w:r>
      <w:r>
        <w:rPr>
          <w:rFonts w:ascii="Arial" w:hAnsi="Arial" w:cs="Arial"/>
          <w:b w:val="0"/>
          <w:color w:val="auto"/>
        </w:rPr>
        <w:t>Федерације</w:t>
      </w:r>
      <w:r w:rsidR="007B6BE3" w:rsidRPr="0087376B">
        <w:rPr>
          <w:rFonts w:ascii="Arial" w:hAnsi="Arial" w:cs="Arial"/>
          <w:b w:val="0"/>
          <w:color w:val="auto"/>
        </w:rPr>
        <w:t xml:space="preserve"> </w:t>
      </w:r>
      <w:r>
        <w:rPr>
          <w:rFonts w:ascii="Arial" w:hAnsi="Arial" w:cs="Arial"/>
          <w:b w:val="0"/>
          <w:color w:val="auto"/>
        </w:rPr>
        <w:t>БиХ</w:t>
      </w:r>
      <w:bookmarkEnd w:id="84"/>
    </w:p>
    <w:p w14:paraId="4B27128F" w14:textId="77777777" w:rsidR="007B6BE3" w:rsidRPr="0087376B" w:rsidRDefault="007B6BE3" w:rsidP="007B6BE3">
      <w:pPr>
        <w:pStyle w:val="NoSpacing"/>
        <w:spacing w:line="276" w:lineRule="auto"/>
        <w:ind w:left="1288"/>
        <w:jc w:val="both"/>
        <w:rPr>
          <w:rFonts w:ascii="Arial" w:hAnsi="Arial" w:cs="Arial"/>
          <w:sz w:val="20"/>
          <w:szCs w:val="24"/>
          <w:lang w:val="hr-HR"/>
        </w:rPr>
      </w:pPr>
    </w:p>
    <w:p w14:paraId="34FFDFE0" w14:textId="77777777" w:rsidR="007B6BE3" w:rsidRPr="0087376B" w:rsidRDefault="007B6BE3" w:rsidP="007B6BE3">
      <w:pPr>
        <w:spacing w:after="0" w:line="240" w:lineRule="auto"/>
        <w:rPr>
          <w:rFonts w:ascii="Arial" w:hAnsi="Arial" w:cs="Arial"/>
          <w:szCs w:val="24"/>
        </w:rPr>
      </w:pPr>
    </w:p>
    <w:p w14:paraId="43FE29EC" w14:textId="6FD5DD58" w:rsidR="007B6BE3" w:rsidRPr="0087376B" w:rsidRDefault="005B20F8" w:rsidP="007B6BE3">
      <w:pPr>
        <w:spacing w:after="0" w:line="240" w:lineRule="auto"/>
        <w:rPr>
          <w:rFonts w:ascii="Arial" w:hAnsi="Arial" w:cs="Arial"/>
          <w:szCs w:val="24"/>
        </w:rPr>
      </w:pPr>
      <w:r w:rsidRPr="00196EEC">
        <w:rPr>
          <w:rFonts w:ascii="Arial" w:hAnsi="Arial" w:cs="Arial"/>
          <w:szCs w:val="24"/>
        </w:rPr>
        <w:t>Слика</w:t>
      </w:r>
      <w:r w:rsidR="007B6BE3" w:rsidRPr="00196EEC">
        <w:rPr>
          <w:rFonts w:ascii="Arial" w:hAnsi="Arial" w:cs="Arial"/>
          <w:szCs w:val="24"/>
        </w:rPr>
        <w:t xml:space="preserve"> 4. </w:t>
      </w:r>
      <w:r w:rsidRPr="00196EEC">
        <w:rPr>
          <w:rFonts w:ascii="Arial" w:hAnsi="Arial" w:cs="Arial"/>
          <w:szCs w:val="24"/>
        </w:rPr>
        <w:t>Структура</w:t>
      </w:r>
      <w:r w:rsidR="007B6BE3" w:rsidRPr="00196EEC">
        <w:rPr>
          <w:rFonts w:ascii="Arial" w:hAnsi="Arial" w:cs="Arial"/>
          <w:szCs w:val="24"/>
        </w:rPr>
        <w:t xml:space="preserve"> </w:t>
      </w:r>
      <w:r w:rsidRPr="00196EEC">
        <w:rPr>
          <w:rFonts w:ascii="Arial" w:hAnsi="Arial" w:cs="Arial"/>
          <w:szCs w:val="24"/>
        </w:rPr>
        <w:t>унутрашњег</w:t>
      </w:r>
      <w:r w:rsidR="007B6BE3" w:rsidRPr="00196EEC">
        <w:rPr>
          <w:rFonts w:ascii="Arial" w:hAnsi="Arial" w:cs="Arial"/>
          <w:szCs w:val="24"/>
        </w:rPr>
        <w:t xml:space="preserve"> </w:t>
      </w:r>
      <w:r w:rsidRPr="00196EEC">
        <w:rPr>
          <w:rFonts w:ascii="Arial" w:hAnsi="Arial" w:cs="Arial"/>
          <w:szCs w:val="24"/>
        </w:rPr>
        <w:t>дуга</w:t>
      </w:r>
      <w:r w:rsidR="007B6BE3" w:rsidRPr="00196EEC">
        <w:rPr>
          <w:rFonts w:ascii="Arial" w:hAnsi="Arial" w:cs="Arial"/>
          <w:szCs w:val="24"/>
        </w:rPr>
        <w:t xml:space="preserve"> </w:t>
      </w:r>
      <w:r w:rsidRPr="00196EEC">
        <w:rPr>
          <w:rFonts w:ascii="Arial" w:hAnsi="Arial" w:cs="Arial"/>
          <w:szCs w:val="24"/>
        </w:rPr>
        <w:t>Федерације</w:t>
      </w:r>
      <w:r w:rsidR="007B6BE3" w:rsidRPr="00196EEC">
        <w:rPr>
          <w:rFonts w:ascii="Arial" w:hAnsi="Arial" w:cs="Arial"/>
          <w:szCs w:val="24"/>
        </w:rPr>
        <w:t xml:space="preserve"> </w:t>
      </w:r>
      <w:r w:rsidRPr="00196EEC">
        <w:rPr>
          <w:rFonts w:ascii="Arial" w:hAnsi="Arial" w:cs="Arial"/>
          <w:szCs w:val="24"/>
        </w:rPr>
        <w:t>БиХ</w:t>
      </w:r>
      <w:r w:rsidR="007B6BE3" w:rsidRPr="00196EEC">
        <w:rPr>
          <w:rFonts w:ascii="Arial" w:hAnsi="Arial" w:cs="Arial"/>
          <w:szCs w:val="24"/>
        </w:rPr>
        <w:t xml:space="preserve"> </w:t>
      </w:r>
      <w:r w:rsidRPr="00196EEC">
        <w:rPr>
          <w:rFonts w:ascii="Arial" w:hAnsi="Arial" w:cs="Arial"/>
          <w:szCs w:val="24"/>
        </w:rPr>
        <w:t>по</w:t>
      </w:r>
      <w:r w:rsidR="007B6BE3" w:rsidRPr="00196EEC">
        <w:rPr>
          <w:rFonts w:ascii="Arial" w:hAnsi="Arial" w:cs="Arial"/>
          <w:szCs w:val="24"/>
        </w:rPr>
        <w:t xml:space="preserve"> </w:t>
      </w:r>
      <w:r w:rsidRPr="00196EEC">
        <w:rPr>
          <w:rFonts w:ascii="Arial" w:hAnsi="Arial" w:cs="Arial"/>
          <w:szCs w:val="24"/>
        </w:rPr>
        <w:t>висини</w:t>
      </w:r>
      <w:r w:rsidR="007B6BE3" w:rsidRPr="00196EEC">
        <w:rPr>
          <w:rFonts w:ascii="Arial" w:hAnsi="Arial" w:cs="Arial"/>
          <w:szCs w:val="24"/>
        </w:rPr>
        <w:t xml:space="preserve"> </w:t>
      </w:r>
      <w:r w:rsidRPr="00196EEC">
        <w:rPr>
          <w:rFonts w:ascii="Arial" w:hAnsi="Arial" w:cs="Arial"/>
          <w:szCs w:val="24"/>
        </w:rPr>
        <w:t>каматне</w:t>
      </w:r>
      <w:r w:rsidR="007B6BE3" w:rsidRPr="00196EEC">
        <w:rPr>
          <w:rFonts w:ascii="Arial" w:hAnsi="Arial" w:cs="Arial"/>
          <w:szCs w:val="24"/>
        </w:rPr>
        <w:t xml:space="preserve"> </w:t>
      </w:r>
      <w:r w:rsidRPr="00196EEC">
        <w:rPr>
          <w:rFonts w:ascii="Arial" w:hAnsi="Arial" w:cs="Arial"/>
          <w:szCs w:val="24"/>
        </w:rPr>
        <w:t>стопе</w:t>
      </w:r>
      <w:r w:rsidR="007B6BE3" w:rsidRPr="00196EEC">
        <w:rPr>
          <w:rFonts w:ascii="Arial" w:hAnsi="Arial" w:cs="Arial"/>
          <w:szCs w:val="24"/>
        </w:rPr>
        <w:t xml:space="preserve"> (</w:t>
      </w:r>
      <w:r w:rsidRPr="00196EEC">
        <w:rPr>
          <w:rFonts w:ascii="Arial" w:hAnsi="Arial" w:cs="Arial"/>
          <w:szCs w:val="24"/>
        </w:rPr>
        <w:t>у</w:t>
      </w:r>
      <w:r w:rsidR="007B6BE3" w:rsidRPr="00196EEC">
        <w:rPr>
          <w:rFonts w:ascii="Arial" w:hAnsi="Arial" w:cs="Arial"/>
          <w:szCs w:val="24"/>
        </w:rPr>
        <w:t xml:space="preserve"> </w:t>
      </w:r>
      <w:r w:rsidRPr="00196EEC">
        <w:rPr>
          <w:rFonts w:ascii="Arial" w:hAnsi="Arial" w:cs="Arial"/>
          <w:szCs w:val="24"/>
        </w:rPr>
        <w:t>мил</w:t>
      </w:r>
      <w:r w:rsidR="007B6BE3" w:rsidRPr="00196EEC">
        <w:rPr>
          <w:rFonts w:ascii="Arial" w:hAnsi="Arial" w:cs="Arial"/>
          <w:szCs w:val="24"/>
        </w:rPr>
        <w:t xml:space="preserve">. </w:t>
      </w:r>
      <w:r w:rsidRPr="00196EEC">
        <w:rPr>
          <w:rFonts w:ascii="Arial" w:hAnsi="Arial" w:cs="Arial"/>
          <w:szCs w:val="24"/>
        </w:rPr>
        <w:t>КМ</w:t>
      </w:r>
      <w:r w:rsidR="007B6BE3" w:rsidRPr="00196EEC">
        <w:rPr>
          <w:rFonts w:ascii="Arial" w:hAnsi="Arial" w:cs="Arial"/>
          <w:szCs w:val="24"/>
        </w:rPr>
        <w:t>)</w:t>
      </w:r>
      <w:r w:rsidR="007B6BE3" w:rsidRPr="0087376B">
        <w:rPr>
          <w:rFonts w:ascii="Arial" w:hAnsi="Arial" w:cs="Arial"/>
          <w:szCs w:val="24"/>
        </w:rPr>
        <w:t xml:space="preserve">   </w:t>
      </w:r>
    </w:p>
    <w:p w14:paraId="089B0AAB" w14:textId="670B23F6" w:rsidR="007B6BE3" w:rsidRPr="0087376B" w:rsidRDefault="00196EEC" w:rsidP="007B6BE3">
      <w:pPr>
        <w:spacing w:after="0" w:line="240" w:lineRule="auto"/>
        <w:rPr>
          <w:rFonts w:ascii="Arial" w:hAnsi="Arial" w:cs="Arial"/>
          <w:szCs w:val="24"/>
        </w:rPr>
      </w:pPr>
      <w:r>
        <w:rPr>
          <w:rFonts w:ascii="Arial" w:hAnsi="Arial" w:cs="Arial"/>
          <w:noProof/>
          <w:szCs w:val="24"/>
        </w:rPr>
        <w:drawing>
          <wp:inline distT="0" distB="0" distL="0" distR="0" wp14:anchorId="58C63BB5" wp14:editId="1B0EC683">
            <wp:extent cx="5846400" cy="2383772"/>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6400" cy="2383772"/>
                    </a:xfrm>
                    <a:prstGeom prst="rect">
                      <a:avLst/>
                    </a:prstGeom>
                    <a:noFill/>
                  </pic:spPr>
                </pic:pic>
              </a:graphicData>
            </a:graphic>
          </wp:inline>
        </w:drawing>
      </w:r>
    </w:p>
    <w:p w14:paraId="3EF503FC" w14:textId="77777777" w:rsidR="007B6BE3" w:rsidRPr="0087376B" w:rsidRDefault="007B6BE3" w:rsidP="007B6BE3">
      <w:pPr>
        <w:spacing w:after="0" w:line="240" w:lineRule="auto"/>
        <w:rPr>
          <w:rFonts w:ascii="Arial" w:hAnsi="Arial" w:cs="Arial"/>
          <w:szCs w:val="24"/>
        </w:rPr>
      </w:pPr>
    </w:p>
    <w:p w14:paraId="58A6A76C" w14:textId="77777777" w:rsidR="007B6BE3" w:rsidRPr="0087376B" w:rsidRDefault="007B6BE3" w:rsidP="007B6BE3">
      <w:pPr>
        <w:spacing w:after="0" w:line="240" w:lineRule="auto"/>
        <w:rPr>
          <w:rFonts w:ascii="Arial" w:hAnsi="Arial" w:cs="Arial"/>
          <w:szCs w:val="24"/>
        </w:rPr>
      </w:pPr>
    </w:p>
    <w:p w14:paraId="0C71C203" w14:textId="77777777" w:rsidR="007B6BE3" w:rsidRPr="0092788C" w:rsidRDefault="005B20F8" w:rsidP="0092788C">
      <w:pPr>
        <w:pStyle w:val="Heading1"/>
        <w:numPr>
          <w:ilvl w:val="0"/>
          <w:numId w:val="1"/>
        </w:numPr>
        <w:spacing w:before="0"/>
        <w:ind w:left="567" w:hanging="425"/>
        <w:jc w:val="both"/>
        <w:rPr>
          <w:rFonts w:ascii="Arial" w:hAnsi="Arial" w:cs="Arial"/>
          <w:b w:val="0"/>
          <w:color w:val="auto"/>
        </w:rPr>
      </w:pPr>
      <w:bookmarkStart w:id="85" w:name="_Toc100582019"/>
      <w:bookmarkStart w:id="86" w:name="_Toc100654509"/>
      <w:bookmarkStart w:id="87" w:name="_Toc100667322"/>
      <w:bookmarkStart w:id="88" w:name="_Toc100751747"/>
      <w:bookmarkStart w:id="89" w:name="_Toc100754204"/>
      <w:bookmarkStart w:id="90" w:name="_Toc100754648"/>
      <w:bookmarkStart w:id="91" w:name="_Toc100755040"/>
      <w:bookmarkStart w:id="92" w:name="_Toc100818771"/>
      <w:bookmarkStart w:id="93" w:name="_Toc100820477"/>
      <w:bookmarkStart w:id="94" w:name="_Toc100822765"/>
      <w:bookmarkStart w:id="95" w:name="_Toc100823304"/>
      <w:bookmarkStart w:id="96" w:name="_Toc100823747"/>
      <w:bookmarkStart w:id="97" w:name="_Toc149810611"/>
      <w:bookmarkEnd w:id="85"/>
      <w:bookmarkEnd w:id="86"/>
      <w:bookmarkEnd w:id="87"/>
      <w:bookmarkEnd w:id="88"/>
      <w:bookmarkEnd w:id="89"/>
      <w:bookmarkEnd w:id="90"/>
      <w:bookmarkEnd w:id="91"/>
      <w:bookmarkEnd w:id="92"/>
      <w:bookmarkEnd w:id="93"/>
      <w:bookmarkEnd w:id="94"/>
      <w:bookmarkEnd w:id="95"/>
      <w:bookmarkEnd w:id="96"/>
      <w:r w:rsidRPr="0092788C">
        <w:rPr>
          <w:rFonts w:ascii="Arial" w:hAnsi="Arial" w:cs="Arial"/>
          <w:b w:val="0"/>
          <w:color w:val="auto"/>
        </w:rPr>
        <w:t>РИЗИЦИ</w:t>
      </w:r>
      <w:r w:rsidR="007B6BE3" w:rsidRPr="0092788C">
        <w:rPr>
          <w:rFonts w:ascii="Arial" w:hAnsi="Arial" w:cs="Arial"/>
          <w:b w:val="0"/>
          <w:color w:val="auto"/>
        </w:rPr>
        <w:t xml:space="preserve"> </w:t>
      </w:r>
      <w:r w:rsidRPr="0092788C">
        <w:rPr>
          <w:rFonts w:ascii="Arial" w:hAnsi="Arial" w:cs="Arial"/>
          <w:b w:val="0"/>
          <w:color w:val="auto"/>
        </w:rPr>
        <w:t>ПОРТФОЛИЈА</w:t>
      </w:r>
      <w:r w:rsidR="007B6BE3" w:rsidRPr="0092788C">
        <w:rPr>
          <w:rFonts w:ascii="Arial" w:hAnsi="Arial" w:cs="Arial"/>
          <w:b w:val="0"/>
          <w:color w:val="auto"/>
        </w:rPr>
        <w:t xml:space="preserve"> </w:t>
      </w:r>
      <w:r w:rsidRPr="0092788C">
        <w:rPr>
          <w:rFonts w:ascii="Arial" w:hAnsi="Arial" w:cs="Arial"/>
          <w:b w:val="0"/>
          <w:color w:val="auto"/>
        </w:rPr>
        <w:t>ДУГА</w:t>
      </w:r>
      <w:r w:rsidR="007B6BE3" w:rsidRPr="0092788C">
        <w:rPr>
          <w:rFonts w:ascii="Arial" w:hAnsi="Arial" w:cs="Arial"/>
          <w:b w:val="0"/>
          <w:color w:val="auto"/>
        </w:rPr>
        <w:t xml:space="preserve"> </w:t>
      </w:r>
      <w:r w:rsidRPr="0092788C">
        <w:rPr>
          <w:rFonts w:ascii="Arial" w:hAnsi="Arial" w:cs="Arial"/>
          <w:b w:val="0"/>
          <w:color w:val="auto"/>
        </w:rPr>
        <w:t>ФЕДЕРАЦИЈЕ</w:t>
      </w:r>
      <w:r w:rsidR="007B6BE3" w:rsidRPr="0092788C">
        <w:rPr>
          <w:rFonts w:ascii="Arial" w:hAnsi="Arial" w:cs="Arial"/>
          <w:b w:val="0"/>
          <w:color w:val="auto"/>
        </w:rPr>
        <w:t xml:space="preserve"> </w:t>
      </w:r>
      <w:r w:rsidRPr="0092788C">
        <w:rPr>
          <w:rFonts w:ascii="Arial" w:hAnsi="Arial" w:cs="Arial"/>
          <w:b w:val="0"/>
          <w:color w:val="auto"/>
        </w:rPr>
        <w:t>БиХ</w:t>
      </w:r>
      <w:bookmarkEnd w:id="97"/>
    </w:p>
    <w:p w14:paraId="032CB686" w14:textId="77777777" w:rsidR="007B6BE3" w:rsidRPr="0087376B" w:rsidRDefault="007B6BE3" w:rsidP="007B6BE3">
      <w:pPr>
        <w:pStyle w:val="Heading2"/>
        <w:spacing w:before="0"/>
        <w:ind w:left="1004"/>
        <w:rPr>
          <w:rFonts w:ascii="Arial" w:hAnsi="Arial" w:cs="Arial"/>
          <w:b w:val="0"/>
          <w:color w:val="auto"/>
        </w:rPr>
      </w:pPr>
    </w:p>
    <w:p w14:paraId="6562E674" w14:textId="77777777" w:rsidR="007B6BE3" w:rsidRPr="0092788C" w:rsidRDefault="005B20F8" w:rsidP="0092788C">
      <w:pPr>
        <w:pStyle w:val="Heading2"/>
        <w:numPr>
          <w:ilvl w:val="1"/>
          <w:numId w:val="1"/>
        </w:numPr>
        <w:spacing w:before="0"/>
        <w:ind w:left="993" w:hanging="709"/>
        <w:rPr>
          <w:rFonts w:ascii="Arial" w:hAnsi="Arial" w:cs="Arial"/>
          <w:b w:val="0"/>
          <w:color w:val="auto"/>
          <w:sz w:val="24"/>
          <w:szCs w:val="24"/>
        </w:rPr>
      </w:pPr>
      <w:bookmarkStart w:id="98" w:name="_Toc149810612"/>
      <w:r w:rsidRPr="0092788C">
        <w:rPr>
          <w:rFonts w:ascii="Arial" w:hAnsi="Arial" w:cs="Arial"/>
          <w:b w:val="0"/>
          <w:color w:val="auto"/>
          <w:sz w:val="24"/>
          <w:szCs w:val="24"/>
        </w:rPr>
        <w:t>Карактеристике</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трошкова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и</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ризика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портфолија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дуга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Федерације</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БиХ</w:t>
      </w:r>
      <w:bookmarkEnd w:id="98"/>
    </w:p>
    <w:p w14:paraId="1E2FDDB1" w14:textId="77777777" w:rsidR="007B6BE3" w:rsidRPr="0087376B" w:rsidRDefault="007B6BE3" w:rsidP="007B6BE3">
      <w:pPr>
        <w:pStyle w:val="ParagraphNumbering"/>
        <w:keepNext/>
        <w:numPr>
          <w:ilvl w:val="0"/>
          <w:numId w:val="0"/>
        </w:numPr>
        <w:tabs>
          <w:tab w:val="num" w:pos="3600"/>
        </w:tabs>
        <w:spacing w:after="0" w:line="276" w:lineRule="auto"/>
        <w:jc w:val="both"/>
        <w:rPr>
          <w:rFonts w:ascii="Arial" w:hAnsi="Arial" w:cs="Arial"/>
        </w:rPr>
      </w:pPr>
    </w:p>
    <w:p w14:paraId="2D5888D9" w14:textId="77777777" w:rsidR="007B6BE3" w:rsidRPr="0087376B" w:rsidRDefault="005B20F8" w:rsidP="007B6BE3">
      <w:pPr>
        <w:pStyle w:val="ParagraphNumbering"/>
        <w:keepNext/>
        <w:numPr>
          <w:ilvl w:val="0"/>
          <w:numId w:val="0"/>
        </w:numPr>
        <w:spacing w:after="0" w:line="276" w:lineRule="auto"/>
        <w:ind w:right="-23" w:firstLine="284"/>
        <w:jc w:val="both"/>
        <w:rPr>
          <w:rFonts w:ascii="Arial" w:hAnsi="Arial" w:cs="Arial"/>
          <w:sz w:val="22"/>
        </w:rPr>
      </w:pPr>
      <w:r>
        <w:rPr>
          <w:rFonts w:ascii="Arial" w:hAnsi="Arial" w:cs="Arial"/>
          <w:sz w:val="22"/>
        </w:rPr>
        <w:t>Просјечна</w:t>
      </w:r>
      <w:r w:rsidR="007B6BE3" w:rsidRPr="0087376B">
        <w:rPr>
          <w:rFonts w:ascii="Arial" w:hAnsi="Arial" w:cs="Arial"/>
          <w:sz w:val="22"/>
        </w:rPr>
        <w:t xml:space="preserve"> </w:t>
      </w:r>
      <w:r>
        <w:rPr>
          <w:rFonts w:ascii="Arial" w:hAnsi="Arial" w:cs="Arial"/>
          <w:sz w:val="22"/>
        </w:rPr>
        <w:t>пондерисана</w:t>
      </w:r>
      <w:r w:rsidR="007B6BE3" w:rsidRPr="0087376B">
        <w:rPr>
          <w:rFonts w:ascii="Arial" w:hAnsi="Arial" w:cs="Arial"/>
          <w:sz w:val="22"/>
        </w:rPr>
        <w:t xml:space="preserve"> </w:t>
      </w:r>
      <w:r>
        <w:rPr>
          <w:rFonts w:ascii="Arial" w:hAnsi="Arial" w:cs="Arial"/>
          <w:sz w:val="22"/>
        </w:rPr>
        <w:t>каматна</w:t>
      </w:r>
      <w:r w:rsidR="007B6BE3" w:rsidRPr="0087376B">
        <w:rPr>
          <w:rFonts w:ascii="Arial" w:hAnsi="Arial" w:cs="Arial"/>
          <w:sz w:val="22"/>
        </w:rPr>
        <w:t xml:space="preserve"> </w:t>
      </w:r>
      <w:r>
        <w:rPr>
          <w:rFonts w:ascii="Arial" w:hAnsi="Arial" w:cs="Arial"/>
          <w:sz w:val="22"/>
        </w:rPr>
        <w:t>стопа</w:t>
      </w:r>
      <w:r w:rsidR="007B6BE3" w:rsidRPr="0087376B">
        <w:rPr>
          <w:rFonts w:ascii="Arial" w:hAnsi="Arial" w:cs="Arial"/>
          <w:sz w:val="22"/>
        </w:rPr>
        <w:t xml:space="preserve"> </w:t>
      </w:r>
      <w:r>
        <w:rPr>
          <w:rFonts w:ascii="Arial" w:hAnsi="Arial" w:cs="Arial"/>
          <w:sz w:val="22"/>
        </w:rPr>
        <w:t>укупног</w:t>
      </w:r>
      <w:r w:rsidR="007B6BE3" w:rsidRPr="0087376B">
        <w:rPr>
          <w:rFonts w:ascii="Arial" w:hAnsi="Arial" w:cs="Arial"/>
          <w:sz w:val="22"/>
        </w:rPr>
        <w:t xml:space="preserve"> </w:t>
      </w:r>
      <w:r>
        <w:rPr>
          <w:rFonts w:ascii="Arial" w:hAnsi="Arial" w:cs="Arial"/>
          <w:sz w:val="22"/>
        </w:rPr>
        <w:t>портфолија</w:t>
      </w:r>
      <w:r w:rsidR="007B6BE3" w:rsidRPr="0087376B">
        <w:rPr>
          <w:rFonts w:ascii="Arial" w:hAnsi="Arial" w:cs="Arial"/>
          <w:sz w:val="22"/>
        </w:rPr>
        <w:t xml:space="preserve"> </w:t>
      </w:r>
      <w:r>
        <w:rPr>
          <w:rFonts w:ascii="Arial" w:hAnsi="Arial" w:cs="Arial"/>
          <w:sz w:val="22"/>
        </w:rPr>
        <w:t>дуга</w:t>
      </w:r>
      <w:r w:rsidR="007B6BE3" w:rsidRPr="0087376B">
        <w:rPr>
          <w:rFonts w:ascii="Arial" w:hAnsi="Arial" w:cs="Arial"/>
          <w:sz w:val="22"/>
        </w:rPr>
        <w:t xml:space="preserve"> </w:t>
      </w:r>
      <w:r>
        <w:rPr>
          <w:rFonts w:ascii="Arial" w:hAnsi="Arial" w:cs="Arial"/>
          <w:sz w:val="22"/>
        </w:rPr>
        <w:t>Федерације</w:t>
      </w:r>
      <w:r w:rsidR="007B6BE3" w:rsidRPr="0087376B">
        <w:rPr>
          <w:rFonts w:ascii="Arial" w:hAnsi="Arial" w:cs="Arial"/>
          <w:sz w:val="22"/>
        </w:rPr>
        <w:t xml:space="preserve"> </w:t>
      </w:r>
      <w:r>
        <w:rPr>
          <w:rFonts w:ascii="Arial" w:hAnsi="Arial" w:cs="Arial"/>
          <w:sz w:val="22"/>
        </w:rPr>
        <w:t>БиХ</w:t>
      </w:r>
      <w:r w:rsidR="007B6BE3" w:rsidRPr="0087376B">
        <w:rPr>
          <w:rFonts w:ascii="Arial" w:hAnsi="Arial" w:cs="Arial"/>
          <w:sz w:val="22"/>
        </w:rPr>
        <w:t xml:space="preserve"> </w:t>
      </w:r>
      <w:r>
        <w:rPr>
          <w:rFonts w:ascii="Arial" w:hAnsi="Arial" w:cs="Arial"/>
          <w:sz w:val="22"/>
        </w:rPr>
        <w:t>релативно</w:t>
      </w:r>
      <w:r w:rsidR="007B6BE3" w:rsidRPr="0087376B">
        <w:rPr>
          <w:rFonts w:ascii="Arial" w:hAnsi="Arial" w:cs="Arial"/>
          <w:sz w:val="22"/>
        </w:rPr>
        <w:t xml:space="preserve"> </w:t>
      </w:r>
      <w:r>
        <w:rPr>
          <w:rFonts w:ascii="Arial" w:hAnsi="Arial" w:cs="Arial"/>
          <w:sz w:val="22"/>
        </w:rPr>
        <w:t>је</w:t>
      </w:r>
      <w:r w:rsidR="007B6BE3" w:rsidRPr="0087376B">
        <w:rPr>
          <w:rFonts w:ascii="Arial" w:hAnsi="Arial" w:cs="Arial"/>
          <w:sz w:val="22"/>
        </w:rPr>
        <w:t xml:space="preserve"> </w:t>
      </w:r>
      <w:r>
        <w:rPr>
          <w:rFonts w:ascii="Arial" w:hAnsi="Arial" w:cs="Arial"/>
          <w:sz w:val="22"/>
        </w:rPr>
        <w:t>ниска</w:t>
      </w:r>
      <w:r w:rsidR="007B6BE3" w:rsidRPr="0087376B">
        <w:rPr>
          <w:rFonts w:ascii="Arial" w:hAnsi="Arial" w:cs="Arial"/>
          <w:sz w:val="22"/>
        </w:rPr>
        <w:t xml:space="preserve"> </w:t>
      </w:r>
      <w:r>
        <w:rPr>
          <w:rFonts w:ascii="Arial" w:hAnsi="Arial" w:cs="Arial"/>
          <w:sz w:val="22"/>
        </w:rPr>
        <w:t>и</w:t>
      </w:r>
      <w:r w:rsidR="007B6BE3" w:rsidRPr="0087376B">
        <w:rPr>
          <w:rFonts w:ascii="Arial" w:hAnsi="Arial" w:cs="Arial"/>
          <w:sz w:val="22"/>
        </w:rPr>
        <w:t xml:space="preserve"> </w:t>
      </w:r>
      <w:r>
        <w:rPr>
          <w:rFonts w:ascii="Arial" w:hAnsi="Arial" w:cs="Arial"/>
          <w:sz w:val="22"/>
        </w:rPr>
        <w:t>износи</w:t>
      </w:r>
      <w:r w:rsidR="007B6BE3" w:rsidRPr="0087376B">
        <w:rPr>
          <w:rFonts w:ascii="Arial" w:hAnsi="Arial" w:cs="Arial"/>
          <w:sz w:val="22"/>
        </w:rPr>
        <w:t xml:space="preserve"> 1,8%, </w:t>
      </w:r>
      <w:r>
        <w:rPr>
          <w:rFonts w:ascii="Arial" w:hAnsi="Arial" w:cs="Arial"/>
          <w:sz w:val="22"/>
        </w:rPr>
        <w:t>што</w:t>
      </w:r>
      <w:r w:rsidR="007B6BE3" w:rsidRPr="0087376B">
        <w:rPr>
          <w:rFonts w:ascii="Arial" w:hAnsi="Arial" w:cs="Arial"/>
          <w:sz w:val="22"/>
        </w:rPr>
        <w:t xml:space="preserve"> </w:t>
      </w:r>
      <w:r>
        <w:rPr>
          <w:rFonts w:ascii="Arial" w:hAnsi="Arial" w:cs="Arial"/>
          <w:sz w:val="22"/>
        </w:rPr>
        <w:t>је</w:t>
      </w:r>
      <w:r w:rsidR="007B6BE3" w:rsidRPr="0087376B">
        <w:rPr>
          <w:rFonts w:ascii="Arial" w:hAnsi="Arial" w:cs="Arial"/>
          <w:sz w:val="22"/>
        </w:rPr>
        <w:t xml:space="preserve"> </w:t>
      </w:r>
      <w:r>
        <w:rPr>
          <w:rFonts w:ascii="Arial" w:hAnsi="Arial" w:cs="Arial"/>
          <w:sz w:val="22"/>
        </w:rPr>
        <w:t>резултат</w:t>
      </w:r>
      <w:r w:rsidR="007B6BE3" w:rsidRPr="0087376B">
        <w:rPr>
          <w:rFonts w:ascii="Arial" w:hAnsi="Arial" w:cs="Arial"/>
          <w:sz w:val="22"/>
        </w:rPr>
        <w:t xml:space="preserve"> </w:t>
      </w:r>
      <w:r>
        <w:rPr>
          <w:rFonts w:ascii="Arial" w:hAnsi="Arial" w:cs="Arial"/>
          <w:sz w:val="22"/>
        </w:rPr>
        <w:t>односа</w:t>
      </w:r>
      <w:r w:rsidR="007B6BE3" w:rsidRPr="0087376B">
        <w:rPr>
          <w:rFonts w:ascii="Arial" w:hAnsi="Arial" w:cs="Arial"/>
          <w:sz w:val="22"/>
        </w:rPr>
        <w:t xml:space="preserve"> </w:t>
      </w:r>
      <w:r>
        <w:rPr>
          <w:rFonts w:ascii="Arial" w:hAnsi="Arial" w:cs="Arial"/>
          <w:sz w:val="22"/>
        </w:rPr>
        <w:t>обвезница</w:t>
      </w:r>
      <w:r w:rsidR="007B6BE3" w:rsidRPr="0087376B">
        <w:rPr>
          <w:rFonts w:ascii="Arial" w:hAnsi="Arial" w:cs="Arial"/>
          <w:sz w:val="22"/>
        </w:rPr>
        <w:t xml:space="preserve"> </w:t>
      </w:r>
      <w:r>
        <w:rPr>
          <w:rFonts w:ascii="Arial" w:hAnsi="Arial" w:cs="Arial"/>
          <w:sz w:val="22"/>
        </w:rPr>
        <w:t>емитованих</w:t>
      </w:r>
      <w:r w:rsidR="007B6BE3" w:rsidRPr="0087376B">
        <w:rPr>
          <w:rFonts w:ascii="Arial" w:hAnsi="Arial" w:cs="Arial"/>
          <w:sz w:val="22"/>
        </w:rPr>
        <w:t xml:space="preserve"> </w:t>
      </w:r>
      <w:r>
        <w:rPr>
          <w:rFonts w:ascii="Arial" w:hAnsi="Arial" w:cs="Arial"/>
          <w:sz w:val="22"/>
        </w:rPr>
        <w:t>за</w:t>
      </w:r>
      <w:r w:rsidR="007B6BE3" w:rsidRPr="0087376B">
        <w:rPr>
          <w:rFonts w:ascii="Arial" w:hAnsi="Arial" w:cs="Arial"/>
          <w:sz w:val="22"/>
        </w:rPr>
        <w:t xml:space="preserve"> </w:t>
      </w:r>
      <w:r>
        <w:rPr>
          <w:rFonts w:ascii="Arial" w:hAnsi="Arial" w:cs="Arial"/>
          <w:sz w:val="22"/>
        </w:rPr>
        <w:t>измирење</w:t>
      </w:r>
      <w:r w:rsidR="007B6BE3" w:rsidRPr="0087376B">
        <w:rPr>
          <w:rFonts w:ascii="Arial" w:hAnsi="Arial" w:cs="Arial"/>
          <w:sz w:val="22"/>
        </w:rPr>
        <w:t xml:space="preserve"> </w:t>
      </w:r>
      <w:r>
        <w:rPr>
          <w:rFonts w:ascii="Arial" w:hAnsi="Arial" w:cs="Arial"/>
          <w:sz w:val="22"/>
        </w:rPr>
        <w:t>обавеза</w:t>
      </w:r>
      <w:r w:rsidR="007B6BE3" w:rsidRPr="0087376B">
        <w:rPr>
          <w:rFonts w:ascii="Arial" w:hAnsi="Arial" w:cs="Arial"/>
          <w:sz w:val="22"/>
        </w:rPr>
        <w:t xml:space="preserve"> </w:t>
      </w:r>
      <w:r>
        <w:rPr>
          <w:rFonts w:ascii="Arial" w:hAnsi="Arial" w:cs="Arial"/>
          <w:sz w:val="22"/>
        </w:rPr>
        <w:t>по</w:t>
      </w:r>
      <w:r w:rsidR="007B6BE3" w:rsidRPr="0087376B">
        <w:rPr>
          <w:rFonts w:ascii="Arial" w:hAnsi="Arial" w:cs="Arial"/>
          <w:sz w:val="22"/>
        </w:rPr>
        <w:t xml:space="preserve"> </w:t>
      </w:r>
      <w:r>
        <w:rPr>
          <w:rFonts w:ascii="Arial" w:hAnsi="Arial" w:cs="Arial"/>
          <w:sz w:val="22"/>
        </w:rPr>
        <w:t>основу</w:t>
      </w:r>
      <w:r w:rsidR="007B6BE3" w:rsidRPr="0087376B">
        <w:rPr>
          <w:rFonts w:ascii="Arial" w:hAnsi="Arial" w:cs="Arial"/>
          <w:sz w:val="22"/>
        </w:rPr>
        <w:t xml:space="preserve"> </w:t>
      </w:r>
      <w:r>
        <w:rPr>
          <w:rFonts w:ascii="Arial" w:hAnsi="Arial" w:cs="Arial"/>
          <w:sz w:val="22"/>
        </w:rPr>
        <w:t>ратних</w:t>
      </w:r>
      <w:r w:rsidR="007B6BE3" w:rsidRPr="0087376B">
        <w:rPr>
          <w:rFonts w:ascii="Arial" w:hAnsi="Arial" w:cs="Arial"/>
          <w:sz w:val="22"/>
        </w:rPr>
        <w:t xml:space="preserve"> </w:t>
      </w:r>
      <w:r>
        <w:rPr>
          <w:rFonts w:ascii="Arial" w:hAnsi="Arial" w:cs="Arial"/>
          <w:sz w:val="22"/>
        </w:rPr>
        <w:t>потраживања</w:t>
      </w:r>
      <w:r w:rsidR="007B6BE3" w:rsidRPr="0087376B">
        <w:rPr>
          <w:rFonts w:ascii="Arial" w:hAnsi="Arial" w:cs="Arial"/>
          <w:sz w:val="22"/>
        </w:rPr>
        <w:t xml:space="preserve"> </w:t>
      </w:r>
      <w:r>
        <w:rPr>
          <w:rFonts w:ascii="Arial" w:hAnsi="Arial" w:cs="Arial"/>
          <w:sz w:val="22"/>
        </w:rPr>
        <w:t>које</w:t>
      </w:r>
      <w:r w:rsidR="007B6BE3" w:rsidRPr="0087376B">
        <w:rPr>
          <w:rFonts w:ascii="Arial" w:hAnsi="Arial" w:cs="Arial"/>
          <w:sz w:val="22"/>
        </w:rPr>
        <w:t xml:space="preserve"> </w:t>
      </w:r>
      <w:r>
        <w:rPr>
          <w:rFonts w:ascii="Arial" w:hAnsi="Arial" w:cs="Arial"/>
          <w:sz w:val="22"/>
        </w:rPr>
        <w:t>имају</w:t>
      </w:r>
      <w:r w:rsidR="007B6BE3" w:rsidRPr="0087376B">
        <w:rPr>
          <w:rFonts w:ascii="Arial" w:hAnsi="Arial" w:cs="Arial"/>
          <w:sz w:val="22"/>
        </w:rPr>
        <w:t xml:space="preserve"> </w:t>
      </w:r>
      <w:r>
        <w:rPr>
          <w:rFonts w:ascii="Arial" w:hAnsi="Arial" w:cs="Arial"/>
          <w:sz w:val="22"/>
        </w:rPr>
        <w:t>законом</w:t>
      </w:r>
      <w:r w:rsidR="007B6BE3" w:rsidRPr="0087376B">
        <w:rPr>
          <w:rFonts w:ascii="Arial" w:hAnsi="Arial" w:cs="Arial"/>
          <w:sz w:val="22"/>
        </w:rPr>
        <w:t xml:space="preserve"> </w:t>
      </w:r>
      <w:r>
        <w:rPr>
          <w:rFonts w:ascii="Arial" w:hAnsi="Arial" w:cs="Arial"/>
          <w:sz w:val="22"/>
        </w:rPr>
        <w:t>одређену</w:t>
      </w:r>
      <w:r w:rsidR="007B6BE3" w:rsidRPr="0087376B">
        <w:rPr>
          <w:rFonts w:ascii="Arial" w:hAnsi="Arial" w:cs="Arial"/>
          <w:sz w:val="22"/>
        </w:rPr>
        <w:t xml:space="preserve"> </w:t>
      </w:r>
      <w:r>
        <w:rPr>
          <w:rFonts w:ascii="Arial" w:hAnsi="Arial" w:cs="Arial"/>
          <w:sz w:val="22"/>
        </w:rPr>
        <w:t>каматну</w:t>
      </w:r>
      <w:r w:rsidR="007B6BE3" w:rsidRPr="0087376B">
        <w:rPr>
          <w:rFonts w:ascii="Arial" w:hAnsi="Arial" w:cs="Arial"/>
          <w:sz w:val="22"/>
        </w:rPr>
        <w:t xml:space="preserve"> </w:t>
      </w:r>
      <w:r>
        <w:rPr>
          <w:rFonts w:ascii="Arial" w:hAnsi="Arial" w:cs="Arial"/>
          <w:sz w:val="22"/>
        </w:rPr>
        <w:t>стопу</w:t>
      </w:r>
      <w:r w:rsidR="007B6BE3" w:rsidRPr="0087376B">
        <w:rPr>
          <w:rFonts w:ascii="Arial" w:hAnsi="Arial" w:cs="Arial"/>
          <w:sz w:val="22"/>
        </w:rPr>
        <w:t xml:space="preserve"> 2,5% (38,69 </w:t>
      </w:r>
      <w:r>
        <w:rPr>
          <w:rFonts w:ascii="Arial" w:hAnsi="Arial" w:cs="Arial"/>
          <w:sz w:val="22"/>
        </w:rPr>
        <w:t>мил</w:t>
      </w:r>
      <w:r w:rsidR="007B6BE3" w:rsidRPr="0087376B">
        <w:rPr>
          <w:rFonts w:ascii="Arial" w:hAnsi="Arial" w:cs="Arial"/>
          <w:sz w:val="22"/>
        </w:rPr>
        <w:t xml:space="preserve">. </w:t>
      </w:r>
      <w:r>
        <w:rPr>
          <w:rFonts w:ascii="Arial" w:hAnsi="Arial" w:cs="Arial"/>
          <w:sz w:val="22"/>
        </w:rPr>
        <w:t>КМ</w:t>
      </w:r>
      <w:r w:rsidR="007B6BE3" w:rsidRPr="0087376B">
        <w:rPr>
          <w:rFonts w:ascii="Arial" w:hAnsi="Arial" w:cs="Arial"/>
          <w:sz w:val="22"/>
        </w:rPr>
        <w:t xml:space="preserve">) </w:t>
      </w:r>
      <w:r>
        <w:rPr>
          <w:rFonts w:ascii="Arial" w:hAnsi="Arial" w:cs="Arial"/>
          <w:sz w:val="22"/>
        </w:rPr>
        <w:t>и</w:t>
      </w:r>
      <w:r w:rsidR="007B6BE3" w:rsidRPr="0087376B">
        <w:rPr>
          <w:rFonts w:ascii="Arial" w:hAnsi="Arial" w:cs="Arial"/>
          <w:sz w:val="22"/>
        </w:rPr>
        <w:t xml:space="preserve"> </w:t>
      </w:r>
      <w:r>
        <w:rPr>
          <w:rFonts w:ascii="Arial" w:hAnsi="Arial" w:cs="Arial"/>
          <w:sz w:val="22"/>
        </w:rPr>
        <w:t>тржишних</w:t>
      </w:r>
      <w:r w:rsidR="007B6BE3" w:rsidRPr="0087376B">
        <w:rPr>
          <w:rFonts w:ascii="Arial" w:hAnsi="Arial" w:cs="Arial"/>
          <w:sz w:val="22"/>
        </w:rPr>
        <w:t xml:space="preserve"> </w:t>
      </w:r>
      <w:r>
        <w:rPr>
          <w:rFonts w:ascii="Arial" w:hAnsi="Arial" w:cs="Arial"/>
          <w:sz w:val="22"/>
        </w:rPr>
        <w:t>краткорочних</w:t>
      </w:r>
      <w:r w:rsidR="007B6BE3" w:rsidRPr="0087376B">
        <w:rPr>
          <w:rFonts w:ascii="Arial" w:hAnsi="Arial" w:cs="Arial"/>
          <w:sz w:val="22"/>
        </w:rPr>
        <w:t xml:space="preserve"> </w:t>
      </w:r>
      <w:r>
        <w:rPr>
          <w:rFonts w:ascii="Arial" w:hAnsi="Arial" w:cs="Arial"/>
          <w:sz w:val="22"/>
        </w:rPr>
        <w:t>и</w:t>
      </w:r>
      <w:r w:rsidR="007B6BE3" w:rsidRPr="0087376B">
        <w:rPr>
          <w:rFonts w:ascii="Arial" w:hAnsi="Arial" w:cs="Arial"/>
          <w:sz w:val="22"/>
        </w:rPr>
        <w:t xml:space="preserve"> </w:t>
      </w:r>
      <w:r>
        <w:rPr>
          <w:rFonts w:ascii="Arial" w:hAnsi="Arial" w:cs="Arial"/>
          <w:sz w:val="22"/>
        </w:rPr>
        <w:t>дугорочних</w:t>
      </w:r>
      <w:r w:rsidR="007B6BE3" w:rsidRPr="0087376B">
        <w:rPr>
          <w:rFonts w:ascii="Arial" w:hAnsi="Arial" w:cs="Arial"/>
          <w:sz w:val="22"/>
        </w:rPr>
        <w:t xml:space="preserve"> </w:t>
      </w:r>
      <w:r>
        <w:rPr>
          <w:rFonts w:ascii="Arial" w:hAnsi="Arial" w:cs="Arial"/>
        </w:rPr>
        <w:t>хартија</w:t>
      </w:r>
      <w:r w:rsidR="009D7230">
        <w:rPr>
          <w:rFonts w:ascii="Arial" w:hAnsi="Arial" w:cs="Arial"/>
        </w:rPr>
        <w:t xml:space="preserve"> </w:t>
      </w:r>
      <w:r>
        <w:rPr>
          <w:rFonts w:ascii="Arial" w:hAnsi="Arial" w:cs="Arial"/>
        </w:rPr>
        <w:t>од</w:t>
      </w:r>
      <w:r w:rsidR="009D7230">
        <w:rPr>
          <w:rFonts w:ascii="Arial" w:hAnsi="Arial" w:cs="Arial"/>
        </w:rPr>
        <w:t xml:space="preserve"> </w:t>
      </w:r>
      <w:r>
        <w:rPr>
          <w:rFonts w:ascii="Arial" w:hAnsi="Arial" w:cs="Arial"/>
        </w:rPr>
        <w:t>вриједности</w:t>
      </w:r>
      <w:r w:rsidR="009D7230" w:rsidRPr="0087376B">
        <w:rPr>
          <w:rFonts w:ascii="Arial" w:hAnsi="Arial" w:cs="Arial"/>
          <w:sz w:val="22"/>
        </w:rPr>
        <w:t xml:space="preserve"> </w:t>
      </w:r>
      <w:r>
        <w:rPr>
          <w:rFonts w:ascii="Arial" w:hAnsi="Arial" w:cs="Arial"/>
          <w:sz w:val="22"/>
        </w:rPr>
        <w:lastRenderedPageBreak/>
        <w:t>у</w:t>
      </w:r>
      <w:r w:rsidR="007B6BE3" w:rsidRPr="0087376B">
        <w:rPr>
          <w:rFonts w:ascii="Arial" w:hAnsi="Arial" w:cs="Arial"/>
          <w:sz w:val="22"/>
        </w:rPr>
        <w:t xml:space="preserve"> </w:t>
      </w:r>
      <w:r>
        <w:rPr>
          <w:rFonts w:ascii="Arial" w:hAnsi="Arial" w:cs="Arial"/>
          <w:sz w:val="22"/>
        </w:rPr>
        <w:t>облику</w:t>
      </w:r>
      <w:r w:rsidR="007B6BE3" w:rsidRPr="0087376B">
        <w:rPr>
          <w:rFonts w:ascii="Arial" w:hAnsi="Arial" w:cs="Arial"/>
          <w:sz w:val="22"/>
        </w:rPr>
        <w:t xml:space="preserve"> </w:t>
      </w:r>
      <w:r>
        <w:rPr>
          <w:rFonts w:ascii="Arial" w:hAnsi="Arial" w:cs="Arial"/>
          <w:sz w:val="22"/>
        </w:rPr>
        <w:t>обвезница</w:t>
      </w:r>
      <w:r w:rsidR="007B6BE3" w:rsidRPr="0087376B">
        <w:rPr>
          <w:rFonts w:ascii="Arial" w:hAnsi="Arial" w:cs="Arial"/>
          <w:sz w:val="22"/>
        </w:rPr>
        <w:t xml:space="preserve"> (590,0 </w:t>
      </w:r>
      <w:r>
        <w:rPr>
          <w:rFonts w:ascii="Arial" w:hAnsi="Arial" w:cs="Arial"/>
          <w:sz w:val="22"/>
        </w:rPr>
        <w:t>мил</w:t>
      </w:r>
      <w:r w:rsidR="007B6BE3" w:rsidRPr="0087376B">
        <w:rPr>
          <w:rFonts w:ascii="Arial" w:hAnsi="Arial" w:cs="Arial"/>
          <w:sz w:val="22"/>
        </w:rPr>
        <w:t xml:space="preserve">. </w:t>
      </w:r>
      <w:r>
        <w:rPr>
          <w:rFonts w:ascii="Arial" w:hAnsi="Arial" w:cs="Arial"/>
          <w:sz w:val="22"/>
        </w:rPr>
        <w:t>КМ</w:t>
      </w:r>
      <w:r w:rsidR="007B6BE3" w:rsidRPr="0087376B">
        <w:rPr>
          <w:rFonts w:ascii="Arial" w:hAnsi="Arial" w:cs="Arial"/>
          <w:sz w:val="22"/>
        </w:rPr>
        <w:t xml:space="preserve">). </w:t>
      </w:r>
      <w:r>
        <w:rPr>
          <w:rFonts w:ascii="Arial" w:hAnsi="Arial" w:cs="Arial"/>
          <w:sz w:val="22"/>
        </w:rPr>
        <w:t>Просјечна</w:t>
      </w:r>
      <w:r w:rsidR="007B6BE3" w:rsidRPr="0087376B">
        <w:rPr>
          <w:rFonts w:ascii="Arial" w:hAnsi="Arial" w:cs="Arial"/>
          <w:sz w:val="22"/>
        </w:rPr>
        <w:t xml:space="preserve"> </w:t>
      </w:r>
      <w:r>
        <w:rPr>
          <w:rFonts w:ascii="Arial" w:hAnsi="Arial" w:cs="Arial"/>
          <w:sz w:val="22"/>
        </w:rPr>
        <w:t>пондерисана</w:t>
      </w:r>
      <w:r w:rsidR="007B6BE3" w:rsidRPr="0087376B">
        <w:rPr>
          <w:rFonts w:ascii="Arial" w:hAnsi="Arial" w:cs="Arial"/>
          <w:sz w:val="22"/>
        </w:rPr>
        <w:t xml:space="preserve"> </w:t>
      </w:r>
      <w:r>
        <w:rPr>
          <w:rFonts w:ascii="Arial" w:hAnsi="Arial" w:cs="Arial"/>
          <w:sz w:val="22"/>
        </w:rPr>
        <w:t>каматна</w:t>
      </w:r>
      <w:r w:rsidR="007B6BE3" w:rsidRPr="0087376B">
        <w:rPr>
          <w:rFonts w:ascii="Arial" w:hAnsi="Arial" w:cs="Arial"/>
          <w:sz w:val="22"/>
        </w:rPr>
        <w:t xml:space="preserve"> </w:t>
      </w:r>
      <w:r>
        <w:rPr>
          <w:rFonts w:ascii="Arial" w:hAnsi="Arial" w:cs="Arial"/>
          <w:sz w:val="22"/>
        </w:rPr>
        <w:t>стопа</w:t>
      </w:r>
      <w:r w:rsidR="007B6BE3" w:rsidRPr="0087376B">
        <w:rPr>
          <w:rFonts w:ascii="Arial" w:hAnsi="Arial" w:cs="Arial"/>
          <w:sz w:val="22"/>
        </w:rPr>
        <w:t xml:space="preserve"> </w:t>
      </w:r>
      <w:r>
        <w:rPr>
          <w:rFonts w:ascii="Arial" w:hAnsi="Arial" w:cs="Arial"/>
          <w:sz w:val="22"/>
        </w:rPr>
        <w:t>за</w:t>
      </w:r>
      <w:r w:rsidR="007B6BE3" w:rsidRPr="0087376B">
        <w:rPr>
          <w:rFonts w:ascii="Arial" w:hAnsi="Arial" w:cs="Arial"/>
          <w:sz w:val="22"/>
        </w:rPr>
        <w:t xml:space="preserve"> </w:t>
      </w:r>
      <w:r>
        <w:rPr>
          <w:rFonts w:ascii="Arial" w:hAnsi="Arial" w:cs="Arial"/>
          <w:sz w:val="22"/>
        </w:rPr>
        <w:t>спољни</w:t>
      </w:r>
      <w:r w:rsidR="007B6BE3" w:rsidRPr="0087376B">
        <w:rPr>
          <w:rFonts w:ascii="Arial" w:hAnsi="Arial" w:cs="Arial"/>
          <w:sz w:val="22"/>
        </w:rPr>
        <w:t xml:space="preserve"> </w:t>
      </w:r>
      <w:r>
        <w:rPr>
          <w:rFonts w:ascii="Arial" w:hAnsi="Arial" w:cs="Arial"/>
          <w:sz w:val="22"/>
        </w:rPr>
        <w:t>дуг</w:t>
      </w:r>
      <w:r w:rsidR="007B6BE3" w:rsidRPr="0087376B">
        <w:rPr>
          <w:rFonts w:ascii="Arial" w:hAnsi="Arial" w:cs="Arial"/>
          <w:sz w:val="22"/>
        </w:rPr>
        <w:t xml:space="preserve"> </w:t>
      </w:r>
      <w:r>
        <w:rPr>
          <w:rFonts w:ascii="Arial" w:hAnsi="Arial" w:cs="Arial"/>
          <w:sz w:val="22"/>
        </w:rPr>
        <w:t>такођер</w:t>
      </w:r>
      <w:r w:rsidR="007B6BE3" w:rsidRPr="0087376B">
        <w:rPr>
          <w:rFonts w:ascii="Arial" w:hAnsi="Arial" w:cs="Arial"/>
          <w:sz w:val="22"/>
        </w:rPr>
        <w:t xml:space="preserve"> </w:t>
      </w:r>
      <w:r>
        <w:rPr>
          <w:rFonts w:ascii="Arial" w:hAnsi="Arial" w:cs="Arial"/>
          <w:sz w:val="22"/>
        </w:rPr>
        <w:t>износи</w:t>
      </w:r>
      <w:r w:rsidR="007B6BE3" w:rsidRPr="0087376B">
        <w:rPr>
          <w:rFonts w:ascii="Arial" w:hAnsi="Arial" w:cs="Arial"/>
          <w:sz w:val="22"/>
        </w:rPr>
        <w:t xml:space="preserve"> 1,8%.</w:t>
      </w:r>
      <w:r w:rsidR="009D7230">
        <w:rPr>
          <w:rFonts w:ascii="Arial" w:hAnsi="Arial" w:cs="Arial"/>
          <w:sz w:val="22"/>
        </w:rPr>
        <w:t xml:space="preserve"> </w:t>
      </w:r>
    </w:p>
    <w:p w14:paraId="3886B37D" w14:textId="77777777" w:rsidR="007B6BE3" w:rsidRPr="0087376B" w:rsidRDefault="007B6BE3" w:rsidP="007B6BE3">
      <w:pPr>
        <w:pStyle w:val="NoSpacing"/>
        <w:jc w:val="both"/>
        <w:rPr>
          <w:rFonts w:ascii="Arial" w:hAnsi="Arial" w:cs="Arial"/>
          <w:sz w:val="24"/>
          <w:szCs w:val="24"/>
          <w:lang w:val="hr-HR"/>
        </w:rPr>
      </w:pPr>
    </w:p>
    <w:p w14:paraId="22A0A744" w14:textId="77777777" w:rsidR="007B6BE3" w:rsidRPr="0087376B" w:rsidRDefault="005B20F8" w:rsidP="007B6BE3">
      <w:pPr>
        <w:pStyle w:val="NoSpacing"/>
        <w:jc w:val="both"/>
        <w:rPr>
          <w:rFonts w:ascii="Arial" w:hAnsi="Arial" w:cs="Arial"/>
          <w:szCs w:val="24"/>
          <w:lang w:val="hr-HR"/>
        </w:rPr>
      </w:pPr>
      <w:r>
        <w:rPr>
          <w:rFonts w:ascii="Arial" w:hAnsi="Arial" w:cs="Arial"/>
          <w:szCs w:val="24"/>
          <w:lang w:val="hr-HR"/>
        </w:rPr>
        <w:t>Табела</w:t>
      </w:r>
      <w:r w:rsidR="007B6BE3" w:rsidRPr="0087376B">
        <w:rPr>
          <w:rFonts w:ascii="Arial" w:hAnsi="Arial" w:cs="Arial"/>
          <w:szCs w:val="24"/>
          <w:lang w:val="hr-HR"/>
        </w:rPr>
        <w:t xml:space="preserve"> 5. </w:t>
      </w:r>
      <w:r>
        <w:rPr>
          <w:rFonts w:ascii="Arial" w:hAnsi="Arial" w:cs="Arial"/>
          <w:szCs w:val="24"/>
          <w:lang w:val="hr-HR"/>
        </w:rPr>
        <w:t>Упоредни</w:t>
      </w:r>
      <w:r w:rsidR="007B6BE3" w:rsidRPr="0087376B">
        <w:rPr>
          <w:rFonts w:ascii="Arial" w:hAnsi="Arial" w:cs="Arial"/>
          <w:szCs w:val="24"/>
          <w:lang w:val="hr-HR"/>
        </w:rPr>
        <w:t xml:space="preserve"> </w:t>
      </w:r>
      <w:r>
        <w:rPr>
          <w:rFonts w:ascii="Arial" w:hAnsi="Arial" w:cs="Arial"/>
          <w:szCs w:val="24"/>
          <w:lang w:val="hr-HR"/>
        </w:rPr>
        <w:t>приказ</w:t>
      </w:r>
      <w:r w:rsidR="007B6BE3" w:rsidRPr="0087376B">
        <w:rPr>
          <w:rFonts w:ascii="Arial" w:hAnsi="Arial" w:cs="Arial"/>
          <w:szCs w:val="24"/>
          <w:lang w:val="hr-HR"/>
        </w:rPr>
        <w:t xml:space="preserve"> </w:t>
      </w:r>
      <w:r>
        <w:rPr>
          <w:rFonts w:ascii="Arial" w:hAnsi="Arial" w:cs="Arial"/>
          <w:szCs w:val="24"/>
          <w:lang w:val="hr-HR"/>
        </w:rPr>
        <w:t>индикатора</w:t>
      </w:r>
      <w:r w:rsidR="007B6BE3" w:rsidRPr="0087376B">
        <w:rPr>
          <w:rFonts w:ascii="Arial" w:hAnsi="Arial" w:cs="Arial"/>
          <w:szCs w:val="24"/>
          <w:lang w:val="hr-HR"/>
        </w:rPr>
        <w:t xml:space="preserve"> </w:t>
      </w:r>
      <w:r>
        <w:rPr>
          <w:rFonts w:ascii="Arial" w:hAnsi="Arial" w:cs="Arial"/>
          <w:szCs w:val="24"/>
          <w:lang w:val="hr-HR"/>
        </w:rPr>
        <w:t>ризика</w:t>
      </w:r>
      <w:r w:rsidR="007B6BE3" w:rsidRPr="0087376B">
        <w:rPr>
          <w:rFonts w:ascii="Arial" w:hAnsi="Arial" w:cs="Arial"/>
          <w:szCs w:val="24"/>
          <w:lang w:val="hr-HR"/>
        </w:rPr>
        <w:t xml:space="preserve"> </w:t>
      </w:r>
      <w:r>
        <w:rPr>
          <w:rFonts w:ascii="Arial" w:hAnsi="Arial" w:cs="Arial"/>
          <w:szCs w:val="24"/>
          <w:lang w:val="hr-HR"/>
        </w:rPr>
        <w:t>портфолија</w:t>
      </w:r>
      <w:r w:rsidR="007B6BE3" w:rsidRPr="0087376B">
        <w:rPr>
          <w:rFonts w:ascii="Arial" w:hAnsi="Arial" w:cs="Arial"/>
          <w:szCs w:val="24"/>
          <w:lang w:val="hr-HR"/>
        </w:rPr>
        <w:t xml:space="preserve"> </w:t>
      </w:r>
      <w:r>
        <w:rPr>
          <w:rFonts w:ascii="Arial" w:hAnsi="Arial" w:cs="Arial"/>
          <w:szCs w:val="24"/>
          <w:lang w:val="hr-HR"/>
        </w:rPr>
        <w:t>дуга</w:t>
      </w:r>
      <w:r w:rsidR="007B6BE3" w:rsidRPr="0087376B">
        <w:rPr>
          <w:rFonts w:ascii="Arial" w:hAnsi="Arial" w:cs="Arial"/>
          <w:szCs w:val="24"/>
          <w:lang w:val="hr-HR"/>
        </w:rPr>
        <w:t xml:space="preserve"> </w:t>
      </w:r>
      <w:r>
        <w:rPr>
          <w:rFonts w:ascii="Arial" w:hAnsi="Arial" w:cs="Arial"/>
          <w:szCs w:val="24"/>
          <w:lang w:val="hr-HR"/>
        </w:rPr>
        <w:t>Федерације</w:t>
      </w:r>
      <w:r w:rsidR="007B6BE3" w:rsidRPr="0087376B">
        <w:rPr>
          <w:rFonts w:ascii="Arial" w:hAnsi="Arial" w:cs="Arial"/>
          <w:szCs w:val="24"/>
          <w:lang w:val="hr-HR"/>
        </w:rPr>
        <w:t xml:space="preserve"> </w:t>
      </w:r>
      <w:r>
        <w:rPr>
          <w:rFonts w:ascii="Arial" w:hAnsi="Arial" w:cs="Arial"/>
          <w:szCs w:val="24"/>
          <w:lang w:val="hr-HR"/>
        </w:rPr>
        <w:t>БиХ</w:t>
      </w:r>
      <w:r w:rsidR="007B6BE3" w:rsidRPr="0087376B">
        <w:rPr>
          <w:rFonts w:ascii="Arial" w:hAnsi="Arial" w:cs="Arial"/>
          <w:szCs w:val="24"/>
          <w:lang w:val="hr-HR"/>
        </w:rPr>
        <w:t xml:space="preserve"> </w:t>
      </w:r>
      <w:r>
        <w:rPr>
          <w:rFonts w:ascii="Arial" w:hAnsi="Arial" w:cs="Arial"/>
          <w:szCs w:val="24"/>
          <w:lang w:val="hr-HR"/>
        </w:rPr>
        <w:t>на</w:t>
      </w:r>
      <w:r w:rsidR="007B6BE3" w:rsidRPr="0087376B">
        <w:rPr>
          <w:rFonts w:ascii="Arial" w:hAnsi="Arial" w:cs="Arial"/>
          <w:szCs w:val="24"/>
          <w:lang w:val="hr-HR"/>
        </w:rPr>
        <w:t xml:space="preserve"> </w:t>
      </w:r>
      <w:r>
        <w:rPr>
          <w:rFonts w:ascii="Arial" w:hAnsi="Arial" w:cs="Arial"/>
          <w:szCs w:val="24"/>
          <w:lang w:val="hr-HR"/>
        </w:rPr>
        <w:t>дан</w:t>
      </w:r>
      <w:r w:rsidR="007B6BE3" w:rsidRPr="0087376B">
        <w:rPr>
          <w:rFonts w:ascii="Arial" w:hAnsi="Arial" w:cs="Arial"/>
          <w:szCs w:val="24"/>
          <w:lang w:val="hr-HR"/>
        </w:rPr>
        <w:t xml:space="preserve"> 31.12.2022. </w:t>
      </w:r>
      <w:r>
        <w:rPr>
          <w:rFonts w:ascii="Arial" w:hAnsi="Arial" w:cs="Arial"/>
          <w:szCs w:val="24"/>
          <w:lang w:val="hr-HR"/>
        </w:rPr>
        <w:t>године</w:t>
      </w:r>
      <w:r w:rsidR="007B6BE3" w:rsidRPr="0087376B">
        <w:rPr>
          <w:rFonts w:ascii="Arial" w:hAnsi="Arial" w:cs="Arial"/>
          <w:szCs w:val="24"/>
          <w:lang w:val="hr-HR"/>
        </w:rPr>
        <w:t xml:space="preserve"> </w:t>
      </w:r>
      <w:r>
        <w:rPr>
          <w:rFonts w:ascii="Arial" w:hAnsi="Arial" w:cs="Arial"/>
          <w:szCs w:val="24"/>
          <w:lang w:val="hr-HR"/>
        </w:rPr>
        <w:t>у</w:t>
      </w:r>
      <w:r w:rsidR="007B6BE3" w:rsidRPr="0087376B">
        <w:rPr>
          <w:rFonts w:ascii="Arial" w:hAnsi="Arial" w:cs="Arial"/>
          <w:szCs w:val="24"/>
          <w:lang w:val="hr-HR"/>
        </w:rPr>
        <w:t xml:space="preserve"> </w:t>
      </w:r>
      <w:r>
        <w:rPr>
          <w:rFonts w:ascii="Arial" w:hAnsi="Arial" w:cs="Arial"/>
          <w:szCs w:val="24"/>
          <w:lang w:val="hr-HR"/>
        </w:rPr>
        <w:t>односу</w:t>
      </w:r>
      <w:r w:rsidR="007B6BE3" w:rsidRPr="0087376B">
        <w:rPr>
          <w:rFonts w:ascii="Arial" w:hAnsi="Arial" w:cs="Arial"/>
          <w:szCs w:val="24"/>
          <w:lang w:val="hr-HR"/>
        </w:rPr>
        <w:t xml:space="preserve"> </w:t>
      </w:r>
      <w:r>
        <w:rPr>
          <w:rFonts w:ascii="Arial" w:hAnsi="Arial" w:cs="Arial"/>
          <w:szCs w:val="24"/>
          <w:lang w:val="hr-HR"/>
        </w:rPr>
        <w:t>на</w:t>
      </w:r>
      <w:r w:rsidR="007B6BE3" w:rsidRPr="0087376B">
        <w:rPr>
          <w:rFonts w:ascii="Arial" w:hAnsi="Arial" w:cs="Arial"/>
          <w:szCs w:val="24"/>
          <w:lang w:val="hr-HR"/>
        </w:rPr>
        <w:t xml:space="preserve"> </w:t>
      </w:r>
      <w:r>
        <w:rPr>
          <w:rFonts w:ascii="Arial" w:hAnsi="Arial" w:cs="Arial"/>
          <w:szCs w:val="24"/>
          <w:lang w:val="hr-HR"/>
        </w:rPr>
        <w:t>индикаторе</w:t>
      </w:r>
      <w:r w:rsidR="007B6BE3" w:rsidRPr="0087376B">
        <w:rPr>
          <w:rFonts w:ascii="Arial" w:hAnsi="Arial" w:cs="Arial"/>
          <w:szCs w:val="24"/>
          <w:lang w:val="hr-HR"/>
        </w:rPr>
        <w:t xml:space="preserve"> </w:t>
      </w:r>
      <w:r>
        <w:rPr>
          <w:rFonts w:ascii="Arial" w:hAnsi="Arial" w:cs="Arial"/>
          <w:szCs w:val="24"/>
          <w:lang w:val="hr-HR"/>
        </w:rPr>
        <w:t>на</w:t>
      </w:r>
      <w:r w:rsidR="007B6BE3" w:rsidRPr="0087376B">
        <w:rPr>
          <w:rFonts w:ascii="Arial" w:hAnsi="Arial" w:cs="Arial"/>
          <w:szCs w:val="24"/>
          <w:lang w:val="hr-HR"/>
        </w:rPr>
        <w:t xml:space="preserve"> </w:t>
      </w:r>
      <w:r>
        <w:rPr>
          <w:rFonts w:ascii="Arial" w:hAnsi="Arial" w:cs="Arial"/>
          <w:szCs w:val="24"/>
          <w:lang w:val="hr-HR"/>
        </w:rPr>
        <w:t>крају</w:t>
      </w:r>
      <w:r w:rsidR="007B6BE3" w:rsidRPr="0087376B">
        <w:rPr>
          <w:rFonts w:ascii="Arial" w:hAnsi="Arial" w:cs="Arial"/>
          <w:szCs w:val="24"/>
          <w:lang w:val="hr-HR"/>
        </w:rPr>
        <w:t xml:space="preserve"> 2021. </w:t>
      </w:r>
      <w:r>
        <w:rPr>
          <w:rFonts w:ascii="Arial" w:hAnsi="Arial" w:cs="Arial"/>
          <w:szCs w:val="24"/>
          <w:lang w:val="hr-HR"/>
        </w:rPr>
        <w:t>године</w:t>
      </w:r>
    </w:p>
    <w:tbl>
      <w:tblPr>
        <w:tblW w:w="9375" w:type="dxa"/>
        <w:tblInd w:w="-1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1789"/>
        <w:gridCol w:w="3839"/>
        <w:gridCol w:w="709"/>
        <w:gridCol w:w="709"/>
        <w:gridCol w:w="586"/>
        <w:gridCol w:w="586"/>
        <w:gridCol w:w="709"/>
        <w:gridCol w:w="709"/>
      </w:tblGrid>
      <w:tr w:rsidR="007B6BE3" w:rsidRPr="0087376B" w14:paraId="65040780" w14:textId="77777777" w:rsidTr="007B6BE3">
        <w:trPr>
          <w:trHeight w:val="320"/>
        </w:trPr>
        <w:tc>
          <w:tcPr>
            <w:tcW w:w="0" w:type="auto"/>
            <w:gridSpan w:val="2"/>
            <w:vMerge w:val="restart"/>
            <w:shd w:val="clear" w:color="auto" w:fill="auto"/>
            <w:noWrap/>
            <w:vAlign w:val="center"/>
            <w:hideMark/>
          </w:tcPr>
          <w:p w14:paraId="083DA1EA" w14:textId="77777777" w:rsidR="007B6BE3" w:rsidRPr="0087376B" w:rsidRDefault="005B20F8" w:rsidP="007B6BE3">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Индикатори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ризика</w:t>
            </w:r>
          </w:p>
        </w:tc>
        <w:tc>
          <w:tcPr>
            <w:tcW w:w="0" w:type="auto"/>
            <w:gridSpan w:val="2"/>
            <w:shd w:val="clear" w:color="auto" w:fill="auto"/>
            <w:vAlign w:val="center"/>
            <w:hideMark/>
          </w:tcPr>
          <w:p w14:paraId="3F79490D" w14:textId="77777777" w:rsidR="007B6BE3" w:rsidRPr="0087376B" w:rsidRDefault="005B20F8" w:rsidP="007B6BE3">
            <w:pPr>
              <w:spacing w:after="0" w:line="240" w:lineRule="auto"/>
              <w:jc w:val="center"/>
              <w:rPr>
                <w:rFonts w:ascii="Arial Narrow" w:eastAsia="Times New Roman" w:hAnsi="Arial Narrow" w:cs="Calibri"/>
                <w:color w:val="000000"/>
                <w:sz w:val="18"/>
                <w:szCs w:val="18"/>
                <w:highlight w:val="yellow"/>
              </w:rPr>
            </w:pPr>
            <w:r>
              <w:rPr>
                <w:rFonts w:ascii="Arial Narrow" w:eastAsia="Times New Roman" w:hAnsi="Arial Narrow" w:cs="Calibri"/>
                <w:color w:val="000000"/>
                <w:sz w:val="18"/>
                <w:szCs w:val="18"/>
              </w:rPr>
              <w:t>Спољни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дуг</w:t>
            </w:r>
          </w:p>
        </w:tc>
        <w:tc>
          <w:tcPr>
            <w:tcW w:w="0" w:type="auto"/>
            <w:gridSpan w:val="2"/>
            <w:shd w:val="clear" w:color="auto" w:fill="auto"/>
            <w:vAlign w:val="center"/>
            <w:hideMark/>
          </w:tcPr>
          <w:p w14:paraId="2AF456A9" w14:textId="77777777" w:rsidR="007B6BE3" w:rsidRPr="0087376B" w:rsidRDefault="005B20F8" w:rsidP="007B6BE3">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Унутрашњи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дуг</w:t>
            </w:r>
          </w:p>
        </w:tc>
        <w:tc>
          <w:tcPr>
            <w:tcW w:w="0" w:type="auto"/>
            <w:gridSpan w:val="2"/>
            <w:shd w:val="clear" w:color="auto" w:fill="auto"/>
            <w:vAlign w:val="center"/>
            <w:hideMark/>
          </w:tcPr>
          <w:p w14:paraId="7AAD4A30" w14:textId="77777777" w:rsidR="007B6BE3" w:rsidRPr="0087376B" w:rsidRDefault="005B20F8" w:rsidP="007B6BE3">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Укупни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дуг</w:t>
            </w:r>
          </w:p>
        </w:tc>
      </w:tr>
      <w:tr w:rsidR="007B6BE3" w:rsidRPr="0087376B" w14:paraId="7677C03D" w14:textId="77777777" w:rsidTr="007B6BE3">
        <w:trPr>
          <w:trHeight w:val="320"/>
        </w:trPr>
        <w:tc>
          <w:tcPr>
            <w:tcW w:w="0" w:type="auto"/>
            <w:gridSpan w:val="2"/>
            <w:vMerge/>
            <w:vAlign w:val="center"/>
            <w:hideMark/>
          </w:tcPr>
          <w:p w14:paraId="66A0A146" w14:textId="77777777" w:rsidR="007B6BE3" w:rsidRPr="0087376B" w:rsidRDefault="007B6BE3" w:rsidP="007B6BE3">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3B57EA39" w14:textId="77777777" w:rsidR="007B6BE3" w:rsidRPr="0087376B" w:rsidRDefault="007B6BE3" w:rsidP="007B6BE3">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2021.</w:t>
            </w:r>
          </w:p>
        </w:tc>
        <w:tc>
          <w:tcPr>
            <w:tcW w:w="0" w:type="auto"/>
            <w:shd w:val="clear" w:color="auto" w:fill="auto"/>
            <w:noWrap/>
            <w:vAlign w:val="center"/>
            <w:hideMark/>
          </w:tcPr>
          <w:p w14:paraId="36C166D9" w14:textId="77777777" w:rsidR="007B6BE3" w:rsidRPr="0087376B" w:rsidRDefault="007B6BE3" w:rsidP="007B6BE3">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2022.</w:t>
            </w:r>
          </w:p>
        </w:tc>
        <w:tc>
          <w:tcPr>
            <w:tcW w:w="0" w:type="auto"/>
            <w:shd w:val="clear" w:color="auto" w:fill="auto"/>
            <w:noWrap/>
            <w:vAlign w:val="center"/>
            <w:hideMark/>
          </w:tcPr>
          <w:p w14:paraId="34935A04" w14:textId="77777777" w:rsidR="007B6BE3" w:rsidRPr="0087376B" w:rsidRDefault="007B6BE3" w:rsidP="007B6BE3">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2021.</w:t>
            </w:r>
          </w:p>
        </w:tc>
        <w:tc>
          <w:tcPr>
            <w:tcW w:w="0" w:type="auto"/>
            <w:shd w:val="clear" w:color="auto" w:fill="auto"/>
            <w:noWrap/>
            <w:vAlign w:val="center"/>
            <w:hideMark/>
          </w:tcPr>
          <w:p w14:paraId="13F1145D" w14:textId="77777777" w:rsidR="007B6BE3" w:rsidRPr="0087376B" w:rsidRDefault="007B6BE3" w:rsidP="007B6BE3">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2022.</w:t>
            </w:r>
          </w:p>
        </w:tc>
        <w:tc>
          <w:tcPr>
            <w:tcW w:w="0" w:type="auto"/>
            <w:shd w:val="clear" w:color="auto" w:fill="auto"/>
            <w:noWrap/>
            <w:vAlign w:val="center"/>
            <w:hideMark/>
          </w:tcPr>
          <w:p w14:paraId="22A6DD26" w14:textId="77777777" w:rsidR="007B6BE3" w:rsidRPr="0087376B" w:rsidRDefault="007B6BE3" w:rsidP="007B6BE3">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2021.</w:t>
            </w:r>
          </w:p>
        </w:tc>
        <w:tc>
          <w:tcPr>
            <w:tcW w:w="0" w:type="auto"/>
            <w:shd w:val="clear" w:color="auto" w:fill="auto"/>
            <w:noWrap/>
            <w:vAlign w:val="center"/>
            <w:hideMark/>
          </w:tcPr>
          <w:p w14:paraId="767EB878" w14:textId="77777777" w:rsidR="007B6BE3" w:rsidRPr="0087376B" w:rsidRDefault="007B6BE3" w:rsidP="007B6BE3">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2022.</w:t>
            </w:r>
          </w:p>
        </w:tc>
      </w:tr>
      <w:tr w:rsidR="007B6BE3" w:rsidRPr="0087376B" w14:paraId="62EB2B65" w14:textId="77777777" w:rsidTr="007B6BE3">
        <w:trPr>
          <w:trHeight w:val="320"/>
        </w:trPr>
        <w:tc>
          <w:tcPr>
            <w:tcW w:w="0" w:type="auto"/>
            <w:gridSpan w:val="2"/>
            <w:shd w:val="clear" w:color="auto" w:fill="auto"/>
            <w:noWrap/>
            <w:vAlign w:val="center"/>
            <w:hideMark/>
          </w:tcPr>
          <w:p w14:paraId="6B16CCAF" w14:textId="77777777" w:rsidR="007B6BE3" w:rsidRPr="0087376B" w:rsidRDefault="005B20F8" w:rsidP="007B6BE3">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Износ</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дуга</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милиони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КМ</w:t>
            </w:r>
            <w:r w:rsidR="007B6BE3" w:rsidRPr="0087376B">
              <w:rPr>
                <w:rFonts w:ascii="Arial Narrow" w:eastAsia="Times New Roman" w:hAnsi="Arial Narrow" w:cs="Calibri"/>
                <w:color w:val="000000"/>
                <w:sz w:val="18"/>
                <w:szCs w:val="18"/>
              </w:rPr>
              <w:t>)</w:t>
            </w:r>
          </w:p>
        </w:tc>
        <w:tc>
          <w:tcPr>
            <w:tcW w:w="0" w:type="auto"/>
            <w:shd w:val="clear" w:color="auto" w:fill="auto"/>
            <w:noWrap/>
            <w:vAlign w:val="center"/>
            <w:hideMark/>
          </w:tcPr>
          <w:p w14:paraId="64B73E66"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5.406,6</w:t>
            </w:r>
          </w:p>
        </w:tc>
        <w:tc>
          <w:tcPr>
            <w:tcW w:w="0" w:type="auto"/>
            <w:shd w:val="clear" w:color="auto" w:fill="auto"/>
            <w:noWrap/>
            <w:vAlign w:val="center"/>
            <w:hideMark/>
          </w:tcPr>
          <w:p w14:paraId="64E1AD63"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5.410,5</w:t>
            </w:r>
          </w:p>
        </w:tc>
        <w:tc>
          <w:tcPr>
            <w:tcW w:w="0" w:type="auto"/>
            <w:shd w:val="clear" w:color="auto" w:fill="auto"/>
            <w:noWrap/>
            <w:vAlign w:val="center"/>
            <w:hideMark/>
          </w:tcPr>
          <w:p w14:paraId="40C5A31B"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754,3</w:t>
            </w:r>
          </w:p>
        </w:tc>
        <w:tc>
          <w:tcPr>
            <w:tcW w:w="0" w:type="auto"/>
            <w:shd w:val="clear" w:color="auto" w:fill="auto"/>
            <w:noWrap/>
            <w:vAlign w:val="center"/>
            <w:hideMark/>
          </w:tcPr>
          <w:p w14:paraId="790F0B1C"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678,7</w:t>
            </w:r>
          </w:p>
        </w:tc>
        <w:tc>
          <w:tcPr>
            <w:tcW w:w="0" w:type="auto"/>
            <w:shd w:val="clear" w:color="auto" w:fill="auto"/>
            <w:noWrap/>
            <w:vAlign w:val="center"/>
            <w:hideMark/>
          </w:tcPr>
          <w:p w14:paraId="512A3C3D"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6.160,9</w:t>
            </w:r>
          </w:p>
        </w:tc>
        <w:tc>
          <w:tcPr>
            <w:tcW w:w="0" w:type="auto"/>
            <w:shd w:val="clear" w:color="auto" w:fill="auto"/>
            <w:noWrap/>
            <w:vAlign w:val="center"/>
            <w:hideMark/>
          </w:tcPr>
          <w:p w14:paraId="5C55CECB"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6.089,2</w:t>
            </w:r>
          </w:p>
        </w:tc>
      </w:tr>
      <w:tr w:rsidR="007B6BE3" w:rsidRPr="0087376B" w14:paraId="62D23CAC" w14:textId="77777777" w:rsidTr="007B6BE3">
        <w:trPr>
          <w:trHeight w:val="320"/>
        </w:trPr>
        <w:tc>
          <w:tcPr>
            <w:tcW w:w="0" w:type="auto"/>
            <w:gridSpan w:val="2"/>
            <w:shd w:val="clear" w:color="auto" w:fill="auto"/>
            <w:noWrap/>
            <w:vAlign w:val="center"/>
            <w:hideMark/>
          </w:tcPr>
          <w:p w14:paraId="72EC9FE0" w14:textId="77777777" w:rsidR="007B6BE3" w:rsidRPr="0087376B" w:rsidRDefault="005B20F8" w:rsidP="00625E9C">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Износ</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дуга</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милиони</w:t>
            </w:r>
            <w:r w:rsidR="007B6BE3" w:rsidRPr="0087376B">
              <w:rPr>
                <w:rFonts w:ascii="Arial Narrow" w:eastAsia="Times New Roman" w:hAnsi="Arial Narrow" w:cs="Calibri"/>
                <w:color w:val="000000"/>
                <w:sz w:val="18"/>
                <w:szCs w:val="18"/>
              </w:rPr>
              <w:t xml:space="preserve"> </w:t>
            </w:r>
            <w:r w:rsidR="00625E9C" w:rsidRPr="00625E9C">
              <w:rPr>
                <w:rFonts w:ascii="Arial Narrow" w:eastAsia="Times New Roman" w:hAnsi="Arial Narrow" w:cs="Calibri"/>
                <w:sz w:val="18"/>
                <w:szCs w:val="18"/>
                <w:lang w:val="sr-Cyrl-BA"/>
              </w:rPr>
              <w:t>УСД</w:t>
            </w:r>
            <w:r w:rsidR="007B6BE3" w:rsidRPr="0087376B">
              <w:rPr>
                <w:rFonts w:ascii="Arial Narrow" w:eastAsia="Times New Roman" w:hAnsi="Arial Narrow" w:cs="Calibri"/>
                <w:color w:val="000000"/>
                <w:sz w:val="18"/>
                <w:szCs w:val="18"/>
              </w:rPr>
              <w:t>)</w:t>
            </w:r>
          </w:p>
        </w:tc>
        <w:tc>
          <w:tcPr>
            <w:tcW w:w="0" w:type="auto"/>
            <w:shd w:val="clear" w:color="auto" w:fill="auto"/>
            <w:noWrap/>
            <w:vAlign w:val="center"/>
            <w:hideMark/>
          </w:tcPr>
          <w:p w14:paraId="7ABE3A93"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3.133,1</w:t>
            </w:r>
          </w:p>
        </w:tc>
        <w:tc>
          <w:tcPr>
            <w:tcW w:w="0" w:type="auto"/>
            <w:shd w:val="clear" w:color="auto" w:fill="auto"/>
            <w:noWrap/>
            <w:vAlign w:val="center"/>
            <w:hideMark/>
          </w:tcPr>
          <w:p w14:paraId="6EDA1050"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2.950,6</w:t>
            </w:r>
          </w:p>
        </w:tc>
        <w:tc>
          <w:tcPr>
            <w:tcW w:w="0" w:type="auto"/>
            <w:shd w:val="clear" w:color="auto" w:fill="auto"/>
            <w:noWrap/>
            <w:vAlign w:val="center"/>
            <w:hideMark/>
          </w:tcPr>
          <w:p w14:paraId="3EB0B118"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437,1</w:t>
            </w:r>
          </w:p>
        </w:tc>
        <w:tc>
          <w:tcPr>
            <w:tcW w:w="0" w:type="auto"/>
            <w:shd w:val="clear" w:color="auto" w:fill="auto"/>
            <w:noWrap/>
            <w:vAlign w:val="center"/>
            <w:hideMark/>
          </w:tcPr>
          <w:p w14:paraId="1B86AC14"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370,1</w:t>
            </w:r>
          </w:p>
        </w:tc>
        <w:tc>
          <w:tcPr>
            <w:tcW w:w="0" w:type="auto"/>
            <w:shd w:val="clear" w:color="auto" w:fill="auto"/>
            <w:noWrap/>
            <w:vAlign w:val="center"/>
            <w:hideMark/>
          </w:tcPr>
          <w:p w14:paraId="18844440"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3.570,2</w:t>
            </w:r>
          </w:p>
        </w:tc>
        <w:tc>
          <w:tcPr>
            <w:tcW w:w="0" w:type="auto"/>
            <w:shd w:val="clear" w:color="auto" w:fill="auto"/>
            <w:noWrap/>
            <w:vAlign w:val="center"/>
            <w:hideMark/>
          </w:tcPr>
          <w:p w14:paraId="253AFB95"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3.320,7</w:t>
            </w:r>
          </w:p>
        </w:tc>
      </w:tr>
      <w:tr w:rsidR="007B6BE3" w:rsidRPr="0087376B" w14:paraId="6899999A" w14:textId="77777777" w:rsidTr="007B6BE3">
        <w:trPr>
          <w:trHeight w:val="320"/>
        </w:trPr>
        <w:tc>
          <w:tcPr>
            <w:tcW w:w="0" w:type="auto"/>
            <w:gridSpan w:val="2"/>
            <w:shd w:val="clear" w:color="auto" w:fill="auto"/>
            <w:noWrap/>
            <w:vAlign w:val="center"/>
            <w:hideMark/>
          </w:tcPr>
          <w:p w14:paraId="366E7F82" w14:textId="77777777" w:rsidR="007B6BE3" w:rsidRPr="0087376B" w:rsidRDefault="005B20F8" w:rsidP="007B6BE3">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Номинални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дуг</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у</w:t>
            </w:r>
            <w:r w:rsidR="007B6BE3" w:rsidRPr="0087376B">
              <w:rPr>
                <w:rFonts w:ascii="Arial Narrow" w:eastAsia="Times New Roman" w:hAnsi="Arial Narrow" w:cs="Calibri"/>
                <w:color w:val="000000"/>
                <w:sz w:val="18"/>
                <w:szCs w:val="18"/>
              </w:rPr>
              <w:t xml:space="preserve"> % </w:t>
            </w:r>
            <w:r>
              <w:rPr>
                <w:rFonts w:ascii="Arial Narrow" w:eastAsia="Times New Roman" w:hAnsi="Arial Narrow" w:cs="Calibri"/>
                <w:color w:val="000000"/>
                <w:sz w:val="18"/>
                <w:szCs w:val="18"/>
              </w:rPr>
              <w:t>БДП</w:t>
            </w:r>
          </w:p>
        </w:tc>
        <w:tc>
          <w:tcPr>
            <w:tcW w:w="0" w:type="auto"/>
            <w:shd w:val="clear" w:color="auto" w:fill="auto"/>
            <w:noWrap/>
            <w:vAlign w:val="center"/>
            <w:hideMark/>
          </w:tcPr>
          <w:p w14:paraId="481E5CB7"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23,6</w:t>
            </w:r>
          </w:p>
        </w:tc>
        <w:tc>
          <w:tcPr>
            <w:tcW w:w="0" w:type="auto"/>
            <w:shd w:val="clear" w:color="auto" w:fill="auto"/>
            <w:noWrap/>
            <w:vAlign w:val="center"/>
            <w:hideMark/>
          </w:tcPr>
          <w:p w14:paraId="4FD7C50D"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13,7</w:t>
            </w:r>
          </w:p>
        </w:tc>
        <w:tc>
          <w:tcPr>
            <w:tcW w:w="0" w:type="auto"/>
            <w:shd w:val="clear" w:color="auto" w:fill="auto"/>
            <w:noWrap/>
            <w:vAlign w:val="center"/>
            <w:hideMark/>
          </w:tcPr>
          <w:p w14:paraId="23AF6522"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3,3</w:t>
            </w:r>
          </w:p>
        </w:tc>
        <w:tc>
          <w:tcPr>
            <w:tcW w:w="0" w:type="auto"/>
            <w:shd w:val="clear" w:color="auto" w:fill="auto"/>
            <w:noWrap/>
            <w:vAlign w:val="center"/>
            <w:hideMark/>
          </w:tcPr>
          <w:p w14:paraId="1AC781ED"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1,7</w:t>
            </w:r>
          </w:p>
        </w:tc>
        <w:tc>
          <w:tcPr>
            <w:tcW w:w="0" w:type="auto"/>
            <w:shd w:val="clear" w:color="auto" w:fill="auto"/>
            <w:noWrap/>
            <w:vAlign w:val="center"/>
            <w:hideMark/>
          </w:tcPr>
          <w:p w14:paraId="72D019E4"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26,8</w:t>
            </w:r>
          </w:p>
        </w:tc>
        <w:tc>
          <w:tcPr>
            <w:tcW w:w="0" w:type="auto"/>
            <w:shd w:val="clear" w:color="auto" w:fill="auto"/>
            <w:noWrap/>
            <w:vAlign w:val="center"/>
            <w:hideMark/>
          </w:tcPr>
          <w:p w14:paraId="347E33E5"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15,4</w:t>
            </w:r>
          </w:p>
        </w:tc>
      </w:tr>
      <w:tr w:rsidR="007B6BE3" w:rsidRPr="0087376B" w14:paraId="25345BE2" w14:textId="77777777" w:rsidTr="007B6BE3">
        <w:trPr>
          <w:trHeight w:val="320"/>
        </w:trPr>
        <w:tc>
          <w:tcPr>
            <w:tcW w:w="0" w:type="auto"/>
            <w:gridSpan w:val="2"/>
            <w:shd w:val="clear" w:color="auto" w:fill="auto"/>
            <w:noWrap/>
            <w:vAlign w:val="center"/>
            <w:hideMark/>
          </w:tcPr>
          <w:p w14:paraId="67A698BC" w14:textId="77777777" w:rsidR="007B6BE3" w:rsidRPr="0087376B" w:rsidRDefault="005B20F8" w:rsidP="007B6BE3">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Садашња</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вриједност</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дуга</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у</w:t>
            </w:r>
            <w:r w:rsidR="007B6BE3" w:rsidRPr="0087376B">
              <w:rPr>
                <w:rFonts w:ascii="Arial Narrow" w:eastAsia="Times New Roman" w:hAnsi="Arial Narrow" w:cs="Calibri"/>
                <w:color w:val="000000"/>
                <w:sz w:val="18"/>
                <w:szCs w:val="18"/>
              </w:rPr>
              <w:t xml:space="preserve"> % </w:t>
            </w:r>
            <w:r>
              <w:rPr>
                <w:rFonts w:ascii="Arial Narrow" w:eastAsia="Times New Roman" w:hAnsi="Arial Narrow" w:cs="Calibri"/>
                <w:color w:val="000000"/>
                <w:sz w:val="18"/>
                <w:szCs w:val="18"/>
              </w:rPr>
              <w:t>БДП</w:t>
            </w:r>
          </w:p>
        </w:tc>
        <w:tc>
          <w:tcPr>
            <w:tcW w:w="0" w:type="auto"/>
            <w:shd w:val="clear" w:color="auto" w:fill="auto"/>
            <w:noWrap/>
            <w:vAlign w:val="center"/>
            <w:hideMark/>
          </w:tcPr>
          <w:p w14:paraId="7D3E64CC"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19,1</w:t>
            </w:r>
          </w:p>
        </w:tc>
        <w:tc>
          <w:tcPr>
            <w:tcW w:w="0" w:type="auto"/>
            <w:shd w:val="clear" w:color="auto" w:fill="auto"/>
            <w:noWrap/>
            <w:vAlign w:val="center"/>
            <w:hideMark/>
          </w:tcPr>
          <w:p w14:paraId="5DADD3A7"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11,4</w:t>
            </w:r>
          </w:p>
        </w:tc>
        <w:tc>
          <w:tcPr>
            <w:tcW w:w="0" w:type="auto"/>
            <w:shd w:val="clear" w:color="auto" w:fill="auto"/>
            <w:noWrap/>
            <w:vAlign w:val="center"/>
            <w:hideMark/>
          </w:tcPr>
          <w:p w14:paraId="709D9D15"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3,3</w:t>
            </w:r>
          </w:p>
        </w:tc>
        <w:tc>
          <w:tcPr>
            <w:tcW w:w="0" w:type="auto"/>
            <w:shd w:val="clear" w:color="auto" w:fill="auto"/>
            <w:noWrap/>
            <w:vAlign w:val="center"/>
            <w:hideMark/>
          </w:tcPr>
          <w:p w14:paraId="69A032A6"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1,7</w:t>
            </w:r>
          </w:p>
        </w:tc>
        <w:tc>
          <w:tcPr>
            <w:tcW w:w="0" w:type="auto"/>
            <w:shd w:val="clear" w:color="auto" w:fill="auto"/>
            <w:noWrap/>
            <w:vAlign w:val="center"/>
            <w:hideMark/>
          </w:tcPr>
          <w:p w14:paraId="41C40C9B"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22,7</w:t>
            </w:r>
          </w:p>
        </w:tc>
        <w:tc>
          <w:tcPr>
            <w:tcW w:w="0" w:type="auto"/>
            <w:shd w:val="clear" w:color="auto" w:fill="auto"/>
            <w:noWrap/>
            <w:vAlign w:val="center"/>
            <w:hideMark/>
          </w:tcPr>
          <w:p w14:paraId="19246B48"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13,2</w:t>
            </w:r>
          </w:p>
        </w:tc>
      </w:tr>
      <w:tr w:rsidR="007B6BE3" w:rsidRPr="0087376B" w14:paraId="0F8FC307" w14:textId="77777777" w:rsidTr="007B6BE3">
        <w:trPr>
          <w:trHeight w:val="320"/>
        </w:trPr>
        <w:tc>
          <w:tcPr>
            <w:tcW w:w="0" w:type="auto"/>
            <w:vMerge w:val="restart"/>
            <w:shd w:val="clear" w:color="auto" w:fill="auto"/>
            <w:noWrap/>
            <w:vAlign w:val="center"/>
            <w:hideMark/>
          </w:tcPr>
          <w:p w14:paraId="64B5C5D1" w14:textId="77777777" w:rsidR="007B6BE3" w:rsidRPr="0087376B" w:rsidRDefault="005B20F8" w:rsidP="007B6BE3">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Трошкови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дуга</w:t>
            </w:r>
          </w:p>
        </w:tc>
        <w:tc>
          <w:tcPr>
            <w:tcW w:w="0" w:type="auto"/>
            <w:shd w:val="clear" w:color="auto" w:fill="auto"/>
            <w:noWrap/>
            <w:vAlign w:val="center"/>
            <w:hideMark/>
          </w:tcPr>
          <w:p w14:paraId="2C72BF2A" w14:textId="77777777" w:rsidR="007B6BE3" w:rsidRPr="0087376B" w:rsidRDefault="005B20F8" w:rsidP="007B6BE3">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Камата</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као</w:t>
            </w:r>
            <w:r w:rsidR="007B6BE3" w:rsidRPr="0087376B">
              <w:rPr>
                <w:rFonts w:ascii="Arial Narrow" w:eastAsia="Times New Roman" w:hAnsi="Arial Narrow" w:cs="Calibri"/>
                <w:color w:val="000000"/>
                <w:sz w:val="18"/>
                <w:szCs w:val="18"/>
              </w:rPr>
              <w:t xml:space="preserve"> % </w:t>
            </w:r>
            <w:r>
              <w:rPr>
                <w:rFonts w:ascii="Arial Narrow" w:eastAsia="Times New Roman" w:hAnsi="Arial Narrow" w:cs="Calibri"/>
                <w:color w:val="000000"/>
                <w:sz w:val="18"/>
                <w:szCs w:val="18"/>
              </w:rPr>
              <w:t>БДП</w:t>
            </w:r>
          </w:p>
        </w:tc>
        <w:tc>
          <w:tcPr>
            <w:tcW w:w="0" w:type="auto"/>
            <w:shd w:val="clear" w:color="auto" w:fill="auto"/>
            <w:noWrap/>
            <w:vAlign w:val="center"/>
            <w:hideMark/>
          </w:tcPr>
          <w:p w14:paraId="491C78BC"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0,3</w:t>
            </w:r>
          </w:p>
        </w:tc>
        <w:tc>
          <w:tcPr>
            <w:tcW w:w="0" w:type="auto"/>
            <w:shd w:val="clear" w:color="auto" w:fill="auto"/>
            <w:noWrap/>
            <w:vAlign w:val="center"/>
          </w:tcPr>
          <w:p w14:paraId="6450B344"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0,3</w:t>
            </w:r>
          </w:p>
        </w:tc>
        <w:tc>
          <w:tcPr>
            <w:tcW w:w="0" w:type="auto"/>
            <w:shd w:val="clear" w:color="auto" w:fill="auto"/>
            <w:noWrap/>
            <w:vAlign w:val="center"/>
            <w:hideMark/>
          </w:tcPr>
          <w:p w14:paraId="06FA11EC"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0,04</w:t>
            </w:r>
          </w:p>
        </w:tc>
        <w:tc>
          <w:tcPr>
            <w:tcW w:w="0" w:type="auto"/>
            <w:shd w:val="clear" w:color="auto" w:fill="auto"/>
            <w:noWrap/>
            <w:vAlign w:val="center"/>
            <w:hideMark/>
          </w:tcPr>
          <w:p w14:paraId="428E3285" w14:textId="39423B6A"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w:t>
            </w:r>
          </w:p>
        </w:tc>
        <w:tc>
          <w:tcPr>
            <w:tcW w:w="0" w:type="auto"/>
            <w:shd w:val="clear" w:color="auto" w:fill="auto"/>
            <w:noWrap/>
            <w:vAlign w:val="center"/>
            <w:hideMark/>
          </w:tcPr>
          <w:p w14:paraId="64350376"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0,4</w:t>
            </w:r>
          </w:p>
        </w:tc>
        <w:tc>
          <w:tcPr>
            <w:tcW w:w="0" w:type="auto"/>
            <w:shd w:val="clear" w:color="auto" w:fill="auto"/>
            <w:noWrap/>
            <w:vAlign w:val="center"/>
            <w:hideMark/>
          </w:tcPr>
          <w:p w14:paraId="60D2BC54"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0,3</w:t>
            </w:r>
          </w:p>
        </w:tc>
      </w:tr>
      <w:tr w:rsidR="007B6BE3" w:rsidRPr="0087376B" w14:paraId="35B66B6C" w14:textId="77777777" w:rsidTr="007B6BE3">
        <w:trPr>
          <w:trHeight w:val="320"/>
        </w:trPr>
        <w:tc>
          <w:tcPr>
            <w:tcW w:w="0" w:type="auto"/>
            <w:vMerge/>
            <w:vAlign w:val="center"/>
            <w:hideMark/>
          </w:tcPr>
          <w:p w14:paraId="19399539" w14:textId="77777777" w:rsidR="007B6BE3" w:rsidRPr="0087376B" w:rsidRDefault="007B6BE3" w:rsidP="007B6BE3">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511E6F97" w14:textId="77777777" w:rsidR="007B6BE3" w:rsidRPr="0087376B" w:rsidRDefault="005B20F8" w:rsidP="007B6BE3">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Просјечна</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пондерисана</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камата</w:t>
            </w:r>
            <w:r w:rsidR="007B6BE3" w:rsidRPr="0087376B">
              <w:rPr>
                <w:rFonts w:ascii="Arial Narrow" w:eastAsia="Times New Roman" w:hAnsi="Arial Narrow" w:cs="Calibri"/>
                <w:color w:val="000000"/>
                <w:sz w:val="18"/>
                <w:szCs w:val="18"/>
              </w:rPr>
              <w:t xml:space="preserve">  (%)</w:t>
            </w:r>
          </w:p>
        </w:tc>
        <w:tc>
          <w:tcPr>
            <w:tcW w:w="0" w:type="auto"/>
            <w:shd w:val="clear" w:color="auto" w:fill="auto"/>
            <w:noWrap/>
            <w:vAlign w:val="center"/>
            <w:hideMark/>
          </w:tcPr>
          <w:p w14:paraId="17ABE36D" w14:textId="77777777" w:rsidR="007B6BE3" w:rsidRPr="006B0596" w:rsidRDefault="007B6BE3" w:rsidP="007B6BE3">
            <w:pPr>
              <w:spacing w:after="0" w:line="240" w:lineRule="auto"/>
              <w:jc w:val="right"/>
              <w:rPr>
                <w:rFonts w:ascii="Arial Narrow" w:eastAsia="Times New Roman" w:hAnsi="Arial Narrow" w:cs="Calibri"/>
                <w:bCs/>
                <w:color w:val="000000"/>
                <w:sz w:val="18"/>
                <w:szCs w:val="18"/>
              </w:rPr>
            </w:pPr>
            <w:r w:rsidRPr="006B0596">
              <w:rPr>
                <w:rFonts w:ascii="Arial Narrow" w:eastAsia="Times New Roman" w:hAnsi="Arial Narrow" w:cs="Calibri"/>
                <w:bCs/>
                <w:color w:val="000000"/>
                <w:sz w:val="18"/>
                <w:szCs w:val="18"/>
              </w:rPr>
              <w:t>1,2</w:t>
            </w:r>
          </w:p>
        </w:tc>
        <w:tc>
          <w:tcPr>
            <w:tcW w:w="0" w:type="auto"/>
            <w:shd w:val="clear" w:color="auto" w:fill="auto"/>
            <w:noWrap/>
            <w:vAlign w:val="center"/>
          </w:tcPr>
          <w:p w14:paraId="384091D5" w14:textId="77777777" w:rsidR="007B6BE3" w:rsidRPr="006B0596" w:rsidRDefault="007B6BE3" w:rsidP="007B6BE3">
            <w:pPr>
              <w:spacing w:after="0" w:line="240" w:lineRule="auto"/>
              <w:jc w:val="right"/>
              <w:rPr>
                <w:rFonts w:ascii="Arial Narrow" w:eastAsia="Times New Roman" w:hAnsi="Arial Narrow" w:cs="Calibri"/>
                <w:bCs/>
                <w:color w:val="000000"/>
                <w:sz w:val="18"/>
                <w:szCs w:val="18"/>
              </w:rPr>
            </w:pPr>
            <w:r w:rsidRPr="006B0596">
              <w:rPr>
                <w:rFonts w:ascii="Arial Narrow" w:eastAsia="Times New Roman" w:hAnsi="Arial Narrow" w:cs="Calibri"/>
                <w:bCs/>
                <w:color w:val="000000"/>
                <w:sz w:val="18"/>
                <w:szCs w:val="18"/>
              </w:rPr>
              <w:t>1,8</w:t>
            </w:r>
          </w:p>
        </w:tc>
        <w:tc>
          <w:tcPr>
            <w:tcW w:w="0" w:type="auto"/>
            <w:shd w:val="clear" w:color="auto" w:fill="auto"/>
            <w:noWrap/>
            <w:vAlign w:val="center"/>
            <w:hideMark/>
          </w:tcPr>
          <w:p w14:paraId="20276BED" w14:textId="77777777" w:rsidR="007B6BE3" w:rsidRPr="006B0596" w:rsidRDefault="007B6BE3" w:rsidP="007B6BE3">
            <w:pPr>
              <w:spacing w:after="0" w:line="240" w:lineRule="auto"/>
              <w:jc w:val="right"/>
              <w:rPr>
                <w:rFonts w:ascii="Arial Narrow" w:eastAsia="Times New Roman" w:hAnsi="Arial Narrow" w:cs="Calibri"/>
                <w:bCs/>
                <w:color w:val="000000"/>
                <w:sz w:val="18"/>
                <w:szCs w:val="18"/>
              </w:rPr>
            </w:pPr>
            <w:r w:rsidRPr="006B0596">
              <w:rPr>
                <w:rFonts w:ascii="Arial Narrow" w:eastAsia="Times New Roman" w:hAnsi="Arial Narrow" w:cs="Calibri"/>
                <w:bCs/>
                <w:color w:val="000000"/>
                <w:sz w:val="18"/>
                <w:szCs w:val="18"/>
              </w:rPr>
              <w:t>1,2</w:t>
            </w:r>
          </w:p>
        </w:tc>
        <w:tc>
          <w:tcPr>
            <w:tcW w:w="0" w:type="auto"/>
            <w:shd w:val="clear" w:color="auto" w:fill="auto"/>
            <w:noWrap/>
            <w:vAlign w:val="center"/>
          </w:tcPr>
          <w:p w14:paraId="23642AE2" w14:textId="77777777" w:rsidR="007B6BE3" w:rsidRPr="006B0596" w:rsidRDefault="007B6BE3" w:rsidP="007B6BE3">
            <w:pPr>
              <w:spacing w:after="0" w:line="240" w:lineRule="auto"/>
              <w:jc w:val="right"/>
              <w:rPr>
                <w:rFonts w:ascii="Arial Narrow" w:eastAsia="Times New Roman" w:hAnsi="Arial Narrow" w:cs="Calibri"/>
                <w:bCs/>
                <w:color w:val="000000"/>
                <w:sz w:val="18"/>
                <w:szCs w:val="18"/>
              </w:rPr>
            </w:pPr>
            <w:r w:rsidRPr="006B0596">
              <w:rPr>
                <w:rFonts w:ascii="Arial Narrow" w:eastAsia="Times New Roman" w:hAnsi="Arial Narrow" w:cs="Calibri"/>
                <w:bCs/>
                <w:color w:val="000000"/>
                <w:sz w:val="18"/>
                <w:szCs w:val="18"/>
              </w:rPr>
              <w:t>1,3</w:t>
            </w:r>
          </w:p>
        </w:tc>
        <w:tc>
          <w:tcPr>
            <w:tcW w:w="0" w:type="auto"/>
            <w:shd w:val="clear" w:color="auto" w:fill="auto"/>
            <w:noWrap/>
            <w:vAlign w:val="center"/>
          </w:tcPr>
          <w:p w14:paraId="54CDD407" w14:textId="77777777" w:rsidR="007B6BE3" w:rsidRPr="006B0596" w:rsidRDefault="007B6BE3" w:rsidP="007B6BE3">
            <w:pPr>
              <w:spacing w:after="0" w:line="240" w:lineRule="auto"/>
              <w:jc w:val="right"/>
              <w:rPr>
                <w:rFonts w:ascii="Arial Narrow" w:eastAsia="Times New Roman" w:hAnsi="Arial Narrow" w:cs="Calibri"/>
                <w:bCs/>
                <w:color w:val="000000"/>
                <w:sz w:val="18"/>
                <w:szCs w:val="18"/>
              </w:rPr>
            </w:pPr>
            <w:r w:rsidRPr="006B0596">
              <w:rPr>
                <w:rFonts w:ascii="Arial Narrow" w:eastAsia="Times New Roman" w:hAnsi="Arial Narrow" w:cs="Calibri"/>
                <w:bCs/>
                <w:color w:val="000000"/>
                <w:sz w:val="18"/>
                <w:szCs w:val="18"/>
              </w:rPr>
              <w:t>1,2</w:t>
            </w:r>
          </w:p>
        </w:tc>
        <w:tc>
          <w:tcPr>
            <w:tcW w:w="0" w:type="auto"/>
            <w:shd w:val="clear" w:color="auto" w:fill="auto"/>
            <w:noWrap/>
            <w:vAlign w:val="center"/>
            <w:hideMark/>
          </w:tcPr>
          <w:p w14:paraId="774BE5A9" w14:textId="77777777" w:rsidR="007B6BE3" w:rsidRPr="006B0596" w:rsidRDefault="007B6BE3" w:rsidP="007B6BE3">
            <w:pPr>
              <w:spacing w:after="0" w:line="240" w:lineRule="auto"/>
              <w:jc w:val="right"/>
              <w:rPr>
                <w:rFonts w:ascii="Arial Narrow" w:eastAsia="Times New Roman" w:hAnsi="Arial Narrow" w:cs="Calibri"/>
                <w:bCs/>
                <w:color w:val="000000"/>
                <w:sz w:val="18"/>
                <w:szCs w:val="18"/>
              </w:rPr>
            </w:pPr>
            <w:r w:rsidRPr="006B0596">
              <w:rPr>
                <w:rFonts w:ascii="Arial Narrow" w:eastAsia="Times New Roman" w:hAnsi="Arial Narrow" w:cs="Calibri"/>
                <w:bCs/>
                <w:color w:val="000000"/>
                <w:sz w:val="18"/>
                <w:szCs w:val="18"/>
              </w:rPr>
              <w:t>1,8</w:t>
            </w:r>
          </w:p>
        </w:tc>
      </w:tr>
      <w:tr w:rsidR="007B6BE3" w:rsidRPr="0087376B" w14:paraId="4D91B459" w14:textId="77777777" w:rsidTr="007B6BE3">
        <w:trPr>
          <w:trHeight w:val="320"/>
        </w:trPr>
        <w:tc>
          <w:tcPr>
            <w:tcW w:w="0" w:type="auto"/>
            <w:vMerge w:val="restart"/>
            <w:shd w:val="clear" w:color="auto" w:fill="auto"/>
            <w:noWrap/>
            <w:vAlign w:val="center"/>
            <w:hideMark/>
          </w:tcPr>
          <w:p w14:paraId="3243DEC9" w14:textId="77777777" w:rsidR="007B6BE3" w:rsidRPr="0087376B" w:rsidRDefault="005B20F8" w:rsidP="007B6BE3">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Ризик</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рефинансирања</w:t>
            </w:r>
          </w:p>
        </w:tc>
        <w:tc>
          <w:tcPr>
            <w:tcW w:w="0" w:type="auto"/>
            <w:shd w:val="clear" w:color="auto" w:fill="auto"/>
            <w:noWrap/>
            <w:vAlign w:val="center"/>
            <w:hideMark/>
          </w:tcPr>
          <w:p w14:paraId="70C6829C" w14:textId="77777777" w:rsidR="007B6BE3" w:rsidRPr="0087376B" w:rsidRDefault="005B20F8" w:rsidP="007B6BE3">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Просјечно</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вријеме</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доспијећа</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године</w:t>
            </w:r>
            <w:r w:rsidR="007B6BE3" w:rsidRPr="0087376B">
              <w:rPr>
                <w:rFonts w:ascii="Arial Narrow" w:eastAsia="Times New Roman" w:hAnsi="Arial Narrow" w:cs="Calibri"/>
                <w:color w:val="000000"/>
                <w:sz w:val="18"/>
                <w:szCs w:val="18"/>
              </w:rPr>
              <w:t>)</w:t>
            </w:r>
          </w:p>
        </w:tc>
        <w:tc>
          <w:tcPr>
            <w:tcW w:w="0" w:type="auto"/>
            <w:shd w:val="clear" w:color="auto" w:fill="auto"/>
            <w:noWrap/>
            <w:vAlign w:val="center"/>
            <w:hideMark/>
          </w:tcPr>
          <w:p w14:paraId="0A8D805A"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6,6</w:t>
            </w:r>
          </w:p>
        </w:tc>
        <w:tc>
          <w:tcPr>
            <w:tcW w:w="0" w:type="auto"/>
            <w:shd w:val="clear" w:color="auto" w:fill="auto"/>
            <w:noWrap/>
            <w:vAlign w:val="center"/>
          </w:tcPr>
          <w:p w14:paraId="7181C2E7"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6,4</w:t>
            </w:r>
          </w:p>
        </w:tc>
        <w:tc>
          <w:tcPr>
            <w:tcW w:w="0" w:type="auto"/>
            <w:shd w:val="clear" w:color="auto" w:fill="auto"/>
            <w:noWrap/>
            <w:vAlign w:val="center"/>
            <w:hideMark/>
          </w:tcPr>
          <w:p w14:paraId="1A1EF954"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3,6</w:t>
            </w:r>
          </w:p>
        </w:tc>
        <w:tc>
          <w:tcPr>
            <w:tcW w:w="0" w:type="auto"/>
            <w:shd w:val="clear" w:color="auto" w:fill="auto"/>
            <w:noWrap/>
            <w:vAlign w:val="center"/>
            <w:hideMark/>
          </w:tcPr>
          <w:p w14:paraId="314FC416"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4,2</w:t>
            </w:r>
          </w:p>
        </w:tc>
        <w:tc>
          <w:tcPr>
            <w:tcW w:w="0" w:type="auto"/>
            <w:shd w:val="clear" w:color="auto" w:fill="auto"/>
            <w:noWrap/>
            <w:vAlign w:val="center"/>
            <w:hideMark/>
          </w:tcPr>
          <w:p w14:paraId="5C225F26"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6,2</w:t>
            </w:r>
          </w:p>
        </w:tc>
        <w:tc>
          <w:tcPr>
            <w:tcW w:w="0" w:type="auto"/>
            <w:shd w:val="clear" w:color="auto" w:fill="auto"/>
            <w:noWrap/>
            <w:vAlign w:val="center"/>
            <w:hideMark/>
          </w:tcPr>
          <w:p w14:paraId="2DA928DF"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6,2</w:t>
            </w:r>
          </w:p>
        </w:tc>
      </w:tr>
      <w:tr w:rsidR="007B6BE3" w:rsidRPr="0087376B" w14:paraId="4D0C9BA9" w14:textId="77777777" w:rsidTr="007B6BE3">
        <w:trPr>
          <w:trHeight w:val="320"/>
        </w:trPr>
        <w:tc>
          <w:tcPr>
            <w:tcW w:w="0" w:type="auto"/>
            <w:vMerge/>
            <w:vAlign w:val="center"/>
            <w:hideMark/>
          </w:tcPr>
          <w:p w14:paraId="69C0A328" w14:textId="77777777" w:rsidR="007B6BE3" w:rsidRPr="0087376B" w:rsidRDefault="007B6BE3" w:rsidP="007B6BE3">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1E4013CB" w14:textId="77777777" w:rsidR="007B6BE3" w:rsidRPr="0087376B" w:rsidRDefault="005B20F8" w:rsidP="007B6BE3">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Доспијеће</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дуга</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у</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сљедећој</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години</w:t>
            </w:r>
            <w:r w:rsidR="007B6BE3" w:rsidRPr="0087376B">
              <w:rPr>
                <w:rFonts w:ascii="Arial Narrow" w:eastAsia="Times New Roman" w:hAnsi="Arial Narrow" w:cs="Calibri"/>
                <w:color w:val="000000"/>
                <w:sz w:val="18"/>
                <w:szCs w:val="18"/>
              </w:rPr>
              <w:t xml:space="preserve">  (% </w:t>
            </w:r>
            <w:r>
              <w:rPr>
                <w:rFonts w:ascii="Arial Narrow" w:eastAsia="Times New Roman" w:hAnsi="Arial Narrow" w:cs="Calibri"/>
                <w:color w:val="000000"/>
                <w:sz w:val="18"/>
                <w:szCs w:val="18"/>
              </w:rPr>
              <w:t>укупног</w:t>
            </w:r>
            <w:r w:rsidR="007B6BE3" w:rsidRPr="0087376B">
              <w:rPr>
                <w:rFonts w:ascii="Arial Narrow" w:eastAsia="Times New Roman" w:hAnsi="Arial Narrow" w:cs="Calibri"/>
                <w:color w:val="000000"/>
                <w:sz w:val="18"/>
                <w:szCs w:val="18"/>
              </w:rPr>
              <w:t>)</w:t>
            </w:r>
          </w:p>
        </w:tc>
        <w:tc>
          <w:tcPr>
            <w:tcW w:w="0" w:type="auto"/>
            <w:shd w:val="clear" w:color="auto" w:fill="auto"/>
            <w:noWrap/>
            <w:vAlign w:val="center"/>
            <w:hideMark/>
          </w:tcPr>
          <w:p w14:paraId="1B44198E" w14:textId="77777777" w:rsidR="007B6BE3" w:rsidRPr="0087376B" w:rsidRDefault="007B6BE3" w:rsidP="007B6BE3">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8,2</w:t>
            </w:r>
          </w:p>
        </w:tc>
        <w:tc>
          <w:tcPr>
            <w:tcW w:w="0" w:type="auto"/>
            <w:shd w:val="clear" w:color="auto" w:fill="auto"/>
            <w:noWrap/>
            <w:vAlign w:val="center"/>
          </w:tcPr>
          <w:p w14:paraId="1E952904" w14:textId="77777777" w:rsidR="007B6BE3" w:rsidRPr="0087376B" w:rsidRDefault="007B6BE3" w:rsidP="007B6BE3">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12,4</w:t>
            </w:r>
          </w:p>
        </w:tc>
        <w:tc>
          <w:tcPr>
            <w:tcW w:w="0" w:type="auto"/>
            <w:shd w:val="clear" w:color="auto" w:fill="auto"/>
            <w:noWrap/>
            <w:vAlign w:val="center"/>
            <w:hideMark/>
          </w:tcPr>
          <w:p w14:paraId="5B533C6B" w14:textId="77777777" w:rsidR="007B6BE3" w:rsidRPr="0087376B" w:rsidRDefault="007B6BE3" w:rsidP="007B6BE3">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33,9</w:t>
            </w:r>
          </w:p>
        </w:tc>
        <w:tc>
          <w:tcPr>
            <w:tcW w:w="0" w:type="auto"/>
            <w:shd w:val="clear" w:color="auto" w:fill="auto"/>
            <w:noWrap/>
            <w:vAlign w:val="center"/>
            <w:hideMark/>
          </w:tcPr>
          <w:p w14:paraId="2341B707" w14:textId="77777777" w:rsidR="007B6BE3" w:rsidRPr="0087376B" w:rsidRDefault="007B6BE3" w:rsidP="007B6BE3">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15,6</w:t>
            </w:r>
          </w:p>
        </w:tc>
        <w:tc>
          <w:tcPr>
            <w:tcW w:w="0" w:type="auto"/>
            <w:shd w:val="clear" w:color="auto" w:fill="auto"/>
            <w:noWrap/>
            <w:vAlign w:val="center"/>
            <w:hideMark/>
          </w:tcPr>
          <w:p w14:paraId="2B175F6F" w14:textId="77777777" w:rsidR="007B6BE3" w:rsidRPr="0087376B" w:rsidRDefault="007B6BE3" w:rsidP="007B6BE3">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11,5</w:t>
            </w:r>
          </w:p>
        </w:tc>
        <w:tc>
          <w:tcPr>
            <w:tcW w:w="0" w:type="auto"/>
            <w:shd w:val="clear" w:color="auto" w:fill="auto"/>
            <w:noWrap/>
            <w:vAlign w:val="center"/>
            <w:hideMark/>
          </w:tcPr>
          <w:p w14:paraId="3AB501A3" w14:textId="77777777" w:rsidR="007B6BE3" w:rsidRPr="0087376B" w:rsidRDefault="007B6BE3" w:rsidP="007B6BE3">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12,8</w:t>
            </w:r>
          </w:p>
        </w:tc>
      </w:tr>
      <w:tr w:rsidR="007B6BE3" w:rsidRPr="0087376B" w14:paraId="4EB80A6B" w14:textId="77777777" w:rsidTr="007B6BE3">
        <w:trPr>
          <w:trHeight w:val="320"/>
        </w:trPr>
        <w:tc>
          <w:tcPr>
            <w:tcW w:w="0" w:type="auto"/>
            <w:vMerge/>
            <w:vAlign w:val="center"/>
            <w:hideMark/>
          </w:tcPr>
          <w:p w14:paraId="77BC8D3D" w14:textId="77777777" w:rsidR="007B6BE3" w:rsidRPr="0087376B" w:rsidRDefault="007B6BE3" w:rsidP="007B6BE3">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17835E1D" w14:textId="77777777" w:rsidR="007B6BE3" w:rsidRPr="0087376B" w:rsidRDefault="005B20F8" w:rsidP="007B6BE3">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Доспијеће</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дуга</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у</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сљедећој</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години</w:t>
            </w:r>
            <w:r w:rsidR="007B6BE3" w:rsidRPr="0087376B">
              <w:rPr>
                <w:rFonts w:ascii="Arial Narrow" w:eastAsia="Times New Roman" w:hAnsi="Arial Narrow" w:cs="Calibri"/>
                <w:color w:val="000000"/>
                <w:sz w:val="18"/>
                <w:szCs w:val="18"/>
              </w:rPr>
              <w:t xml:space="preserve">  (% </w:t>
            </w:r>
            <w:r>
              <w:rPr>
                <w:rFonts w:ascii="Arial Narrow" w:eastAsia="Times New Roman" w:hAnsi="Arial Narrow" w:cs="Calibri"/>
                <w:color w:val="000000"/>
                <w:sz w:val="18"/>
                <w:szCs w:val="18"/>
              </w:rPr>
              <w:t>БДП</w:t>
            </w:r>
            <w:r w:rsidR="007B6BE3" w:rsidRPr="0087376B">
              <w:rPr>
                <w:rFonts w:ascii="Arial Narrow" w:eastAsia="Times New Roman" w:hAnsi="Arial Narrow" w:cs="Calibri"/>
                <w:color w:val="000000"/>
                <w:sz w:val="18"/>
                <w:szCs w:val="18"/>
              </w:rPr>
              <w:t>)</w:t>
            </w:r>
          </w:p>
        </w:tc>
        <w:tc>
          <w:tcPr>
            <w:tcW w:w="0" w:type="auto"/>
            <w:shd w:val="clear" w:color="auto" w:fill="auto"/>
            <w:noWrap/>
            <w:vAlign w:val="center"/>
            <w:hideMark/>
          </w:tcPr>
          <w:p w14:paraId="25BE493E"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1,9</w:t>
            </w:r>
          </w:p>
        </w:tc>
        <w:tc>
          <w:tcPr>
            <w:tcW w:w="0" w:type="auto"/>
            <w:shd w:val="clear" w:color="auto" w:fill="auto"/>
            <w:noWrap/>
            <w:vAlign w:val="center"/>
            <w:hideMark/>
          </w:tcPr>
          <w:p w14:paraId="100C86AD"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1,8</w:t>
            </w:r>
          </w:p>
        </w:tc>
        <w:tc>
          <w:tcPr>
            <w:tcW w:w="0" w:type="auto"/>
            <w:shd w:val="clear" w:color="auto" w:fill="auto"/>
            <w:noWrap/>
            <w:vAlign w:val="center"/>
            <w:hideMark/>
          </w:tcPr>
          <w:p w14:paraId="4B974256"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1,1</w:t>
            </w:r>
          </w:p>
        </w:tc>
        <w:tc>
          <w:tcPr>
            <w:tcW w:w="0" w:type="auto"/>
            <w:shd w:val="clear" w:color="auto" w:fill="auto"/>
            <w:noWrap/>
            <w:vAlign w:val="center"/>
            <w:hideMark/>
          </w:tcPr>
          <w:p w14:paraId="04D8AC85"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0,3</w:t>
            </w:r>
          </w:p>
        </w:tc>
        <w:tc>
          <w:tcPr>
            <w:tcW w:w="0" w:type="auto"/>
            <w:shd w:val="clear" w:color="auto" w:fill="auto"/>
            <w:noWrap/>
            <w:vAlign w:val="center"/>
            <w:hideMark/>
          </w:tcPr>
          <w:p w14:paraId="075F248A"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3,3</w:t>
            </w:r>
          </w:p>
        </w:tc>
        <w:tc>
          <w:tcPr>
            <w:tcW w:w="0" w:type="auto"/>
            <w:shd w:val="clear" w:color="auto" w:fill="auto"/>
            <w:noWrap/>
            <w:vAlign w:val="center"/>
            <w:hideMark/>
          </w:tcPr>
          <w:p w14:paraId="68097AC7"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w:t>
            </w:r>
          </w:p>
        </w:tc>
      </w:tr>
      <w:tr w:rsidR="007B6BE3" w:rsidRPr="0087376B" w14:paraId="6C9E993E" w14:textId="77777777" w:rsidTr="007B6BE3">
        <w:trPr>
          <w:trHeight w:val="320"/>
        </w:trPr>
        <w:tc>
          <w:tcPr>
            <w:tcW w:w="0" w:type="auto"/>
            <w:vMerge w:val="restart"/>
            <w:shd w:val="clear" w:color="auto" w:fill="auto"/>
            <w:noWrap/>
            <w:vAlign w:val="center"/>
            <w:hideMark/>
          </w:tcPr>
          <w:p w14:paraId="05749AD1" w14:textId="77777777" w:rsidR="007B6BE3" w:rsidRPr="0087376B" w:rsidRDefault="005B20F8" w:rsidP="007B6BE3">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Каматни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ризик</w:t>
            </w:r>
          </w:p>
        </w:tc>
        <w:tc>
          <w:tcPr>
            <w:tcW w:w="0" w:type="auto"/>
            <w:shd w:val="clear" w:color="auto" w:fill="auto"/>
            <w:noWrap/>
            <w:vAlign w:val="center"/>
            <w:hideMark/>
          </w:tcPr>
          <w:p w14:paraId="656405A3" w14:textId="77777777" w:rsidR="007B6BE3" w:rsidRPr="0087376B" w:rsidRDefault="005B20F8" w:rsidP="007B6BE3">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Просјечно</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вријеме</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рефиксирања</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године</w:t>
            </w:r>
            <w:r w:rsidR="007B6BE3" w:rsidRPr="0087376B">
              <w:rPr>
                <w:rFonts w:ascii="Arial Narrow" w:eastAsia="Times New Roman" w:hAnsi="Arial Narrow" w:cs="Calibri"/>
                <w:color w:val="000000"/>
                <w:sz w:val="18"/>
                <w:szCs w:val="18"/>
              </w:rPr>
              <w:t>)</w:t>
            </w:r>
          </w:p>
        </w:tc>
        <w:tc>
          <w:tcPr>
            <w:tcW w:w="0" w:type="auto"/>
            <w:shd w:val="clear" w:color="auto" w:fill="auto"/>
            <w:noWrap/>
            <w:vAlign w:val="center"/>
            <w:hideMark/>
          </w:tcPr>
          <w:p w14:paraId="49392385"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4,2</w:t>
            </w:r>
          </w:p>
        </w:tc>
        <w:tc>
          <w:tcPr>
            <w:tcW w:w="0" w:type="auto"/>
            <w:shd w:val="clear" w:color="auto" w:fill="auto"/>
            <w:noWrap/>
            <w:vAlign w:val="center"/>
            <w:hideMark/>
          </w:tcPr>
          <w:p w14:paraId="30146EF9"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4,2</w:t>
            </w:r>
          </w:p>
        </w:tc>
        <w:tc>
          <w:tcPr>
            <w:tcW w:w="0" w:type="auto"/>
            <w:shd w:val="clear" w:color="auto" w:fill="auto"/>
            <w:noWrap/>
            <w:vAlign w:val="center"/>
            <w:hideMark/>
          </w:tcPr>
          <w:p w14:paraId="1AF20F24"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3,6</w:t>
            </w:r>
          </w:p>
        </w:tc>
        <w:tc>
          <w:tcPr>
            <w:tcW w:w="0" w:type="auto"/>
            <w:shd w:val="clear" w:color="auto" w:fill="auto"/>
            <w:noWrap/>
            <w:vAlign w:val="center"/>
            <w:hideMark/>
          </w:tcPr>
          <w:p w14:paraId="533B92E5"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4,2</w:t>
            </w:r>
          </w:p>
        </w:tc>
        <w:tc>
          <w:tcPr>
            <w:tcW w:w="0" w:type="auto"/>
            <w:shd w:val="clear" w:color="auto" w:fill="auto"/>
            <w:noWrap/>
            <w:vAlign w:val="center"/>
            <w:hideMark/>
          </w:tcPr>
          <w:p w14:paraId="2F7F4B96"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4,1</w:t>
            </w:r>
          </w:p>
        </w:tc>
        <w:tc>
          <w:tcPr>
            <w:tcW w:w="0" w:type="auto"/>
            <w:shd w:val="clear" w:color="auto" w:fill="auto"/>
            <w:noWrap/>
            <w:vAlign w:val="center"/>
            <w:hideMark/>
          </w:tcPr>
          <w:p w14:paraId="41837EA7"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4,2</w:t>
            </w:r>
          </w:p>
        </w:tc>
      </w:tr>
      <w:tr w:rsidR="007B6BE3" w:rsidRPr="0087376B" w14:paraId="6C40F64B" w14:textId="77777777" w:rsidTr="007B6BE3">
        <w:trPr>
          <w:trHeight w:val="320"/>
        </w:trPr>
        <w:tc>
          <w:tcPr>
            <w:tcW w:w="0" w:type="auto"/>
            <w:vMerge/>
            <w:vAlign w:val="center"/>
            <w:hideMark/>
          </w:tcPr>
          <w:p w14:paraId="1B69D1CB" w14:textId="77777777" w:rsidR="007B6BE3" w:rsidRPr="0087376B" w:rsidRDefault="007B6BE3" w:rsidP="007B6BE3">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45A20C5F" w14:textId="77777777" w:rsidR="007B6BE3" w:rsidRPr="0087376B" w:rsidRDefault="005B20F8" w:rsidP="007B6BE3">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Дуг</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који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се</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рефиксира</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у</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сљедећој</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години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укупног</w:t>
            </w:r>
            <w:r w:rsidR="007B6BE3" w:rsidRPr="0087376B">
              <w:rPr>
                <w:rFonts w:ascii="Arial Narrow" w:eastAsia="Times New Roman" w:hAnsi="Arial Narrow" w:cs="Calibri"/>
                <w:color w:val="000000"/>
                <w:sz w:val="18"/>
                <w:szCs w:val="18"/>
              </w:rPr>
              <w:t>)</w:t>
            </w:r>
          </w:p>
        </w:tc>
        <w:tc>
          <w:tcPr>
            <w:tcW w:w="0" w:type="auto"/>
            <w:shd w:val="clear" w:color="auto" w:fill="auto"/>
            <w:noWrap/>
            <w:vAlign w:val="center"/>
            <w:hideMark/>
          </w:tcPr>
          <w:p w14:paraId="74C1781E" w14:textId="77777777" w:rsidR="007B6BE3" w:rsidRPr="0087376B" w:rsidRDefault="007B6BE3" w:rsidP="007B6BE3">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47,5</w:t>
            </w:r>
          </w:p>
        </w:tc>
        <w:tc>
          <w:tcPr>
            <w:tcW w:w="0" w:type="auto"/>
            <w:shd w:val="clear" w:color="auto" w:fill="auto"/>
            <w:noWrap/>
            <w:vAlign w:val="center"/>
            <w:hideMark/>
          </w:tcPr>
          <w:p w14:paraId="3D2A0E69" w14:textId="77777777" w:rsidR="007B6BE3" w:rsidRPr="0087376B" w:rsidRDefault="007B6BE3" w:rsidP="007B6BE3">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48,8</w:t>
            </w:r>
          </w:p>
        </w:tc>
        <w:tc>
          <w:tcPr>
            <w:tcW w:w="0" w:type="auto"/>
            <w:shd w:val="clear" w:color="auto" w:fill="auto"/>
            <w:noWrap/>
            <w:vAlign w:val="center"/>
            <w:hideMark/>
          </w:tcPr>
          <w:p w14:paraId="1177A132" w14:textId="77777777" w:rsidR="007B6BE3" w:rsidRPr="0087376B" w:rsidRDefault="007B6BE3" w:rsidP="007B6BE3">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33,9</w:t>
            </w:r>
          </w:p>
        </w:tc>
        <w:tc>
          <w:tcPr>
            <w:tcW w:w="0" w:type="auto"/>
            <w:shd w:val="clear" w:color="auto" w:fill="auto"/>
            <w:noWrap/>
            <w:vAlign w:val="center"/>
            <w:hideMark/>
          </w:tcPr>
          <w:p w14:paraId="356FC6D8" w14:textId="77777777" w:rsidR="007B6BE3" w:rsidRPr="0087376B" w:rsidRDefault="007B6BE3" w:rsidP="007B6BE3">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15,6</w:t>
            </w:r>
          </w:p>
        </w:tc>
        <w:tc>
          <w:tcPr>
            <w:tcW w:w="0" w:type="auto"/>
            <w:shd w:val="clear" w:color="auto" w:fill="auto"/>
            <w:noWrap/>
            <w:vAlign w:val="center"/>
            <w:hideMark/>
          </w:tcPr>
          <w:p w14:paraId="1C2C117B" w14:textId="77777777" w:rsidR="007B6BE3" w:rsidRPr="0087376B" w:rsidRDefault="007B6BE3" w:rsidP="007B6BE3">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45,8</w:t>
            </w:r>
          </w:p>
        </w:tc>
        <w:tc>
          <w:tcPr>
            <w:tcW w:w="0" w:type="auto"/>
            <w:shd w:val="clear" w:color="auto" w:fill="auto"/>
            <w:noWrap/>
            <w:vAlign w:val="center"/>
            <w:hideMark/>
          </w:tcPr>
          <w:p w14:paraId="61A75A52" w14:textId="77777777" w:rsidR="007B6BE3" w:rsidRPr="0087376B" w:rsidRDefault="007B6BE3" w:rsidP="007B6BE3">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45,2</w:t>
            </w:r>
          </w:p>
        </w:tc>
      </w:tr>
      <w:tr w:rsidR="007B6BE3" w:rsidRPr="0087376B" w14:paraId="70C0D569" w14:textId="77777777" w:rsidTr="007B6BE3">
        <w:trPr>
          <w:trHeight w:val="320"/>
        </w:trPr>
        <w:tc>
          <w:tcPr>
            <w:tcW w:w="0" w:type="auto"/>
            <w:vMerge/>
            <w:vAlign w:val="center"/>
            <w:hideMark/>
          </w:tcPr>
          <w:p w14:paraId="13359AC7" w14:textId="77777777" w:rsidR="007B6BE3" w:rsidRPr="0087376B" w:rsidRDefault="007B6BE3" w:rsidP="007B6BE3">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0A7F7DC4" w14:textId="77777777" w:rsidR="007B6BE3" w:rsidRPr="0087376B" w:rsidRDefault="005B20F8" w:rsidP="007B6BE3">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Дуг</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са</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фиксном</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каматном</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стопом</w:t>
            </w:r>
            <w:r w:rsidR="007B6BE3" w:rsidRPr="0087376B">
              <w:rPr>
                <w:rFonts w:ascii="Arial Narrow" w:eastAsia="Times New Roman" w:hAnsi="Arial Narrow" w:cs="Calibri"/>
                <w:color w:val="000000"/>
                <w:sz w:val="18"/>
                <w:szCs w:val="18"/>
              </w:rPr>
              <w:t xml:space="preserve">  (% </w:t>
            </w:r>
            <w:r>
              <w:rPr>
                <w:rFonts w:ascii="Arial Narrow" w:eastAsia="Times New Roman" w:hAnsi="Arial Narrow" w:cs="Calibri"/>
                <w:color w:val="000000"/>
                <w:sz w:val="18"/>
                <w:szCs w:val="18"/>
              </w:rPr>
              <w:t>укупног</w:t>
            </w:r>
            <w:r w:rsidR="007B6BE3" w:rsidRPr="0087376B">
              <w:rPr>
                <w:rFonts w:ascii="Arial Narrow" w:eastAsia="Times New Roman" w:hAnsi="Arial Narrow" w:cs="Calibri"/>
                <w:color w:val="000000"/>
                <w:sz w:val="18"/>
                <w:szCs w:val="18"/>
              </w:rPr>
              <w:t>)</w:t>
            </w:r>
          </w:p>
        </w:tc>
        <w:tc>
          <w:tcPr>
            <w:tcW w:w="0" w:type="auto"/>
            <w:shd w:val="clear" w:color="auto" w:fill="auto"/>
            <w:noWrap/>
            <w:vAlign w:val="center"/>
            <w:hideMark/>
          </w:tcPr>
          <w:p w14:paraId="580887E4"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57,1</w:t>
            </w:r>
          </w:p>
        </w:tc>
        <w:tc>
          <w:tcPr>
            <w:tcW w:w="0" w:type="auto"/>
            <w:shd w:val="clear" w:color="auto" w:fill="auto"/>
            <w:noWrap/>
            <w:vAlign w:val="center"/>
            <w:hideMark/>
          </w:tcPr>
          <w:p w14:paraId="5A521ECD"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57,6</w:t>
            </w:r>
          </w:p>
        </w:tc>
        <w:tc>
          <w:tcPr>
            <w:tcW w:w="0" w:type="auto"/>
            <w:shd w:val="clear" w:color="auto" w:fill="auto"/>
            <w:noWrap/>
            <w:vAlign w:val="center"/>
            <w:hideMark/>
          </w:tcPr>
          <w:p w14:paraId="1B748AAC"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100</w:t>
            </w:r>
          </w:p>
        </w:tc>
        <w:tc>
          <w:tcPr>
            <w:tcW w:w="0" w:type="auto"/>
            <w:shd w:val="clear" w:color="auto" w:fill="auto"/>
            <w:noWrap/>
            <w:vAlign w:val="center"/>
            <w:hideMark/>
          </w:tcPr>
          <w:p w14:paraId="60F8A70C"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100</w:t>
            </w:r>
          </w:p>
        </w:tc>
        <w:tc>
          <w:tcPr>
            <w:tcW w:w="0" w:type="auto"/>
            <w:shd w:val="clear" w:color="auto" w:fill="auto"/>
            <w:noWrap/>
            <w:vAlign w:val="center"/>
            <w:hideMark/>
          </w:tcPr>
          <w:p w14:paraId="3E2D6AE6"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62,5</w:t>
            </w:r>
          </w:p>
        </w:tc>
        <w:tc>
          <w:tcPr>
            <w:tcW w:w="0" w:type="auto"/>
            <w:shd w:val="clear" w:color="auto" w:fill="auto"/>
            <w:noWrap/>
            <w:vAlign w:val="center"/>
            <w:hideMark/>
          </w:tcPr>
          <w:p w14:paraId="6F6AD6D6"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62,2</w:t>
            </w:r>
          </w:p>
        </w:tc>
      </w:tr>
      <w:tr w:rsidR="007B6BE3" w:rsidRPr="0087376B" w14:paraId="035E8979" w14:textId="77777777" w:rsidTr="007B6BE3">
        <w:trPr>
          <w:trHeight w:val="320"/>
        </w:trPr>
        <w:tc>
          <w:tcPr>
            <w:tcW w:w="0" w:type="auto"/>
            <w:vMerge w:val="restart"/>
            <w:shd w:val="clear" w:color="auto" w:fill="auto"/>
            <w:noWrap/>
            <w:vAlign w:val="center"/>
            <w:hideMark/>
          </w:tcPr>
          <w:p w14:paraId="30C81F25" w14:textId="77777777" w:rsidR="007B6BE3" w:rsidRPr="0087376B" w:rsidRDefault="005B20F8" w:rsidP="007B6BE3">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Валутни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ризик</w:t>
            </w:r>
          </w:p>
        </w:tc>
        <w:tc>
          <w:tcPr>
            <w:tcW w:w="0" w:type="auto"/>
            <w:shd w:val="clear" w:color="auto" w:fill="auto"/>
            <w:noWrap/>
            <w:vAlign w:val="center"/>
            <w:hideMark/>
          </w:tcPr>
          <w:p w14:paraId="085FADFB" w14:textId="77777777" w:rsidR="007B6BE3" w:rsidRPr="0087376B" w:rsidRDefault="005B20F8" w:rsidP="007B6BE3">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Девизни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дуг</w:t>
            </w:r>
            <w:r w:rsidR="007B6BE3" w:rsidRPr="0087376B">
              <w:rPr>
                <w:rFonts w:ascii="Arial Narrow" w:eastAsia="Times New Roman" w:hAnsi="Arial Narrow" w:cs="Calibri"/>
                <w:color w:val="000000"/>
                <w:sz w:val="18"/>
                <w:szCs w:val="18"/>
              </w:rPr>
              <w:t xml:space="preserve">  (% </w:t>
            </w:r>
            <w:r>
              <w:rPr>
                <w:rFonts w:ascii="Arial Narrow" w:eastAsia="Times New Roman" w:hAnsi="Arial Narrow" w:cs="Calibri"/>
                <w:color w:val="000000"/>
                <w:sz w:val="18"/>
                <w:szCs w:val="18"/>
              </w:rPr>
              <w:t>укупног</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дуга</w:t>
            </w:r>
            <w:r w:rsidR="007B6BE3" w:rsidRPr="0087376B">
              <w:rPr>
                <w:rFonts w:ascii="Arial Narrow" w:eastAsia="Times New Roman" w:hAnsi="Arial Narrow" w:cs="Calibri"/>
                <w:color w:val="000000"/>
                <w:sz w:val="18"/>
                <w:szCs w:val="18"/>
              </w:rPr>
              <w:t>)</w:t>
            </w:r>
          </w:p>
        </w:tc>
        <w:tc>
          <w:tcPr>
            <w:tcW w:w="0" w:type="auto"/>
            <w:shd w:val="clear" w:color="auto" w:fill="auto"/>
            <w:vAlign w:val="center"/>
            <w:hideMark/>
          </w:tcPr>
          <w:p w14:paraId="59A21A00"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noWrap/>
            <w:vAlign w:val="center"/>
            <w:hideMark/>
          </w:tcPr>
          <w:p w14:paraId="3ACC4519"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vAlign w:val="center"/>
            <w:hideMark/>
          </w:tcPr>
          <w:p w14:paraId="4983946B"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noWrap/>
            <w:vAlign w:val="center"/>
            <w:hideMark/>
          </w:tcPr>
          <w:p w14:paraId="57E19986"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noWrap/>
            <w:vAlign w:val="center"/>
            <w:hideMark/>
          </w:tcPr>
          <w:p w14:paraId="04CB7C8E"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87,8</w:t>
            </w:r>
          </w:p>
        </w:tc>
        <w:tc>
          <w:tcPr>
            <w:tcW w:w="0" w:type="auto"/>
            <w:shd w:val="clear" w:color="auto" w:fill="auto"/>
            <w:noWrap/>
            <w:vAlign w:val="center"/>
            <w:hideMark/>
          </w:tcPr>
          <w:p w14:paraId="0D760305"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88,9</w:t>
            </w:r>
          </w:p>
        </w:tc>
      </w:tr>
      <w:tr w:rsidR="007B6BE3" w:rsidRPr="0087376B" w14:paraId="476B9A11" w14:textId="77777777" w:rsidTr="007B6BE3">
        <w:trPr>
          <w:trHeight w:val="320"/>
        </w:trPr>
        <w:tc>
          <w:tcPr>
            <w:tcW w:w="0" w:type="auto"/>
            <w:vMerge/>
            <w:vAlign w:val="center"/>
            <w:hideMark/>
          </w:tcPr>
          <w:p w14:paraId="5CCC9257" w14:textId="77777777" w:rsidR="007B6BE3" w:rsidRPr="0087376B" w:rsidRDefault="007B6BE3" w:rsidP="007B6BE3">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2F16F3F7" w14:textId="77777777" w:rsidR="007B6BE3" w:rsidRPr="0087376B" w:rsidRDefault="005B20F8" w:rsidP="007B6BE3">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Краткорочни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девизни</w:t>
            </w:r>
            <w:r w:rsidR="007B6BE3" w:rsidRPr="0087376B">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дуг</w:t>
            </w:r>
            <w:r w:rsidR="007B6BE3" w:rsidRPr="0087376B">
              <w:rPr>
                <w:rFonts w:ascii="Arial Narrow" w:eastAsia="Times New Roman" w:hAnsi="Arial Narrow" w:cs="Calibri"/>
                <w:color w:val="000000"/>
                <w:sz w:val="18"/>
                <w:szCs w:val="18"/>
              </w:rPr>
              <w:t xml:space="preserve"> (% </w:t>
            </w:r>
            <w:r>
              <w:rPr>
                <w:rFonts w:ascii="Arial Narrow" w:eastAsia="Times New Roman" w:hAnsi="Arial Narrow" w:cs="Calibri"/>
                <w:color w:val="000000"/>
                <w:sz w:val="18"/>
                <w:szCs w:val="18"/>
              </w:rPr>
              <w:t>резерви</w:t>
            </w:r>
            <w:r w:rsidR="007B6BE3" w:rsidRPr="0087376B">
              <w:rPr>
                <w:rFonts w:ascii="Arial Narrow" w:eastAsia="Times New Roman" w:hAnsi="Arial Narrow" w:cs="Calibri"/>
                <w:color w:val="000000"/>
                <w:sz w:val="18"/>
                <w:szCs w:val="18"/>
              </w:rPr>
              <w:t>)</w:t>
            </w:r>
          </w:p>
        </w:tc>
        <w:tc>
          <w:tcPr>
            <w:tcW w:w="0" w:type="auto"/>
            <w:shd w:val="clear" w:color="auto" w:fill="auto"/>
            <w:vAlign w:val="center"/>
            <w:hideMark/>
          </w:tcPr>
          <w:p w14:paraId="1E9A14D6"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noWrap/>
            <w:vAlign w:val="center"/>
            <w:hideMark/>
          </w:tcPr>
          <w:p w14:paraId="181E21DF"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vAlign w:val="center"/>
            <w:hideMark/>
          </w:tcPr>
          <w:p w14:paraId="57063077"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noWrap/>
            <w:vAlign w:val="center"/>
            <w:hideMark/>
          </w:tcPr>
          <w:p w14:paraId="237E37DF"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noWrap/>
            <w:vAlign w:val="center"/>
            <w:hideMark/>
          </w:tcPr>
          <w:p w14:paraId="3C323C68"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3,0</w:t>
            </w:r>
          </w:p>
        </w:tc>
        <w:tc>
          <w:tcPr>
            <w:tcW w:w="0" w:type="auto"/>
            <w:shd w:val="clear" w:color="auto" w:fill="auto"/>
            <w:noWrap/>
            <w:vAlign w:val="center"/>
            <w:hideMark/>
          </w:tcPr>
          <w:p w14:paraId="6E4425D0" w14:textId="77777777" w:rsidR="007B6BE3" w:rsidRPr="0087376B" w:rsidRDefault="007B6BE3" w:rsidP="007B6BE3">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4,1</w:t>
            </w:r>
          </w:p>
        </w:tc>
      </w:tr>
    </w:tbl>
    <w:p w14:paraId="0602619C" w14:textId="77777777" w:rsidR="007B6BE3" w:rsidRPr="0087376B" w:rsidRDefault="007B6BE3" w:rsidP="007B6BE3"/>
    <w:p w14:paraId="24675293" w14:textId="6F5978A0" w:rsidR="007B6BE3" w:rsidRPr="0092788C" w:rsidRDefault="005B20F8" w:rsidP="0092788C">
      <w:pPr>
        <w:pStyle w:val="Heading2"/>
        <w:numPr>
          <w:ilvl w:val="1"/>
          <w:numId w:val="1"/>
        </w:numPr>
        <w:spacing w:before="0"/>
        <w:ind w:left="993" w:hanging="709"/>
        <w:rPr>
          <w:rFonts w:ascii="Arial" w:hAnsi="Arial" w:cs="Arial"/>
          <w:b w:val="0"/>
          <w:color w:val="auto"/>
          <w:sz w:val="24"/>
          <w:szCs w:val="24"/>
        </w:rPr>
      </w:pPr>
      <w:bookmarkStart w:id="99" w:name="_Toc100751750"/>
      <w:bookmarkStart w:id="100" w:name="_Toc100754207"/>
      <w:bookmarkStart w:id="101" w:name="_Toc100754651"/>
      <w:bookmarkStart w:id="102" w:name="_Toc100755043"/>
      <w:bookmarkStart w:id="103" w:name="_Toc100818774"/>
      <w:bookmarkStart w:id="104" w:name="_Toc100820480"/>
      <w:bookmarkStart w:id="105" w:name="_Toc100822768"/>
      <w:bookmarkStart w:id="106" w:name="_Toc100823307"/>
      <w:bookmarkStart w:id="107" w:name="_Toc100823750"/>
      <w:bookmarkStart w:id="108" w:name="_Toc149810613"/>
      <w:bookmarkEnd w:id="99"/>
      <w:bookmarkEnd w:id="100"/>
      <w:bookmarkEnd w:id="101"/>
      <w:bookmarkEnd w:id="102"/>
      <w:bookmarkEnd w:id="103"/>
      <w:bookmarkEnd w:id="104"/>
      <w:bookmarkEnd w:id="105"/>
      <w:bookmarkEnd w:id="106"/>
      <w:bookmarkEnd w:id="107"/>
      <w:r w:rsidRPr="0092788C">
        <w:rPr>
          <w:rFonts w:ascii="Arial" w:hAnsi="Arial" w:cs="Arial"/>
          <w:b w:val="0"/>
          <w:color w:val="auto"/>
          <w:sz w:val="24"/>
          <w:szCs w:val="24"/>
        </w:rPr>
        <w:t>Ризик</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рефинансирања</w:t>
      </w:r>
      <w:bookmarkEnd w:id="108"/>
    </w:p>
    <w:p w14:paraId="2AD78E05" w14:textId="77777777" w:rsidR="007B6BE3" w:rsidRPr="0087376B" w:rsidRDefault="007B6BE3" w:rsidP="007B6BE3">
      <w:pPr>
        <w:pStyle w:val="ParagraphNumbering"/>
        <w:numPr>
          <w:ilvl w:val="0"/>
          <w:numId w:val="0"/>
        </w:numPr>
        <w:spacing w:after="0" w:line="240" w:lineRule="auto"/>
        <w:jc w:val="both"/>
        <w:rPr>
          <w:rFonts w:ascii="Arial" w:hAnsi="Arial" w:cs="Arial"/>
          <w:bCs/>
        </w:rPr>
      </w:pPr>
    </w:p>
    <w:p w14:paraId="2C937532" w14:textId="17AAA269" w:rsidR="007B6BE3" w:rsidRDefault="005B20F8" w:rsidP="00FA0BC6">
      <w:pPr>
        <w:pStyle w:val="ParagraphNumbering"/>
        <w:numPr>
          <w:ilvl w:val="0"/>
          <w:numId w:val="0"/>
        </w:numPr>
        <w:spacing w:after="0" w:line="276" w:lineRule="auto"/>
        <w:ind w:firstLine="284"/>
        <w:jc w:val="both"/>
        <w:rPr>
          <w:rFonts w:ascii="Arial" w:hAnsi="Arial" w:cs="Arial"/>
          <w:bCs/>
          <w:sz w:val="22"/>
        </w:rPr>
      </w:pPr>
      <w:r>
        <w:rPr>
          <w:rFonts w:ascii="Arial" w:hAnsi="Arial" w:cs="Arial"/>
          <w:bCs/>
          <w:sz w:val="22"/>
        </w:rPr>
        <w:t>Ризик</w:t>
      </w:r>
      <w:r w:rsidR="007B6BE3" w:rsidRPr="0087376B">
        <w:rPr>
          <w:rFonts w:ascii="Arial" w:hAnsi="Arial" w:cs="Arial"/>
          <w:bCs/>
          <w:sz w:val="22"/>
        </w:rPr>
        <w:t xml:space="preserve"> </w:t>
      </w:r>
      <w:r>
        <w:rPr>
          <w:rFonts w:ascii="Arial" w:hAnsi="Arial" w:cs="Arial"/>
          <w:bCs/>
          <w:sz w:val="22"/>
        </w:rPr>
        <w:t>рефинансирања</w:t>
      </w:r>
      <w:r w:rsidR="007B6BE3" w:rsidRPr="0087376B">
        <w:rPr>
          <w:rFonts w:ascii="Arial" w:hAnsi="Arial" w:cs="Arial"/>
          <w:bCs/>
          <w:sz w:val="22"/>
        </w:rPr>
        <w:t xml:space="preserve"> </w:t>
      </w:r>
      <w:r>
        <w:rPr>
          <w:rFonts w:ascii="Arial" w:hAnsi="Arial" w:cs="Arial"/>
          <w:bCs/>
          <w:sz w:val="22"/>
        </w:rPr>
        <w:t>је</w:t>
      </w:r>
      <w:r w:rsidR="007B6BE3" w:rsidRPr="0087376B">
        <w:rPr>
          <w:rFonts w:ascii="Arial" w:hAnsi="Arial" w:cs="Arial"/>
          <w:bCs/>
          <w:sz w:val="22"/>
        </w:rPr>
        <w:t xml:space="preserve"> </w:t>
      </w:r>
      <w:r>
        <w:rPr>
          <w:rFonts w:ascii="Arial" w:hAnsi="Arial" w:cs="Arial"/>
          <w:bCs/>
          <w:sz w:val="22"/>
        </w:rPr>
        <w:t>значајан</w:t>
      </w:r>
      <w:r w:rsidR="007B6BE3" w:rsidRPr="0087376B">
        <w:rPr>
          <w:rFonts w:ascii="Arial" w:hAnsi="Arial" w:cs="Arial"/>
          <w:bCs/>
          <w:sz w:val="22"/>
        </w:rPr>
        <w:t xml:space="preserve"> </w:t>
      </w:r>
      <w:r>
        <w:rPr>
          <w:rFonts w:ascii="Arial" w:hAnsi="Arial" w:cs="Arial"/>
          <w:bCs/>
          <w:sz w:val="22"/>
        </w:rPr>
        <w:t>и</w:t>
      </w:r>
      <w:r w:rsidR="007B6BE3" w:rsidRPr="0087376B">
        <w:rPr>
          <w:rFonts w:ascii="Arial" w:hAnsi="Arial" w:cs="Arial"/>
          <w:bCs/>
          <w:sz w:val="22"/>
        </w:rPr>
        <w:t xml:space="preserve"> </w:t>
      </w:r>
      <w:r>
        <w:rPr>
          <w:rFonts w:ascii="Arial" w:hAnsi="Arial" w:cs="Arial"/>
          <w:bCs/>
          <w:sz w:val="22"/>
        </w:rPr>
        <w:t>за</w:t>
      </w:r>
      <w:r w:rsidR="007B6BE3" w:rsidRPr="0087376B">
        <w:rPr>
          <w:rFonts w:ascii="Arial" w:hAnsi="Arial" w:cs="Arial"/>
          <w:bCs/>
          <w:sz w:val="22"/>
        </w:rPr>
        <w:t xml:space="preserve"> </w:t>
      </w:r>
      <w:r>
        <w:rPr>
          <w:rFonts w:ascii="Arial" w:hAnsi="Arial" w:cs="Arial"/>
          <w:bCs/>
          <w:sz w:val="22"/>
        </w:rPr>
        <w:t>унутрашњи</w:t>
      </w:r>
      <w:r w:rsidR="007B6BE3" w:rsidRPr="0087376B">
        <w:rPr>
          <w:rFonts w:ascii="Arial" w:hAnsi="Arial" w:cs="Arial"/>
          <w:bCs/>
          <w:sz w:val="22"/>
        </w:rPr>
        <w:t xml:space="preserve"> </w:t>
      </w:r>
      <w:r>
        <w:rPr>
          <w:rFonts w:ascii="Arial" w:hAnsi="Arial" w:cs="Arial"/>
          <w:bCs/>
          <w:sz w:val="22"/>
        </w:rPr>
        <w:t>и</w:t>
      </w:r>
      <w:r w:rsidR="007B6BE3" w:rsidRPr="0087376B">
        <w:rPr>
          <w:rFonts w:ascii="Arial" w:hAnsi="Arial" w:cs="Arial"/>
          <w:bCs/>
          <w:sz w:val="22"/>
        </w:rPr>
        <w:t xml:space="preserve"> </w:t>
      </w:r>
      <w:r>
        <w:rPr>
          <w:rFonts w:ascii="Arial" w:hAnsi="Arial" w:cs="Arial"/>
          <w:bCs/>
          <w:sz w:val="22"/>
        </w:rPr>
        <w:t>за</w:t>
      </w:r>
      <w:r w:rsidR="007B6BE3" w:rsidRPr="0087376B">
        <w:rPr>
          <w:rFonts w:ascii="Arial" w:hAnsi="Arial" w:cs="Arial"/>
          <w:bCs/>
          <w:sz w:val="22"/>
        </w:rPr>
        <w:t xml:space="preserve"> </w:t>
      </w:r>
      <w:r>
        <w:rPr>
          <w:rFonts w:ascii="Arial" w:hAnsi="Arial" w:cs="Arial"/>
          <w:bCs/>
          <w:sz w:val="22"/>
        </w:rPr>
        <w:t>спољни</w:t>
      </w:r>
      <w:r w:rsidR="007B6BE3" w:rsidRPr="0087376B">
        <w:rPr>
          <w:rFonts w:ascii="Arial" w:hAnsi="Arial" w:cs="Arial"/>
          <w:bCs/>
          <w:sz w:val="22"/>
        </w:rPr>
        <w:t xml:space="preserve"> </w:t>
      </w:r>
      <w:r>
        <w:rPr>
          <w:rFonts w:ascii="Arial" w:hAnsi="Arial" w:cs="Arial"/>
          <w:bCs/>
          <w:sz w:val="22"/>
        </w:rPr>
        <w:t>дуг</w:t>
      </w:r>
      <w:r w:rsidR="007B6BE3" w:rsidRPr="0087376B">
        <w:rPr>
          <w:rFonts w:ascii="Arial" w:hAnsi="Arial" w:cs="Arial"/>
          <w:bCs/>
          <w:sz w:val="22"/>
        </w:rPr>
        <w:t xml:space="preserve"> </w:t>
      </w:r>
      <w:r>
        <w:rPr>
          <w:rFonts w:ascii="Arial" w:hAnsi="Arial" w:cs="Arial"/>
          <w:bCs/>
          <w:sz w:val="22"/>
        </w:rPr>
        <w:t>и</w:t>
      </w:r>
      <w:r w:rsidR="007B6BE3" w:rsidRPr="0087376B">
        <w:rPr>
          <w:rFonts w:ascii="Arial" w:hAnsi="Arial" w:cs="Arial"/>
          <w:bCs/>
          <w:sz w:val="22"/>
        </w:rPr>
        <w:t xml:space="preserve"> </w:t>
      </w:r>
      <w:r>
        <w:rPr>
          <w:rFonts w:ascii="Arial" w:hAnsi="Arial" w:cs="Arial"/>
          <w:bCs/>
          <w:sz w:val="22"/>
        </w:rPr>
        <w:t>концентрисан</w:t>
      </w:r>
      <w:r w:rsidR="007B6BE3" w:rsidRPr="0087376B">
        <w:rPr>
          <w:rFonts w:ascii="Arial" w:hAnsi="Arial" w:cs="Arial"/>
          <w:bCs/>
          <w:sz w:val="22"/>
        </w:rPr>
        <w:t xml:space="preserve"> </w:t>
      </w:r>
      <w:r>
        <w:rPr>
          <w:rFonts w:ascii="Arial" w:hAnsi="Arial" w:cs="Arial"/>
          <w:bCs/>
          <w:sz w:val="22"/>
        </w:rPr>
        <w:t>је</w:t>
      </w:r>
      <w:r w:rsidR="007B6BE3" w:rsidRPr="0087376B">
        <w:rPr>
          <w:rFonts w:ascii="Arial" w:hAnsi="Arial" w:cs="Arial"/>
          <w:bCs/>
          <w:sz w:val="22"/>
        </w:rPr>
        <w:t xml:space="preserve"> </w:t>
      </w:r>
      <w:r>
        <w:rPr>
          <w:rFonts w:ascii="Arial" w:hAnsi="Arial" w:cs="Arial"/>
          <w:bCs/>
          <w:sz w:val="22"/>
        </w:rPr>
        <w:t>на</w:t>
      </w:r>
      <w:r w:rsidR="007B6BE3" w:rsidRPr="0087376B">
        <w:rPr>
          <w:rFonts w:ascii="Arial" w:hAnsi="Arial" w:cs="Arial"/>
          <w:bCs/>
          <w:sz w:val="22"/>
        </w:rPr>
        <w:t xml:space="preserve"> </w:t>
      </w:r>
      <w:r>
        <w:rPr>
          <w:rFonts w:ascii="Arial" w:hAnsi="Arial" w:cs="Arial"/>
          <w:bCs/>
          <w:sz w:val="22"/>
        </w:rPr>
        <w:t>кратки</w:t>
      </w:r>
      <w:r w:rsidR="007B6BE3" w:rsidRPr="0087376B">
        <w:rPr>
          <w:rFonts w:ascii="Arial" w:hAnsi="Arial" w:cs="Arial"/>
          <w:bCs/>
          <w:sz w:val="22"/>
        </w:rPr>
        <w:t xml:space="preserve"> </w:t>
      </w:r>
      <w:r>
        <w:rPr>
          <w:rFonts w:ascii="Arial" w:hAnsi="Arial" w:cs="Arial"/>
          <w:bCs/>
          <w:sz w:val="22"/>
        </w:rPr>
        <w:t>и</w:t>
      </w:r>
      <w:r w:rsidR="007B6BE3" w:rsidRPr="0087376B">
        <w:rPr>
          <w:rFonts w:ascii="Arial" w:hAnsi="Arial" w:cs="Arial"/>
          <w:bCs/>
          <w:sz w:val="22"/>
        </w:rPr>
        <w:t xml:space="preserve"> </w:t>
      </w:r>
      <w:r>
        <w:rPr>
          <w:rFonts w:ascii="Arial" w:hAnsi="Arial" w:cs="Arial"/>
          <w:bCs/>
          <w:sz w:val="22"/>
        </w:rPr>
        <w:t>средњи</w:t>
      </w:r>
      <w:r w:rsidR="007B6BE3" w:rsidRPr="0087376B">
        <w:rPr>
          <w:rFonts w:ascii="Arial" w:hAnsi="Arial" w:cs="Arial"/>
          <w:bCs/>
          <w:sz w:val="22"/>
        </w:rPr>
        <w:t xml:space="preserve"> </w:t>
      </w:r>
      <w:r>
        <w:rPr>
          <w:rFonts w:ascii="Arial" w:hAnsi="Arial" w:cs="Arial"/>
          <w:bCs/>
          <w:sz w:val="22"/>
        </w:rPr>
        <w:t>рок</w:t>
      </w:r>
      <w:r w:rsidR="007B6BE3" w:rsidRPr="0087376B">
        <w:rPr>
          <w:rFonts w:ascii="Arial" w:hAnsi="Arial" w:cs="Arial"/>
          <w:bCs/>
          <w:sz w:val="22"/>
        </w:rPr>
        <w:t>.</w:t>
      </w:r>
      <w:r w:rsidR="007B6BE3" w:rsidRPr="0087376B">
        <w:rPr>
          <w:rFonts w:ascii="Arial" w:hAnsi="Arial" w:cs="Arial"/>
          <w:b/>
          <w:bCs/>
          <w:sz w:val="22"/>
        </w:rPr>
        <w:t xml:space="preserve"> </w:t>
      </w:r>
      <w:r>
        <w:rPr>
          <w:rFonts w:ascii="Arial" w:hAnsi="Arial" w:cs="Arial"/>
          <w:bCs/>
          <w:sz w:val="22"/>
        </w:rPr>
        <w:t>Просјечно</w:t>
      </w:r>
      <w:r w:rsidR="007B6BE3" w:rsidRPr="0087376B">
        <w:rPr>
          <w:rFonts w:ascii="Arial" w:hAnsi="Arial" w:cs="Arial"/>
          <w:bCs/>
          <w:sz w:val="22"/>
        </w:rPr>
        <w:t xml:space="preserve"> </w:t>
      </w:r>
      <w:r>
        <w:rPr>
          <w:rFonts w:ascii="Arial" w:hAnsi="Arial" w:cs="Arial"/>
          <w:bCs/>
          <w:sz w:val="22"/>
        </w:rPr>
        <w:t>вријеме</w:t>
      </w:r>
      <w:r w:rsidR="007B6BE3" w:rsidRPr="0087376B">
        <w:rPr>
          <w:rFonts w:ascii="Arial" w:hAnsi="Arial" w:cs="Arial"/>
          <w:bCs/>
          <w:sz w:val="22"/>
        </w:rPr>
        <w:t xml:space="preserve"> </w:t>
      </w:r>
      <w:r w:rsidRPr="00625E9C">
        <w:rPr>
          <w:rFonts w:ascii="Arial" w:hAnsi="Arial" w:cs="Arial"/>
          <w:bCs/>
          <w:sz w:val="22"/>
        </w:rPr>
        <w:t>доспијећа</w:t>
      </w:r>
      <w:r w:rsidR="007B6BE3" w:rsidRPr="00625E9C">
        <w:rPr>
          <w:rFonts w:ascii="Arial" w:hAnsi="Arial" w:cs="Arial"/>
          <w:bCs/>
          <w:sz w:val="22"/>
        </w:rPr>
        <w:t xml:space="preserve"> (</w:t>
      </w:r>
      <w:r w:rsidR="00625E9C" w:rsidRPr="00625E9C">
        <w:rPr>
          <w:rFonts w:ascii="Arial" w:hAnsi="Arial" w:cs="Arial"/>
          <w:bCs/>
          <w:sz w:val="22"/>
          <w:lang w:val="sr-Cyrl-BA"/>
        </w:rPr>
        <w:t>АТМ</w:t>
      </w:r>
      <w:r w:rsidR="007B6BE3" w:rsidRPr="00625E9C">
        <w:rPr>
          <w:rFonts w:ascii="Arial" w:hAnsi="Arial" w:cs="Arial"/>
          <w:bCs/>
          <w:sz w:val="22"/>
        </w:rPr>
        <w:t xml:space="preserve">) </w:t>
      </w:r>
      <w:r>
        <w:rPr>
          <w:rFonts w:ascii="Arial" w:hAnsi="Arial" w:cs="Arial"/>
          <w:bCs/>
          <w:sz w:val="22"/>
        </w:rPr>
        <w:t>за</w:t>
      </w:r>
      <w:r w:rsidR="007B6BE3" w:rsidRPr="0087376B">
        <w:rPr>
          <w:rFonts w:ascii="Arial" w:hAnsi="Arial" w:cs="Arial"/>
          <w:bCs/>
          <w:sz w:val="22"/>
        </w:rPr>
        <w:t xml:space="preserve"> </w:t>
      </w:r>
      <w:r>
        <w:rPr>
          <w:rFonts w:ascii="Arial" w:hAnsi="Arial" w:cs="Arial"/>
          <w:bCs/>
          <w:sz w:val="22"/>
        </w:rPr>
        <w:t>унутрашњи</w:t>
      </w:r>
      <w:r w:rsidR="007B6BE3" w:rsidRPr="0087376B">
        <w:rPr>
          <w:rFonts w:ascii="Arial" w:hAnsi="Arial" w:cs="Arial"/>
          <w:bCs/>
          <w:sz w:val="22"/>
        </w:rPr>
        <w:t xml:space="preserve"> </w:t>
      </w:r>
      <w:r>
        <w:rPr>
          <w:rFonts w:ascii="Arial" w:hAnsi="Arial" w:cs="Arial"/>
          <w:bCs/>
          <w:sz w:val="22"/>
        </w:rPr>
        <w:t>дуг</w:t>
      </w:r>
      <w:r w:rsidR="007B6BE3" w:rsidRPr="0087376B">
        <w:rPr>
          <w:rFonts w:ascii="Arial" w:hAnsi="Arial" w:cs="Arial"/>
          <w:bCs/>
          <w:sz w:val="22"/>
        </w:rPr>
        <w:t xml:space="preserve"> </w:t>
      </w:r>
      <w:r>
        <w:rPr>
          <w:rFonts w:ascii="Arial" w:hAnsi="Arial" w:cs="Arial"/>
          <w:bCs/>
          <w:sz w:val="22"/>
        </w:rPr>
        <w:t>износи</w:t>
      </w:r>
      <w:r w:rsidR="007B6BE3" w:rsidRPr="0087376B">
        <w:rPr>
          <w:rFonts w:ascii="Arial" w:hAnsi="Arial" w:cs="Arial"/>
          <w:bCs/>
          <w:sz w:val="22"/>
        </w:rPr>
        <w:t xml:space="preserve"> 4,2 </w:t>
      </w:r>
      <w:r>
        <w:rPr>
          <w:rFonts w:ascii="Arial" w:hAnsi="Arial" w:cs="Arial"/>
          <w:bCs/>
          <w:sz w:val="22"/>
        </w:rPr>
        <w:t>година</w:t>
      </w:r>
      <w:r w:rsidR="007B6BE3" w:rsidRPr="0087376B">
        <w:rPr>
          <w:rFonts w:ascii="Arial" w:hAnsi="Arial" w:cs="Arial"/>
          <w:bCs/>
          <w:sz w:val="22"/>
        </w:rPr>
        <w:t xml:space="preserve">, </w:t>
      </w:r>
      <w:r>
        <w:rPr>
          <w:rFonts w:ascii="Arial" w:hAnsi="Arial" w:cs="Arial"/>
          <w:bCs/>
          <w:sz w:val="22"/>
        </w:rPr>
        <w:t>а</w:t>
      </w:r>
      <w:r w:rsidR="007B6BE3" w:rsidRPr="0087376B">
        <w:rPr>
          <w:rFonts w:ascii="Arial" w:hAnsi="Arial" w:cs="Arial"/>
          <w:bCs/>
          <w:sz w:val="22"/>
        </w:rPr>
        <w:t xml:space="preserve"> </w:t>
      </w:r>
      <w:r>
        <w:rPr>
          <w:rFonts w:ascii="Arial" w:hAnsi="Arial" w:cs="Arial"/>
          <w:bCs/>
          <w:sz w:val="22"/>
        </w:rPr>
        <w:t>за</w:t>
      </w:r>
      <w:r w:rsidR="007B6BE3" w:rsidRPr="0087376B">
        <w:rPr>
          <w:rFonts w:ascii="Arial" w:hAnsi="Arial" w:cs="Arial"/>
          <w:bCs/>
          <w:sz w:val="22"/>
        </w:rPr>
        <w:t xml:space="preserve"> </w:t>
      </w:r>
      <w:r>
        <w:rPr>
          <w:rFonts w:ascii="Arial" w:hAnsi="Arial" w:cs="Arial"/>
          <w:bCs/>
          <w:sz w:val="22"/>
        </w:rPr>
        <w:t>спољни</w:t>
      </w:r>
      <w:r w:rsidR="007B6BE3" w:rsidRPr="0087376B">
        <w:rPr>
          <w:rFonts w:ascii="Arial" w:hAnsi="Arial" w:cs="Arial"/>
          <w:bCs/>
          <w:sz w:val="22"/>
        </w:rPr>
        <w:t xml:space="preserve"> </w:t>
      </w:r>
      <w:r>
        <w:rPr>
          <w:rFonts w:ascii="Arial" w:hAnsi="Arial" w:cs="Arial"/>
          <w:bCs/>
          <w:sz w:val="22"/>
        </w:rPr>
        <w:t>дуг</w:t>
      </w:r>
      <w:r w:rsidR="007B6BE3" w:rsidRPr="0087376B">
        <w:rPr>
          <w:rFonts w:ascii="Arial" w:hAnsi="Arial" w:cs="Arial"/>
          <w:bCs/>
          <w:sz w:val="22"/>
        </w:rPr>
        <w:t xml:space="preserve"> 6,4 </w:t>
      </w:r>
      <w:r>
        <w:rPr>
          <w:rFonts w:ascii="Arial" w:hAnsi="Arial" w:cs="Arial"/>
          <w:bCs/>
          <w:sz w:val="22"/>
        </w:rPr>
        <w:t>године</w:t>
      </w:r>
      <w:r w:rsidR="007B6BE3" w:rsidRPr="0087376B">
        <w:rPr>
          <w:rFonts w:ascii="Arial" w:hAnsi="Arial" w:cs="Arial"/>
          <w:bCs/>
          <w:sz w:val="22"/>
        </w:rPr>
        <w:t xml:space="preserve">. </w:t>
      </w:r>
      <w:r>
        <w:rPr>
          <w:rFonts w:ascii="Arial" w:hAnsi="Arial" w:cs="Arial"/>
          <w:bCs/>
          <w:sz w:val="22"/>
        </w:rPr>
        <w:t>Просјечно</w:t>
      </w:r>
      <w:r w:rsidR="007B6BE3" w:rsidRPr="0087376B">
        <w:rPr>
          <w:rFonts w:ascii="Arial" w:hAnsi="Arial" w:cs="Arial"/>
          <w:bCs/>
          <w:sz w:val="22"/>
        </w:rPr>
        <w:t xml:space="preserve"> </w:t>
      </w:r>
      <w:r>
        <w:rPr>
          <w:rFonts w:ascii="Arial" w:hAnsi="Arial" w:cs="Arial"/>
          <w:bCs/>
          <w:sz w:val="22"/>
        </w:rPr>
        <w:t>вријеме</w:t>
      </w:r>
      <w:r w:rsidR="007B6BE3" w:rsidRPr="0087376B">
        <w:rPr>
          <w:rFonts w:ascii="Arial" w:hAnsi="Arial" w:cs="Arial"/>
          <w:bCs/>
          <w:sz w:val="22"/>
        </w:rPr>
        <w:t xml:space="preserve"> </w:t>
      </w:r>
      <w:r>
        <w:rPr>
          <w:rFonts w:ascii="Arial" w:hAnsi="Arial" w:cs="Arial"/>
          <w:bCs/>
          <w:sz w:val="22"/>
        </w:rPr>
        <w:t>доспијећа</w:t>
      </w:r>
      <w:r w:rsidR="007B6BE3" w:rsidRPr="0087376B">
        <w:rPr>
          <w:rFonts w:ascii="Arial" w:hAnsi="Arial" w:cs="Arial"/>
          <w:bCs/>
          <w:sz w:val="22"/>
        </w:rPr>
        <w:t xml:space="preserve"> </w:t>
      </w:r>
      <w:r>
        <w:rPr>
          <w:rFonts w:ascii="Arial" w:hAnsi="Arial" w:cs="Arial"/>
          <w:bCs/>
          <w:sz w:val="22"/>
        </w:rPr>
        <w:t>укупног</w:t>
      </w:r>
      <w:r w:rsidR="007B6BE3" w:rsidRPr="0087376B">
        <w:rPr>
          <w:rFonts w:ascii="Arial" w:hAnsi="Arial" w:cs="Arial"/>
          <w:bCs/>
          <w:sz w:val="22"/>
        </w:rPr>
        <w:t xml:space="preserve"> </w:t>
      </w:r>
      <w:r>
        <w:rPr>
          <w:rFonts w:ascii="Arial" w:hAnsi="Arial" w:cs="Arial"/>
          <w:bCs/>
          <w:sz w:val="22"/>
        </w:rPr>
        <w:t>дуга</w:t>
      </w:r>
      <w:r w:rsidR="007B6BE3" w:rsidRPr="0087376B">
        <w:rPr>
          <w:rFonts w:ascii="Arial" w:hAnsi="Arial" w:cs="Arial"/>
          <w:bCs/>
          <w:sz w:val="22"/>
        </w:rPr>
        <w:t xml:space="preserve"> </w:t>
      </w:r>
      <w:r>
        <w:rPr>
          <w:rFonts w:ascii="Arial" w:hAnsi="Arial" w:cs="Arial"/>
          <w:bCs/>
          <w:sz w:val="22"/>
        </w:rPr>
        <w:t>износи</w:t>
      </w:r>
      <w:r w:rsidR="007B6BE3" w:rsidRPr="0087376B">
        <w:rPr>
          <w:rFonts w:ascii="Arial" w:hAnsi="Arial" w:cs="Arial"/>
          <w:bCs/>
          <w:sz w:val="22"/>
        </w:rPr>
        <w:t xml:space="preserve"> 6,2 </w:t>
      </w:r>
      <w:r>
        <w:rPr>
          <w:rFonts w:ascii="Arial" w:hAnsi="Arial" w:cs="Arial"/>
          <w:bCs/>
          <w:sz w:val="22"/>
        </w:rPr>
        <w:t>година</w:t>
      </w:r>
      <w:r w:rsidR="007B6BE3" w:rsidRPr="0087376B">
        <w:rPr>
          <w:rFonts w:ascii="Arial" w:hAnsi="Arial" w:cs="Arial"/>
          <w:bCs/>
          <w:sz w:val="22"/>
        </w:rPr>
        <w:t xml:space="preserve">. </w:t>
      </w:r>
      <w:r>
        <w:rPr>
          <w:rFonts w:ascii="Arial" w:hAnsi="Arial" w:cs="Arial"/>
          <w:bCs/>
          <w:sz w:val="22"/>
        </w:rPr>
        <w:t>Просјечно</w:t>
      </w:r>
      <w:r w:rsidR="007B6BE3" w:rsidRPr="0087376B">
        <w:rPr>
          <w:rFonts w:ascii="Arial" w:hAnsi="Arial" w:cs="Arial"/>
          <w:bCs/>
          <w:sz w:val="22"/>
        </w:rPr>
        <w:t xml:space="preserve"> </w:t>
      </w:r>
      <w:r>
        <w:rPr>
          <w:rFonts w:ascii="Arial" w:hAnsi="Arial" w:cs="Arial"/>
          <w:bCs/>
          <w:sz w:val="22"/>
        </w:rPr>
        <w:t>вријеме</w:t>
      </w:r>
      <w:r w:rsidR="007B6BE3" w:rsidRPr="0087376B">
        <w:rPr>
          <w:rFonts w:ascii="Arial" w:hAnsi="Arial" w:cs="Arial"/>
          <w:bCs/>
          <w:sz w:val="22"/>
        </w:rPr>
        <w:t xml:space="preserve"> </w:t>
      </w:r>
      <w:r>
        <w:rPr>
          <w:rFonts w:ascii="Arial" w:hAnsi="Arial" w:cs="Arial"/>
          <w:bCs/>
          <w:sz w:val="22"/>
        </w:rPr>
        <w:t>доспијећа</w:t>
      </w:r>
      <w:r w:rsidR="007B6BE3" w:rsidRPr="0087376B">
        <w:rPr>
          <w:rFonts w:ascii="Arial" w:hAnsi="Arial" w:cs="Arial"/>
          <w:bCs/>
          <w:sz w:val="22"/>
        </w:rPr>
        <w:t xml:space="preserve"> </w:t>
      </w:r>
      <w:r>
        <w:rPr>
          <w:rFonts w:ascii="Arial" w:hAnsi="Arial" w:cs="Arial"/>
          <w:bCs/>
          <w:sz w:val="22"/>
        </w:rPr>
        <w:t>унутрашњег</w:t>
      </w:r>
      <w:r w:rsidR="007B6BE3" w:rsidRPr="0087376B">
        <w:rPr>
          <w:rFonts w:ascii="Arial" w:hAnsi="Arial" w:cs="Arial"/>
          <w:bCs/>
          <w:sz w:val="22"/>
        </w:rPr>
        <w:t xml:space="preserve"> </w:t>
      </w:r>
      <w:r>
        <w:rPr>
          <w:rFonts w:ascii="Arial" w:hAnsi="Arial" w:cs="Arial"/>
          <w:bCs/>
          <w:sz w:val="22"/>
        </w:rPr>
        <w:t>дуга</w:t>
      </w:r>
      <w:r w:rsidR="007B6BE3" w:rsidRPr="0087376B">
        <w:rPr>
          <w:rFonts w:ascii="Arial" w:hAnsi="Arial" w:cs="Arial"/>
          <w:bCs/>
          <w:sz w:val="22"/>
        </w:rPr>
        <w:t xml:space="preserve"> </w:t>
      </w:r>
      <w:r>
        <w:rPr>
          <w:rFonts w:ascii="Arial" w:hAnsi="Arial" w:cs="Arial"/>
          <w:bCs/>
          <w:sz w:val="22"/>
        </w:rPr>
        <w:t>се</w:t>
      </w:r>
      <w:r w:rsidR="007B6BE3" w:rsidRPr="0087376B">
        <w:rPr>
          <w:rFonts w:ascii="Arial" w:hAnsi="Arial" w:cs="Arial"/>
          <w:bCs/>
          <w:sz w:val="22"/>
        </w:rPr>
        <w:t xml:space="preserve"> </w:t>
      </w:r>
      <w:r>
        <w:rPr>
          <w:rFonts w:ascii="Arial" w:hAnsi="Arial" w:cs="Arial"/>
          <w:bCs/>
          <w:sz w:val="22"/>
        </w:rPr>
        <w:t>полако</w:t>
      </w:r>
      <w:r w:rsidR="007B6BE3" w:rsidRPr="0087376B">
        <w:rPr>
          <w:rFonts w:ascii="Arial" w:hAnsi="Arial" w:cs="Arial"/>
          <w:bCs/>
          <w:sz w:val="22"/>
        </w:rPr>
        <w:t xml:space="preserve"> </w:t>
      </w:r>
      <w:r>
        <w:rPr>
          <w:rFonts w:ascii="Arial" w:hAnsi="Arial" w:cs="Arial"/>
          <w:bCs/>
          <w:sz w:val="22"/>
        </w:rPr>
        <w:t>продужава</w:t>
      </w:r>
      <w:r w:rsidR="007B6BE3" w:rsidRPr="0087376B">
        <w:rPr>
          <w:rFonts w:ascii="Arial" w:hAnsi="Arial" w:cs="Arial"/>
          <w:bCs/>
          <w:sz w:val="22"/>
        </w:rPr>
        <w:t xml:space="preserve"> </w:t>
      </w:r>
      <w:r>
        <w:rPr>
          <w:rFonts w:ascii="Arial" w:hAnsi="Arial" w:cs="Arial"/>
          <w:bCs/>
          <w:sz w:val="22"/>
        </w:rPr>
        <w:t>због</w:t>
      </w:r>
      <w:r w:rsidR="007B6BE3" w:rsidRPr="0087376B">
        <w:rPr>
          <w:rFonts w:ascii="Arial" w:hAnsi="Arial" w:cs="Arial"/>
          <w:bCs/>
          <w:sz w:val="22"/>
        </w:rPr>
        <w:t xml:space="preserve"> </w:t>
      </w:r>
      <w:r>
        <w:rPr>
          <w:rFonts w:ascii="Arial" w:hAnsi="Arial" w:cs="Arial"/>
          <w:bCs/>
          <w:sz w:val="22"/>
        </w:rPr>
        <w:t>успјешних</w:t>
      </w:r>
      <w:r w:rsidR="007B6BE3" w:rsidRPr="0087376B">
        <w:rPr>
          <w:rFonts w:ascii="Arial" w:hAnsi="Arial" w:cs="Arial"/>
          <w:bCs/>
          <w:sz w:val="22"/>
        </w:rPr>
        <w:t xml:space="preserve"> </w:t>
      </w:r>
      <w:r>
        <w:rPr>
          <w:rFonts w:ascii="Arial" w:hAnsi="Arial" w:cs="Arial"/>
          <w:bCs/>
          <w:sz w:val="22"/>
        </w:rPr>
        <w:t>емисија</w:t>
      </w:r>
      <w:r w:rsidR="007B6BE3" w:rsidRPr="0087376B">
        <w:rPr>
          <w:rFonts w:ascii="Arial" w:hAnsi="Arial" w:cs="Arial"/>
          <w:bCs/>
          <w:sz w:val="22"/>
        </w:rPr>
        <w:t xml:space="preserve"> </w:t>
      </w:r>
      <w:r>
        <w:rPr>
          <w:rFonts w:ascii="Arial" w:hAnsi="Arial" w:cs="Arial"/>
          <w:bCs/>
          <w:sz w:val="22"/>
        </w:rPr>
        <w:t>тржишних</w:t>
      </w:r>
      <w:r w:rsidR="007B6BE3" w:rsidRPr="0087376B">
        <w:rPr>
          <w:rFonts w:ascii="Arial" w:hAnsi="Arial" w:cs="Arial"/>
          <w:bCs/>
          <w:sz w:val="22"/>
        </w:rPr>
        <w:t xml:space="preserve"> </w:t>
      </w:r>
      <w:r>
        <w:rPr>
          <w:rFonts w:ascii="Arial" w:hAnsi="Arial" w:cs="Arial"/>
          <w:bCs/>
          <w:sz w:val="22"/>
        </w:rPr>
        <w:t>обвезница</w:t>
      </w:r>
      <w:r w:rsidR="007B6BE3" w:rsidRPr="0087376B">
        <w:rPr>
          <w:rFonts w:ascii="Arial" w:hAnsi="Arial" w:cs="Arial"/>
          <w:bCs/>
          <w:sz w:val="22"/>
        </w:rPr>
        <w:t xml:space="preserve"> </w:t>
      </w:r>
      <w:r>
        <w:rPr>
          <w:rFonts w:ascii="Arial" w:hAnsi="Arial" w:cs="Arial"/>
          <w:bCs/>
          <w:sz w:val="22"/>
        </w:rPr>
        <w:t>на</w:t>
      </w:r>
      <w:r w:rsidR="007B6BE3" w:rsidRPr="0087376B">
        <w:rPr>
          <w:rFonts w:ascii="Arial" w:hAnsi="Arial" w:cs="Arial"/>
          <w:bCs/>
          <w:sz w:val="22"/>
        </w:rPr>
        <w:t xml:space="preserve"> </w:t>
      </w:r>
      <w:r>
        <w:rPr>
          <w:rFonts w:ascii="Arial" w:hAnsi="Arial" w:cs="Arial"/>
          <w:bCs/>
          <w:sz w:val="22"/>
        </w:rPr>
        <w:t>десет</w:t>
      </w:r>
      <w:r w:rsidR="007B6BE3" w:rsidRPr="0087376B">
        <w:rPr>
          <w:rFonts w:ascii="Arial" w:hAnsi="Arial" w:cs="Arial"/>
          <w:bCs/>
          <w:sz w:val="22"/>
        </w:rPr>
        <w:t xml:space="preserve"> </w:t>
      </w:r>
      <w:r>
        <w:rPr>
          <w:rFonts w:ascii="Arial" w:hAnsi="Arial" w:cs="Arial"/>
          <w:bCs/>
          <w:sz w:val="22"/>
        </w:rPr>
        <w:t>и</w:t>
      </w:r>
      <w:r w:rsidR="007B6BE3" w:rsidRPr="0087376B">
        <w:rPr>
          <w:rFonts w:ascii="Arial" w:hAnsi="Arial" w:cs="Arial"/>
          <w:bCs/>
          <w:sz w:val="22"/>
        </w:rPr>
        <w:t xml:space="preserve"> </w:t>
      </w:r>
      <w:r>
        <w:rPr>
          <w:rFonts w:ascii="Arial" w:hAnsi="Arial" w:cs="Arial"/>
          <w:bCs/>
          <w:sz w:val="22"/>
        </w:rPr>
        <w:t>петнаест</w:t>
      </w:r>
      <w:r w:rsidR="007B6BE3" w:rsidRPr="0087376B">
        <w:rPr>
          <w:rFonts w:ascii="Arial" w:hAnsi="Arial" w:cs="Arial"/>
          <w:bCs/>
          <w:sz w:val="22"/>
        </w:rPr>
        <w:t xml:space="preserve"> </w:t>
      </w:r>
      <w:r>
        <w:rPr>
          <w:rFonts w:ascii="Arial" w:hAnsi="Arial" w:cs="Arial"/>
          <w:bCs/>
          <w:sz w:val="22"/>
        </w:rPr>
        <w:t>година</w:t>
      </w:r>
      <w:r w:rsidR="007B6BE3" w:rsidRPr="0087376B">
        <w:rPr>
          <w:rFonts w:ascii="Arial" w:hAnsi="Arial" w:cs="Arial"/>
          <w:bCs/>
          <w:sz w:val="22"/>
        </w:rPr>
        <w:t xml:space="preserve"> </w:t>
      </w:r>
      <w:r>
        <w:rPr>
          <w:rFonts w:ascii="Arial" w:hAnsi="Arial" w:cs="Arial"/>
          <w:bCs/>
          <w:sz w:val="22"/>
        </w:rPr>
        <w:t>како</w:t>
      </w:r>
      <w:r w:rsidR="007B6BE3" w:rsidRPr="0087376B">
        <w:rPr>
          <w:rFonts w:ascii="Arial" w:hAnsi="Arial" w:cs="Arial"/>
          <w:bCs/>
          <w:sz w:val="22"/>
        </w:rPr>
        <w:t xml:space="preserve"> </w:t>
      </w:r>
      <w:r>
        <w:rPr>
          <w:rFonts w:ascii="Arial" w:hAnsi="Arial" w:cs="Arial"/>
          <w:bCs/>
          <w:sz w:val="22"/>
        </w:rPr>
        <w:t>би</w:t>
      </w:r>
      <w:r w:rsidR="007B6BE3" w:rsidRPr="0087376B">
        <w:rPr>
          <w:rFonts w:ascii="Arial" w:hAnsi="Arial" w:cs="Arial"/>
          <w:bCs/>
          <w:sz w:val="22"/>
        </w:rPr>
        <w:t xml:space="preserve"> </w:t>
      </w:r>
      <w:r>
        <w:rPr>
          <w:rFonts w:ascii="Arial" w:hAnsi="Arial" w:cs="Arial"/>
          <w:bCs/>
          <w:sz w:val="22"/>
        </w:rPr>
        <w:t>се</w:t>
      </w:r>
      <w:r w:rsidR="007B6BE3" w:rsidRPr="0087376B">
        <w:rPr>
          <w:rFonts w:ascii="Arial" w:hAnsi="Arial" w:cs="Arial"/>
          <w:bCs/>
          <w:sz w:val="22"/>
        </w:rPr>
        <w:t xml:space="preserve"> </w:t>
      </w:r>
      <w:r>
        <w:rPr>
          <w:rFonts w:ascii="Arial" w:hAnsi="Arial" w:cs="Arial"/>
          <w:bCs/>
          <w:sz w:val="22"/>
        </w:rPr>
        <w:t>компензирало</w:t>
      </w:r>
      <w:r w:rsidR="007B6BE3" w:rsidRPr="0087376B">
        <w:rPr>
          <w:rFonts w:ascii="Arial" w:hAnsi="Arial" w:cs="Arial"/>
          <w:bCs/>
          <w:sz w:val="22"/>
        </w:rPr>
        <w:t xml:space="preserve"> </w:t>
      </w:r>
      <w:r>
        <w:rPr>
          <w:rFonts w:ascii="Arial" w:hAnsi="Arial" w:cs="Arial"/>
          <w:bCs/>
          <w:sz w:val="22"/>
        </w:rPr>
        <w:t>доспијеће</w:t>
      </w:r>
      <w:r w:rsidR="007B6BE3" w:rsidRPr="0087376B">
        <w:rPr>
          <w:rFonts w:ascii="Arial" w:hAnsi="Arial" w:cs="Arial"/>
          <w:bCs/>
          <w:sz w:val="22"/>
        </w:rPr>
        <w:t xml:space="preserve"> </w:t>
      </w:r>
      <w:r>
        <w:rPr>
          <w:rFonts w:ascii="Arial" w:hAnsi="Arial" w:cs="Arial"/>
          <w:bCs/>
          <w:sz w:val="22"/>
        </w:rPr>
        <w:t>обвезница</w:t>
      </w:r>
      <w:r w:rsidR="007B6BE3" w:rsidRPr="0087376B">
        <w:rPr>
          <w:rFonts w:ascii="Arial" w:hAnsi="Arial" w:cs="Arial"/>
          <w:bCs/>
          <w:sz w:val="22"/>
        </w:rPr>
        <w:t xml:space="preserve"> </w:t>
      </w:r>
      <w:r>
        <w:rPr>
          <w:rFonts w:ascii="Arial" w:hAnsi="Arial" w:cs="Arial"/>
          <w:bCs/>
          <w:sz w:val="22"/>
        </w:rPr>
        <w:t>емитованих</w:t>
      </w:r>
      <w:r w:rsidR="007B6BE3" w:rsidRPr="0087376B">
        <w:rPr>
          <w:rFonts w:ascii="Arial" w:hAnsi="Arial" w:cs="Arial"/>
          <w:bCs/>
          <w:sz w:val="22"/>
        </w:rPr>
        <w:t xml:space="preserve"> </w:t>
      </w:r>
      <w:r>
        <w:rPr>
          <w:rFonts w:ascii="Arial" w:hAnsi="Arial" w:cs="Arial"/>
          <w:bCs/>
          <w:sz w:val="22"/>
        </w:rPr>
        <w:t>за</w:t>
      </w:r>
      <w:r w:rsidR="007B6BE3" w:rsidRPr="0087376B">
        <w:rPr>
          <w:rFonts w:ascii="Arial" w:hAnsi="Arial" w:cs="Arial"/>
          <w:bCs/>
          <w:sz w:val="22"/>
        </w:rPr>
        <w:t xml:space="preserve"> </w:t>
      </w:r>
      <w:r>
        <w:rPr>
          <w:rFonts w:ascii="Arial" w:hAnsi="Arial" w:cs="Arial"/>
          <w:bCs/>
          <w:sz w:val="22"/>
        </w:rPr>
        <w:t>измирење</w:t>
      </w:r>
      <w:r w:rsidR="007B6BE3" w:rsidRPr="0087376B">
        <w:rPr>
          <w:rFonts w:ascii="Arial" w:hAnsi="Arial" w:cs="Arial"/>
          <w:bCs/>
          <w:sz w:val="22"/>
        </w:rPr>
        <w:t xml:space="preserve"> </w:t>
      </w:r>
      <w:r>
        <w:rPr>
          <w:rFonts w:ascii="Arial" w:hAnsi="Arial" w:cs="Arial"/>
          <w:bCs/>
          <w:sz w:val="22"/>
        </w:rPr>
        <w:t>ратних</w:t>
      </w:r>
      <w:r w:rsidR="007B6BE3" w:rsidRPr="0087376B">
        <w:rPr>
          <w:rFonts w:ascii="Arial" w:hAnsi="Arial" w:cs="Arial"/>
          <w:bCs/>
          <w:sz w:val="22"/>
        </w:rPr>
        <w:t xml:space="preserve"> </w:t>
      </w:r>
      <w:r>
        <w:rPr>
          <w:rFonts w:ascii="Arial" w:hAnsi="Arial" w:cs="Arial"/>
          <w:bCs/>
          <w:sz w:val="22"/>
        </w:rPr>
        <w:t>потраживања</w:t>
      </w:r>
      <w:r w:rsidR="007B6BE3" w:rsidRPr="0087376B">
        <w:rPr>
          <w:rFonts w:ascii="Arial" w:hAnsi="Arial" w:cs="Arial"/>
          <w:bCs/>
          <w:sz w:val="22"/>
        </w:rPr>
        <w:t xml:space="preserve">. </w:t>
      </w:r>
    </w:p>
    <w:p w14:paraId="0825674C" w14:textId="1DF87739"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60028A6A" w14:textId="5C84F400"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739188A0" w14:textId="31336028"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1AFCA617" w14:textId="697C85BD"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69238524" w14:textId="12B79BFC"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28E7C739" w14:textId="5ED2A3C8"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51E213D6" w14:textId="691FCCF6"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0406D981" w14:textId="15D2DF11"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55C4414D" w14:textId="650A14AA"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4EC7BAF6" w14:textId="5F5C5D36"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7570C565" w14:textId="0251994C"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0F72B7C7" w14:textId="3F01057E"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253C8618" w14:textId="1DF11FF6"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4663E0A8" w14:textId="00AE6108"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3CCD14C6" w14:textId="22A2B17F"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5680119A" w14:textId="0A303131" w:rsidR="00FA0BC6" w:rsidRDefault="00FA0BC6" w:rsidP="00FA0BC6">
      <w:pPr>
        <w:pStyle w:val="ParagraphNumbering"/>
        <w:numPr>
          <w:ilvl w:val="0"/>
          <w:numId w:val="0"/>
        </w:numPr>
        <w:spacing w:after="0" w:line="276" w:lineRule="auto"/>
        <w:ind w:firstLine="284"/>
        <w:jc w:val="both"/>
        <w:rPr>
          <w:rFonts w:ascii="Arial" w:hAnsi="Arial" w:cs="Arial"/>
          <w:bCs/>
          <w:sz w:val="22"/>
        </w:rPr>
      </w:pPr>
    </w:p>
    <w:p w14:paraId="1E04F469" w14:textId="601F06C4" w:rsidR="007B6BE3" w:rsidRPr="0087376B" w:rsidRDefault="005B20F8" w:rsidP="007B6BE3">
      <w:pPr>
        <w:spacing w:after="0" w:line="240" w:lineRule="auto"/>
        <w:ind w:right="-46"/>
        <w:rPr>
          <w:rFonts w:ascii="Arial" w:hAnsi="Arial" w:cs="Arial"/>
        </w:rPr>
      </w:pPr>
      <w:r w:rsidRPr="00196EEC">
        <w:rPr>
          <w:rFonts w:ascii="Arial" w:hAnsi="Arial" w:cs="Arial"/>
        </w:rPr>
        <w:lastRenderedPageBreak/>
        <w:t>Слика</w:t>
      </w:r>
      <w:r w:rsidR="007B6BE3" w:rsidRPr="00196EEC">
        <w:rPr>
          <w:rFonts w:ascii="Arial" w:hAnsi="Arial" w:cs="Arial"/>
        </w:rPr>
        <w:t xml:space="preserve"> 5. </w:t>
      </w:r>
      <w:r w:rsidRPr="00196EEC">
        <w:rPr>
          <w:rFonts w:ascii="Arial" w:eastAsia="SimSun" w:hAnsi="Arial" w:cs="Arial"/>
          <w:bCs/>
          <w:szCs w:val="24"/>
        </w:rPr>
        <w:t>Профил</w:t>
      </w:r>
      <w:r w:rsidR="007B6BE3" w:rsidRPr="00196EEC">
        <w:rPr>
          <w:rFonts w:ascii="Arial" w:eastAsia="SimSun" w:hAnsi="Arial" w:cs="Arial"/>
          <w:bCs/>
          <w:szCs w:val="24"/>
        </w:rPr>
        <w:t xml:space="preserve"> </w:t>
      </w:r>
      <w:r w:rsidRPr="00196EEC">
        <w:rPr>
          <w:rFonts w:ascii="Arial" w:eastAsia="SimSun" w:hAnsi="Arial" w:cs="Arial"/>
          <w:bCs/>
          <w:szCs w:val="24"/>
        </w:rPr>
        <w:t>отплате</w:t>
      </w:r>
      <w:r w:rsidR="007B6BE3" w:rsidRPr="00196EEC">
        <w:rPr>
          <w:rFonts w:ascii="Arial" w:eastAsia="SimSun" w:hAnsi="Arial" w:cs="Arial"/>
          <w:bCs/>
          <w:szCs w:val="24"/>
        </w:rPr>
        <w:t xml:space="preserve"> </w:t>
      </w:r>
      <w:r w:rsidRPr="00196EEC">
        <w:rPr>
          <w:rFonts w:ascii="Arial" w:eastAsia="SimSun" w:hAnsi="Arial" w:cs="Arial"/>
          <w:bCs/>
          <w:szCs w:val="24"/>
        </w:rPr>
        <w:t>дуга</w:t>
      </w:r>
      <w:r w:rsidR="007B6BE3" w:rsidRPr="00196EEC">
        <w:rPr>
          <w:rFonts w:ascii="Arial" w:eastAsia="SimSun" w:hAnsi="Arial" w:cs="Arial"/>
          <w:bCs/>
          <w:szCs w:val="24"/>
        </w:rPr>
        <w:t xml:space="preserve"> </w:t>
      </w:r>
      <w:r w:rsidRPr="00196EEC">
        <w:rPr>
          <w:rFonts w:ascii="Arial" w:eastAsia="SimSun" w:hAnsi="Arial" w:cs="Arial"/>
          <w:bCs/>
          <w:szCs w:val="24"/>
        </w:rPr>
        <w:t>Федерације</w:t>
      </w:r>
      <w:r w:rsidR="007B6BE3" w:rsidRPr="00196EEC">
        <w:rPr>
          <w:rFonts w:ascii="Arial" w:eastAsia="SimSun" w:hAnsi="Arial" w:cs="Arial"/>
          <w:bCs/>
          <w:szCs w:val="24"/>
        </w:rPr>
        <w:t xml:space="preserve"> </w:t>
      </w:r>
      <w:r w:rsidRPr="00196EEC">
        <w:rPr>
          <w:rFonts w:ascii="Arial" w:eastAsia="SimSun" w:hAnsi="Arial" w:cs="Arial"/>
          <w:bCs/>
          <w:szCs w:val="24"/>
        </w:rPr>
        <w:t>БиХ</w:t>
      </w:r>
      <w:r w:rsidR="007B6BE3" w:rsidRPr="00196EEC">
        <w:rPr>
          <w:rFonts w:ascii="Arial" w:eastAsia="SimSun" w:hAnsi="Arial" w:cs="Arial"/>
          <w:bCs/>
          <w:szCs w:val="24"/>
        </w:rPr>
        <w:t xml:space="preserve"> </w:t>
      </w:r>
      <w:r w:rsidRPr="00196EEC">
        <w:rPr>
          <w:rFonts w:ascii="Arial" w:eastAsia="SimSun" w:hAnsi="Arial" w:cs="Arial"/>
          <w:bCs/>
          <w:szCs w:val="24"/>
        </w:rPr>
        <w:t>на</w:t>
      </w:r>
      <w:r w:rsidR="007B6BE3" w:rsidRPr="00196EEC">
        <w:rPr>
          <w:rFonts w:ascii="Arial" w:eastAsia="SimSun" w:hAnsi="Arial" w:cs="Arial"/>
          <w:bCs/>
          <w:szCs w:val="24"/>
        </w:rPr>
        <w:t xml:space="preserve"> </w:t>
      </w:r>
      <w:r w:rsidRPr="00196EEC">
        <w:rPr>
          <w:rFonts w:ascii="Arial" w:eastAsia="SimSun" w:hAnsi="Arial" w:cs="Arial"/>
          <w:bCs/>
          <w:szCs w:val="24"/>
        </w:rPr>
        <w:t>дан</w:t>
      </w:r>
      <w:r w:rsidR="007B6BE3" w:rsidRPr="00196EEC">
        <w:rPr>
          <w:rFonts w:ascii="Arial" w:eastAsia="SimSun" w:hAnsi="Arial" w:cs="Arial"/>
          <w:bCs/>
          <w:szCs w:val="24"/>
        </w:rPr>
        <w:t xml:space="preserve"> 31.12.2022. </w:t>
      </w:r>
      <w:r w:rsidRPr="00196EEC">
        <w:rPr>
          <w:rFonts w:ascii="Arial" w:eastAsia="SimSun" w:hAnsi="Arial" w:cs="Arial"/>
          <w:bCs/>
          <w:szCs w:val="24"/>
        </w:rPr>
        <w:t>године</w:t>
      </w:r>
      <w:r w:rsidR="007B6BE3" w:rsidRPr="00196EEC">
        <w:rPr>
          <w:rFonts w:ascii="Arial" w:eastAsia="SimSun" w:hAnsi="Arial" w:cs="Arial"/>
          <w:bCs/>
          <w:szCs w:val="24"/>
        </w:rPr>
        <w:t xml:space="preserve"> (</w:t>
      </w:r>
      <w:r w:rsidRPr="00196EEC">
        <w:rPr>
          <w:rFonts w:ascii="Arial" w:eastAsia="SimSun" w:hAnsi="Arial" w:cs="Arial"/>
          <w:bCs/>
          <w:szCs w:val="24"/>
        </w:rPr>
        <w:t>мил</w:t>
      </w:r>
      <w:r w:rsidR="007B6BE3" w:rsidRPr="00196EEC">
        <w:rPr>
          <w:rFonts w:ascii="Arial" w:eastAsia="SimSun" w:hAnsi="Arial" w:cs="Arial"/>
          <w:bCs/>
          <w:szCs w:val="24"/>
        </w:rPr>
        <w:t xml:space="preserve">. </w:t>
      </w:r>
      <w:r w:rsidRPr="00196EEC">
        <w:rPr>
          <w:rFonts w:ascii="Arial" w:eastAsia="SimSun" w:hAnsi="Arial" w:cs="Arial"/>
          <w:bCs/>
          <w:szCs w:val="24"/>
        </w:rPr>
        <w:t>КМ</w:t>
      </w:r>
      <w:r w:rsidR="007B6BE3" w:rsidRPr="00196EEC">
        <w:rPr>
          <w:rFonts w:ascii="Arial" w:eastAsia="SimSun" w:hAnsi="Arial" w:cs="Arial"/>
          <w:bCs/>
          <w:szCs w:val="24"/>
        </w:rPr>
        <w:t>)</w:t>
      </w:r>
      <w:r w:rsidR="007B6BE3" w:rsidRPr="0087376B">
        <w:rPr>
          <w:rFonts w:ascii="Arial" w:hAnsi="Arial" w:cs="Arial"/>
        </w:rPr>
        <w:t xml:space="preserve"> </w:t>
      </w:r>
    </w:p>
    <w:p w14:paraId="3F2117E4" w14:textId="1AA814F0" w:rsidR="007B6BE3" w:rsidRPr="0087376B" w:rsidRDefault="00196EEC" w:rsidP="007B6BE3">
      <w:pPr>
        <w:spacing w:after="0" w:line="240" w:lineRule="auto"/>
        <w:ind w:right="-46"/>
        <w:rPr>
          <w:rFonts w:ascii="Arial" w:hAnsi="Arial" w:cs="Arial"/>
        </w:rPr>
      </w:pPr>
      <w:r>
        <w:rPr>
          <w:rFonts w:ascii="Arial" w:hAnsi="Arial" w:cs="Arial"/>
          <w:noProof/>
        </w:rPr>
        <w:drawing>
          <wp:inline distT="0" distB="0" distL="0" distR="0" wp14:anchorId="148E7E83" wp14:editId="5DAA0F6F">
            <wp:extent cx="5917226" cy="305640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17226" cy="3056400"/>
                    </a:xfrm>
                    <a:prstGeom prst="rect">
                      <a:avLst/>
                    </a:prstGeom>
                    <a:noFill/>
                  </pic:spPr>
                </pic:pic>
              </a:graphicData>
            </a:graphic>
          </wp:inline>
        </w:drawing>
      </w:r>
    </w:p>
    <w:p w14:paraId="739E650F" w14:textId="77777777" w:rsidR="007B6BE3" w:rsidRPr="0087376B" w:rsidRDefault="007B6BE3" w:rsidP="007B6BE3">
      <w:pPr>
        <w:spacing w:after="0" w:line="240" w:lineRule="auto"/>
        <w:ind w:right="-46"/>
        <w:rPr>
          <w:rFonts w:ascii="Arial" w:hAnsi="Arial" w:cs="Arial"/>
          <w:szCs w:val="24"/>
        </w:rPr>
      </w:pPr>
    </w:p>
    <w:p w14:paraId="4531B16A" w14:textId="41F105E3" w:rsidR="007B6BE3" w:rsidRPr="0087376B" w:rsidRDefault="005B20F8" w:rsidP="005325A0">
      <w:pPr>
        <w:spacing w:after="0" w:line="240" w:lineRule="auto"/>
        <w:ind w:right="-46"/>
        <w:rPr>
          <w:rFonts w:ascii="Arial" w:hAnsi="Arial" w:cs="Arial"/>
          <w:szCs w:val="24"/>
        </w:rPr>
      </w:pPr>
      <w:r w:rsidRPr="005325A0">
        <w:rPr>
          <w:rFonts w:ascii="Arial" w:hAnsi="Arial" w:cs="Arial"/>
          <w:szCs w:val="24"/>
        </w:rPr>
        <w:t>Слика</w:t>
      </w:r>
      <w:r w:rsidR="007B6BE3" w:rsidRPr="005325A0">
        <w:rPr>
          <w:rFonts w:ascii="Arial" w:hAnsi="Arial" w:cs="Arial"/>
          <w:szCs w:val="24"/>
        </w:rPr>
        <w:t xml:space="preserve"> 6. </w:t>
      </w:r>
      <w:r w:rsidRPr="005325A0">
        <w:rPr>
          <w:rFonts w:ascii="Arial" w:hAnsi="Arial" w:cs="Arial"/>
          <w:szCs w:val="24"/>
        </w:rPr>
        <w:t>Профил</w:t>
      </w:r>
      <w:r w:rsidR="007B6BE3" w:rsidRPr="005325A0">
        <w:rPr>
          <w:rFonts w:ascii="Arial" w:hAnsi="Arial" w:cs="Arial"/>
          <w:szCs w:val="24"/>
        </w:rPr>
        <w:t xml:space="preserve"> </w:t>
      </w:r>
      <w:r w:rsidRPr="005325A0">
        <w:rPr>
          <w:rFonts w:ascii="Arial" w:hAnsi="Arial" w:cs="Arial"/>
          <w:szCs w:val="24"/>
        </w:rPr>
        <w:t>отплате</w:t>
      </w:r>
      <w:r w:rsidR="007B6BE3" w:rsidRPr="005325A0">
        <w:rPr>
          <w:rFonts w:ascii="Arial" w:hAnsi="Arial" w:cs="Arial"/>
          <w:szCs w:val="24"/>
        </w:rPr>
        <w:t xml:space="preserve"> </w:t>
      </w:r>
      <w:r w:rsidRPr="005325A0">
        <w:rPr>
          <w:rFonts w:ascii="Arial" w:hAnsi="Arial" w:cs="Arial"/>
          <w:szCs w:val="24"/>
        </w:rPr>
        <w:t>дуга</w:t>
      </w:r>
      <w:r w:rsidR="007B6BE3" w:rsidRPr="005325A0">
        <w:rPr>
          <w:rFonts w:ascii="Arial" w:hAnsi="Arial" w:cs="Arial"/>
          <w:szCs w:val="24"/>
        </w:rPr>
        <w:t xml:space="preserve"> </w:t>
      </w:r>
      <w:r w:rsidRPr="005325A0">
        <w:rPr>
          <w:rFonts w:ascii="Arial" w:hAnsi="Arial" w:cs="Arial"/>
        </w:rPr>
        <w:t>Федерације</w:t>
      </w:r>
      <w:r w:rsidR="007B6BE3" w:rsidRPr="005325A0">
        <w:rPr>
          <w:rFonts w:ascii="Arial" w:hAnsi="Arial" w:cs="Arial"/>
        </w:rPr>
        <w:t xml:space="preserve"> </w:t>
      </w:r>
      <w:r w:rsidRPr="005325A0">
        <w:rPr>
          <w:rFonts w:ascii="Arial" w:hAnsi="Arial" w:cs="Arial"/>
        </w:rPr>
        <w:t>БиХ</w:t>
      </w:r>
      <w:r w:rsidR="007B6BE3" w:rsidRPr="005325A0">
        <w:rPr>
          <w:rFonts w:ascii="Arial" w:hAnsi="Arial" w:cs="Arial"/>
          <w:sz w:val="24"/>
          <w:szCs w:val="24"/>
        </w:rPr>
        <w:t xml:space="preserve"> </w:t>
      </w:r>
      <w:r w:rsidRPr="005325A0">
        <w:rPr>
          <w:rFonts w:ascii="Arial" w:hAnsi="Arial" w:cs="Arial"/>
          <w:szCs w:val="24"/>
        </w:rPr>
        <w:t>према</w:t>
      </w:r>
      <w:r w:rsidR="007B6BE3" w:rsidRPr="005325A0">
        <w:rPr>
          <w:rFonts w:ascii="Arial" w:hAnsi="Arial" w:cs="Arial"/>
          <w:szCs w:val="24"/>
        </w:rPr>
        <w:t xml:space="preserve"> </w:t>
      </w:r>
      <w:r w:rsidR="00625E9C" w:rsidRPr="005325A0">
        <w:rPr>
          <w:rFonts w:ascii="Arial" w:hAnsi="Arial" w:cs="Arial"/>
          <w:szCs w:val="24"/>
        </w:rPr>
        <w:t>IMF</w:t>
      </w:r>
      <w:r w:rsidR="007B6BE3" w:rsidRPr="005325A0">
        <w:rPr>
          <w:rFonts w:ascii="Arial" w:hAnsi="Arial" w:cs="Arial"/>
          <w:szCs w:val="24"/>
        </w:rPr>
        <w:t>-</w:t>
      </w:r>
      <w:r w:rsidRPr="005325A0">
        <w:rPr>
          <w:rFonts w:ascii="Arial" w:hAnsi="Arial" w:cs="Arial"/>
          <w:szCs w:val="24"/>
        </w:rPr>
        <w:t>у</w:t>
      </w:r>
      <w:r w:rsidR="007B6BE3" w:rsidRPr="005325A0">
        <w:rPr>
          <w:rFonts w:ascii="Arial" w:hAnsi="Arial" w:cs="Arial"/>
          <w:szCs w:val="24"/>
        </w:rPr>
        <w:t xml:space="preserve">, </w:t>
      </w:r>
      <w:r w:rsidRPr="005325A0">
        <w:rPr>
          <w:rFonts w:ascii="Arial" w:hAnsi="Arial" w:cs="Arial"/>
          <w:szCs w:val="24"/>
        </w:rPr>
        <w:t>на</w:t>
      </w:r>
      <w:r w:rsidR="007B6BE3" w:rsidRPr="005325A0">
        <w:rPr>
          <w:rFonts w:ascii="Arial" w:hAnsi="Arial" w:cs="Arial"/>
          <w:szCs w:val="24"/>
        </w:rPr>
        <w:t xml:space="preserve"> </w:t>
      </w:r>
      <w:r w:rsidRPr="005325A0">
        <w:rPr>
          <w:rFonts w:ascii="Arial" w:hAnsi="Arial" w:cs="Arial"/>
          <w:szCs w:val="24"/>
        </w:rPr>
        <w:t>дан</w:t>
      </w:r>
      <w:r w:rsidR="007B6BE3" w:rsidRPr="005325A0">
        <w:rPr>
          <w:rFonts w:ascii="Arial" w:hAnsi="Arial" w:cs="Arial"/>
          <w:szCs w:val="24"/>
        </w:rPr>
        <w:t xml:space="preserve"> 31.12.2022. </w:t>
      </w:r>
      <w:r w:rsidRPr="005325A0">
        <w:rPr>
          <w:rFonts w:ascii="Arial" w:hAnsi="Arial" w:cs="Arial"/>
          <w:szCs w:val="24"/>
        </w:rPr>
        <w:t>године</w:t>
      </w:r>
      <w:r w:rsidR="007B6BE3" w:rsidRPr="005325A0">
        <w:rPr>
          <w:rFonts w:ascii="Arial" w:hAnsi="Arial" w:cs="Arial"/>
          <w:szCs w:val="24"/>
        </w:rPr>
        <w:t xml:space="preserve">   (</w:t>
      </w:r>
      <w:r w:rsidRPr="005325A0">
        <w:rPr>
          <w:rFonts w:ascii="Arial" w:hAnsi="Arial" w:cs="Arial"/>
          <w:szCs w:val="24"/>
        </w:rPr>
        <w:t>мил</w:t>
      </w:r>
      <w:r w:rsidR="007B6BE3" w:rsidRPr="005325A0">
        <w:rPr>
          <w:rFonts w:ascii="Arial" w:hAnsi="Arial" w:cs="Arial"/>
          <w:szCs w:val="24"/>
        </w:rPr>
        <w:t xml:space="preserve">. </w:t>
      </w:r>
      <w:r w:rsidRPr="005325A0">
        <w:rPr>
          <w:rFonts w:ascii="Arial" w:hAnsi="Arial" w:cs="Arial"/>
          <w:szCs w:val="24"/>
        </w:rPr>
        <w:t>КМ</w:t>
      </w:r>
      <w:r w:rsidR="007B6BE3" w:rsidRPr="005325A0">
        <w:rPr>
          <w:rFonts w:ascii="Arial" w:hAnsi="Arial" w:cs="Arial"/>
          <w:szCs w:val="24"/>
        </w:rPr>
        <w:t>)</w:t>
      </w:r>
      <w:r w:rsidR="007B6BE3" w:rsidRPr="0087376B">
        <w:rPr>
          <w:rFonts w:ascii="Arial" w:hAnsi="Arial" w:cs="Arial"/>
          <w:szCs w:val="24"/>
        </w:rPr>
        <w:t xml:space="preserve">     </w:t>
      </w:r>
    </w:p>
    <w:p w14:paraId="1E700048" w14:textId="7BBE5657" w:rsidR="007B6BE3" w:rsidRPr="0087376B" w:rsidRDefault="00196EEC" w:rsidP="007B6BE3">
      <w:pPr>
        <w:pStyle w:val="NoSpacing"/>
        <w:rPr>
          <w:rFonts w:ascii="Arial" w:hAnsi="Arial" w:cs="Arial"/>
          <w:szCs w:val="24"/>
          <w:lang w:val="hr-HR"/>
        </w:rPr>
      </w:pPr>
      <w:r>
        <w:rPr>
          <w:noProof/>
        </w:rPr>
        <w:drawing>
          <wp:inline distT="0" distB="0" distL="0" distR="0" wp14:anchorId="50033932" wp14:editId="37D6422F">
            <wp:extent cx="6040800" cy="1908000"/>
            <wp:effectExtent l="0" t="0" r="17145" b="16510"/>
            <wp:docPr id="1" name="Chart 1">
              <a:extLst xmlns:a="http://schemas.openxmlformats.org/drawingml/2006/main">
                <a:ext uri="{FF2B5EF4-FFF2-40B4-BE49-F238E27FC236}">
                  <a16:creationId xmlns:a16="http://schemas.microsoft.com/office/drawing/2014/main" id="{AF26E581-AB2D-4C0C-AFDA-AB14DDAD20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C79CA7" w14:textId="3460CC4C" w:rsidR="007B6BE3" w:rsidRPr="0087376B" w:rsidRDefault="007B6BE3" w:rsidP="007B6BE3">
      <w:pPr>
        <w:pStyle w:val="NoSpacing"/>
        <w:rPr>
          <w:rFonts w:ascii="Arial" w:hAnsi="Arial" w:cs="Arial"/>
          <w:szCs w:val="24"/>
          <w:lang w:val="hr-HR"/>
        </w:rPr>
      </w:pPr>
      <w:r w:rsidRPr="0087376B">
        <w:rPr>
          <w:rFonts w:ascii="Arial" w:hAnsi="Arial" w:cs="Arial"/>
          <w:szCs w:val="24"/>
          <w:lang w:val="hr-HR"/>
        </w:rPr>
        <w:t xml:space="preserve">   </w:t>
      </w:r>
    </w:p>
    <w:p w14:paraId="09D18BFC" w14:textId="3D723457" w:rsidR="007B6BE3" w:rsidRPr="0092788C" w:rsidRDefault="007B6BE3" w:rsidP="0092788C">
      <w:pPr>
        <w:pStyle w:val="Heading2"/>
        <w:numPr>
          <w:ilvl w:val="1"/>
          <w:numId w:val="1"/>
        </w:numPr>
        <w:spacing w:before="0"/>
        <w:ind w:left="993" w:hanging="709"/>
        <w:rPr>
          <w:rFonts w:ascii="Arial" w:hAnsi="Arial" w:cs="Arial"/>
          <w:b w:val="0"/>
          <w:color w:val="auto"/>
          <w:sz w:val="24"/>
          <w:szCs w:val="24"/>
        </w:rPr>
      </w:pPr>
      <w:r w:rsidRPr="0092788C">
        <w:rPr>
          <w:rFonts w:ascii="Arial" w:hAnsi="Arial" w:cs="Arial"/>
          <w:b w:val="0"/>
          <w:color w:val="auto"/>
          <w:sz w:val="24"/>
          <w:szCs w:val="24"/>
        </w:rPr>
        <w:tab/>
      </w:r>
      <w:bookmarkStart w:id="109" w:name="_Toc149810614"/>
      <w:r w:rsidR="005B20F8" w:rsidRPr="0092788C">
        <w:rPr>
          <w:rFonts w:ascii="Arial" w:hAnsi="Arial" w:cs="Arial"/>
          <w:b w:val="0"/>
          <w:color w:val="auto"/>
          <w:sz w:val="24"/>
          <w:szCs w:val="24"/>
        </w:rPr>
        <w:t>Каматни</w:t>
      </w:r>
      <w:r w:rsidRPr="0092788C">
        <w:rPr>
          <w:rFonts w:ascii="Arial" w:hAnsi="Arial" w:cs="Arial"/>
          <w:b w:val="0"/>
          <w:color w:val="auto"/>
          <w:sz w:val="24"/>
          <w:szCs w:val="24"/>
        </w:rPr>
        <w:t xml:space="preserve"> </w:t>
      </w:r>
      <w:r w:rsidR="005B20F8" w:rsidRPr="0092788C">
        <w:rPr>
          <w:rFonts w:ascii="Arial" w:hAnsi="Arial" w:cs="Arial"/>
          <w:b w:val="0"/>
          <w:color w:val="auto"/>
          <w:sz w:val="24"/>
          <w:szCs w:val="24"/>
        </w:rPr>
        <w:t>ризик</w:t>
      </w:r>
      <w:bookmarkEnd w:id="109"/>
    </w:p>
    <w:p w14:paraId="46F409CE" w14:textId="77777777" w:rsidR="007B6BE3" w:rsidRPr="0087376B" w:rsidRDefault="007B6BE3" w:rsidP="007B6BE3">
      <w:pPr>
        <w:pStyle w:val="NoSpacing"/>
        <w:tabs>
          <w:tab w:val="left" w:pos="2145"/>
        </w:tabs>
        <w:jc w:val="both"/>
        <w:rPr>
          <w:rFonts w:ascii="Arial" w:hAnsi="Arial" w:cs="Arial"/>
          <w:b/>
          <w:color w:val="538135" w:themeColor="accent6" w:themeShade="BF"/>
          <w:sz w:val="16"/>
          <w:szCs w:val="16"/>
          <w:lang w:val="hr-HR"/>
        </w:rPr>
      </w:pPr>
    </w:p>
    <w:p w14:paraId="1B28F3B6" w14:textId="77777777" w:rsidR="007B6BE3" w:rsidRPr="0087376B" w:rsidRDefault="005B20F8" w:rsidP="007B6BE3">
      <w:pPr>
        <w:pStyle w:val="ParagraphNumbering"/>
        <w:numPr>
          <w:ilvl w:val="0"/>
          <w:numId w:val="0"/>
        </w:numPr>
        <w:spacing w:after="0" w:line="276" w:lineRule="auto"/>
        <w:ind w:firstLine="284"/>
        <w:jc w:val="both"/>
        <w:rPr>
          <w:rFonts w:ascii="Arial" w:hAnsi="Arial" w:cs="Arial"/>
          <w:bCs/>
          <w:sz w:val="22"/>
          <w:szCs w:val="22"/>
        </w:rPr>
      </w:pPr>
      <w:r>
        <w:rPr>
          <w:rFonts w:ascii="Arial" w:hAnsi="Arial" w:cs="Arial"/>
          <w:bCs/>
          <w:sz w:val="22"/>
          <w:szCs w:val="22"/>
        </w:rPr>
        <w:t>Учешће</w:t>
      </w:r>
      <w:r w:rsidR="007B6BE3" w:rsidRPr="0087376B">
        <w:rPr>
          <w:rFonts w:ascii="Arial" w:hAnsi="Arial" w:cs="Arial"/>
          <w:bCs/>
          <w:sz w:val="22"/>
          <w:szCs w:val="22"/>
        </w:rPr>
        <w:t xml:space="preserve"> </w:t>
      </w:r>
      <w:r>
        <w:rPr>
          <w:rFonts w:ascii="Arial" w:hAnsi="Arial" w:cs="Arial"/>
          <w:bCs/>
          <w:sz w:val="22"/>
          <w:szCs w:val="22"/>
        </w:rPr>
        <w:t>портфолија</w:t>
      </w:r>
      <w:r w:rsidR="007B6BE3" w:rsidRPr="0087376B">
        <w:rPr>
          <w:rFonts w:ascii="Arial" w:hAnsi="Arial" w:cs="Arial"/>
          <w:bCs/>
          <w:sz w:val="22"/>
          <w:szCs w:val="22"/>
        </w:rPr>
        <w:t xml:space="preserve"> </w:t>
      </w:r>
      <w:r>
        <w:rPr>
          <w:rFonts w:ascii="Arial" w:hAnsi="Arial" w:cs="Arial"/>
          <w:bCs/>
          <w:sz w:val="22"/>
          <w:szCs w:val="22"/>
        </w:rPr>
        <w:t>дуга</w:t>
      </w:r>
      <w:r w:rsidR="007B6BE3" w:rsidRPr="0087376B">
        <w:rPr>
          <w:rFonts w:ascii="Arial" w:hAnsi="Arial" w:cs="Arial"/>
          <w:bCs/>
          <w:sz w:val="22"/>
          <w:szCs w:val="22"/>
        </w:rPr>
        <w:t xml:space="preserve"> </w:t>
      </w:r>
      <w:r>
        <w:rPr>
          <w:rFonts w:ascii="Arial" w:hAnsi="Arial" w:cs="Arial"/>
          <w:bCs/>
          <w:sz w:val="22"/>
          <w:szCs w:val="22"/>
        </w:rPr>
        <w:t>који</w:t>
      </w:r>
      <w:r w:rsidR="007B6BE3" w:rsidRPr="0087376B">
        <w:rPr>
          <w:rFonts w:ascii="Arial" w:hAnsi="Arial" w:cs="Arial"/>
          <w:bCs/>
          <w:sz w:val="22"/>
          <w:szCs w:val="22"/>
        </w:rPr>
        <w:t xml:space="preserve"> </w:t>
      </w:r>
      <w:r>
        <w:rPr>
          <w:rFonts w:ascii="Arial" w:hAnsi="Arial" w:cs="Arial"/>
          <w:bCs/>
          <w:sz w:val="22"/>
          <w:szCs w:val="22"/>
        </w:rPr>
        <w:t>се</w:t>
      </w:r>
      <w:r w:rsidR="007B6BE3" w:rsidRPr="0087376B">
        <w:rPr>
          <w:rFonts w:ascii="Arial" w:hAnsi="Arial" w:cs="Arial"/>
          <w:bCs/>
          <w:sz w:val="22"/>
          <w:szCs w:val="22"/>
        </w:rPr>
        <w:t xml:space="preserve"> </w:t>
      </w:r>
      <w:r>
        <w:rPr>
          <w:rFonts w:ascii="Arial" w:hAnsi="Arial" w:cs="Arial"/>
          <w:bCs/>
          <w:sz w:val="22"/>
          <w:szCs w:val="22"/>
        </w:rPr>
        <w:t>рефиксира</w:t>
      </w:r>
      <w:r w:rsidR="007B6BE3" w:rsidRPr="0087376B">
        <w:rPr>
          <w:rFonts w:ascii="Arial" w:hAnsi="Arial" w:cs="Arial"/>
          <w:bCs/>
          <w:sz w:val="22"/>
          <w:szCs w:val="22"/>
        </w:rPr>
        <w:t xml:space="preserve"> </w:t>
      </w:r>
      <w:r>
        <w:rPr>
          <w:rFonts w:ascii="Arial" w:hAnsi="Arial" w:cs="Arial"/>
          <w:bCs/>
          <w:sz w:val="22"/>
          <w:szCs w:val="22"/>
        </w:rPr>
        <w:t>унутар</w:t>
      </w:r>
      <w:r w:rsidR="007B6BE3" w:rsidRPr="0087376B">
        <w:rPr>
          <w:rFonts w:ascii="Arial" w:hAnsi="Arial" w:cs="Arial"/>
          <w:bCs/>
          <w:sz w:val="22"/>
          <w:szCs w:val="22"/>
        </w:rPr>
        <w:t xml:space="preserve"> </w:t>
      </w:r>
      <w:r>
        <w:rPr>
          <w:rFonts w:ascii="Arial" w:hAnsi="Arial" w:cs="Arial"/>
          <w:bCs/>
          <w:sz w:val="22"/>
          <w:szCs w:val="22"/>
        </w:rPr>
        <w:t>једне</w:t>
      </w:r>
      <w:r w:rsidR="007B6BE3" w:rsidRPr="0087376B">
        <w:rPr>
          <w:rFonts w:ascii="Arial" w:hAnsi="Arial" w:cs="Arial"/>
          <w:bCs/>
          <w:sz w:val="22"/>
          <w:szCs w:val="22"/>
        </w:rPr>
        <w:t xml:space="preserve"> </w:t>
      </w:r>
      <w:r>
        <w:rPr>
          <w:rFonts w:ascii="Arial" w:hAnsi="Arial" w:cs="Arial"/>
          <w:bCs/>
          <w:sz w:val="22"/>
          <w:szCs w:val="22"/>
        </w:rPr>
        <w:t>године</w:t>
      </w:r>
      <w:r w:rsidR="007B6BE3" w:rsidRPr="0087376B">
        <w:rPr>
          <w:rFonts w:ascii="Arial" w:hAnsi="Arial" w:cs="Arial"/>
          <w:bCs/>
          <w:sz w:val="22"/>
          <w:szCs w:val="22"/>
        </w:rPr>
        <w:t xml:space="preserve"> </w:t>
      </w:r>
      <w:r>
        <w:rPr>
          <w:rFonts w:ascii="Arial" w:hAnsi="Arial" w:cs="Arial"/>
          <w:bCs/>
          <w:sz w:val="22"/>
          <w:szCs w:val="22"/>
        </w:rPr>
        <w:t>износи</w:t>
      </w:r>
      <w:r w:rsidR="007B6BE3" w:rsidRPr="0087376B">
        <w:rPr>
          <w:rFonts w:ascii="Arial" w:hAnsi="Arial" w:cs="Arial"/>
          <w:bCs/>
          <w:sz w:val="22"/>
          <w:szCs w:val="22"/>
        </w:rPr>
        <w:t xml:space="preserve"> 45,2% </w:t>
      </w:r>
      <w:r>
        <w:rPr>
          <w:rFonts w:ascii="Arial" w:hAnsi="Arial" w:cs="Arial"/>
          <w:bCs/>
          <w:sz w:val="22"/>
          <w:szCs w:val="22"/>
        </w:rPr>
        <w:t>и</w:t>
      </w:r>
      <w:r w:rsidR="007B6BE3" w:rsidRPr="0087376B">
        <w:rPr>
          <w:rFonts w:ascii="Arial" w:hAnsi="Arial" w:cs="Arial"/>
          <w:bCs/>
          <w:sz w:val="22"/>
          <w:szCs w:val="22"/>
        </w:rPr>
        <w:t xml:space="preserve"> </w:t>
      </w:r>
      <w:r>
        <w:rPr>
          <w:rFonts w:ascii="Arial" w:hAnsi="Arial" w:cs="Arial"/>
          <w:bCs/>
          <w:sz w:val="22"/>
          <w:szCs w:val="22"/>
        </w:rPr>
        <w:t>резултат</w:t>
      </w:r>
      <w:r w:rsidR="007B6BE3" w:rsidRPr="0087376B">
        <w:rPr>
          <w:rFonts w:ascii="Arial" w:hAnsi="Arial" w:cs="Arial"/>
          <w:bCs/>
          <w:sz w:val="22"/>
          <w:szCs w:val="22"/>
        </w:rPr>
        <w:t xml:space="preserve"> </w:t>
      </w:r>
      <w:r>
        <w:rPr>
          <w:rFonts w:ascii="Arial" w:hAnsi="Arial" w:cs="Arial"/>
          <w:bCs/>
          <w:sz w:val="22"/>
          <w:szCs w:val="22"/>
        </w:rPr>
        <w:t>је</w:t>
      </w:r>
      <w:r w:rsidR="007B6BE3" w:rsidRPr="0087376B">
        <w:rPr>
          <w:rFonts w:ascii="Arial" w:hAnsi="Arial" w:cs="Arial"/>
          <w:bCs/>
          <w:sz w:val="22"/>
          <w:szCs w:val="22"/>
        </w:rPr>
        <w:t xml:space="preserve"> </w:t>
      </w:r>
      <w:r>
        <w:rPr>
          <w:rFonts w:ascii="Arial" w:hAnsi="Arial" w:cs="Arial"/>
          <w:bCs/>
          <w:sz w:val="22"/>
          <w:szCs w:val="22"/>
        </w:rPr>
        <w:t>чињенице</w:t>
      </w:r>
      <w:r w:rsidR="007B6BE3" w:rsidRPr="0087376B">
        <w:rPr>
          <w:rFonts w:ascii="Arial" w:hAnsi="Arial" w:cs="Arial"/>
          <w:bCs/>
          <w:sz w:val="22"/>
          <w:szCs w:val="22"/>
        </w:rPr>
        <w:t xml:space="preserve"> </w:t>
      </w:r>
      <w:r>
        <w:rPr>
          <w:rFonts w:ascii="Arial" w:hAnsi="Arial" w:cs="Arial"/>
          <w:bCs/>
          <w:sz w:val="22"/>
          <w:szCs w:val="22"/>
        </w:rPr>
        <w:t>да</w:t>
      </w:r>
      <w:r w:rsidR="007B6BE3" w:rsidRPr="0087376B">
        <w:rPr>
          <w:rFonts w:ascii="Arial" w:hAnsi="Arial" w:cs="Arial"/>
          <w:bCs/>
          <w:sz w:val="22"/>
          <w:szCs w:val="22"/>
        </w:rPr>
        <w:t xml:space="preserve">  </w:t>
      </w:r>
      <w:r>
        <w:rPr>
          <w:rFonts w:ascii="Arial" w:hAnsi="Arial" w:cs="Arial"/>
          <w:bCs/>
          <w:sz w:val="22"/>
          <w:szCs w:val="22"/>
        </w:rPr>
        <w:t>је</w:t>
      </w:r>
      <w:r w:rsidR="007B6BE3" w:rsidRPr="0087376B">
        <w:rPr>
          <w:rFonts w:ascii="Arial" w:hAnsi="Arial" w:cs="Arial"/>
          <w:bCs/>
          <w:sz w:val="22"/>
          <w:szCs w:val="22"/>
        </w:rPr>
        <w:t xml:space="preserve"> </w:t>
      </w:r>
      <w:r>
        <w:rPr>
          <w:rFonts w:ascii="Arial" w:hAnsi="Arial" w:cs="Arial"/>
          <w:bCs/>
          <w:sz w:val="22"/>
          <w:szCs w:val="22"/>
        </w:rPr>
        <w:t>око</w:t>
      </w:r>
      <w:r w:rsidR="007B6BE3" w:rsidRPr="0087376B">
        <w:rPr>
          <w:rFonts w:ascii="Arial" w:hAnsi="Arial" w:cs="Arial"/>
          <w:bCs/>
          <w:sz w:val="22"/>
          <w:szCs w:val="22"/>
        </w:rPr>
        <w:t xml:space="preserve"> 38% </w:t>
      </w:r>
      <w:r>
        <w:rPr>
          <w:rFonts w:ascii="Arial" w:hAnsi="Arial" w:cs="Arial"/>
          <w:bCs/>
          <w:sz w:val="22"/>
          <w:szCs w:val="22"/>
        </w:rPr>
        <w:t>спољног</w:t>
      </w:r>
      <w:r w:rsidR="007B6BE3" w:rsidRPr="0087376B">
        <w:rPr>
          <w:rFonts w:ascii="Arial" w:hAnsi="Arial" w:cs="Arial"/>
          <w:bCs/>
          <w:sz w:val="22"/>
          <w:szCs w:val="22"/>
        </w:rPr>
        <w:t xml:space="preserve"> </w:t>
      </w:r>
      <w:r>
        <w:rPr>
          <w:rFonts w:ascii="Arial" w:hAnsi="Arial" w:cs="Arial"/>
          <w:bCs/>
          <w:sz w:val="22"/>
          <w:szCs w:val="22"/>
        </w:rPr>
        <w:t>дуга</w:t>
      </w:r>
      <w:r w:rsidR="007B6BE3" w:rsidRPr="0087376B">
        <w:rPr>
          <w:rFonts w:ascii="Arial" w:hAnsi="Arial" w:cs="Arial"/>
          <w:bCs/>
          <w:sz w:val="22"/>
          <w:szCs w:val="22"/>
        </w:rPr>
        <w:t xml:space="preserve"> </w:t>
      </w:r>
      <w:r>
        <w:rPr>
          <w:rFonts w:ascii="Arial" w:hAnsi="Arial" w:cs="Arial"/>
          <w:bCs/>
          <w:sz w:val="22"/>
          <w:szCs w:val="22"/>
        </w:rPr>
        <w:t>уговорено</w:t>
      </w:r>
      <w:r w:rsidR="007B6BE3" w:rsidRPr="0087376B">
        <w:rPr>
          <w:rFonts w:ascii="Arial" w:hAnsi="Arial" w:cs="Arial"/>
          <w:bCs/>
          <w:sz w:val="22"/>
          <w:szCs w:val="22"/>
        </w:rPr>
        <w:t xml:space="preserve"> </w:t>
      </w:r>
      <w:r>
        <w:rPr>
          <w:rFonts w:ascii="Arial" w:hAnsi="Arial" w:cs="Arial"/>
          <w:bCs/>
          <w:sz w:val="22"/>
          <w:szCs w:val="22"/>
        </w:rPr>
        <w:t>са</w:t>
      </w:r>
      <w:r w:rsidR="007B6BE3" w:rsidRPr="0087376B">
        <w:rPr>
          <w:rFonts w:ascii="Arial" w:hAnsi="Arial" w:cs="Arial"/>
          <w:bCs/>
          <w:sz w:val="22"/>
          <w:szCs w:val="22"/>
        </w:rPr>
        <w:t xml:space="preserve"> </w:t>
      </w:r>
      <w:r>
        <w:rPr>
          <w:rFonts w:ascii="Arial" w:hAnsi="Arial" w:cs="Arial"/>
          <w:bCs/>
          <w:sz w:val="22"/>
          <w:szCs w:val="22"/>
        </w:rPr>
        <w:t>варијабилном</w:t>
      </w:r>
      <w:r w:rsidR="007B6BE3" w:rsidRPr="0087376B">
        <w:rPr>
          <w:rFonts w:ascii="Arial" w:hAnsi="Arial" w:cs="Arial"/>
          <w:bCs/>
          <w:sz w:val="22"/>
          <w:szCs w:val="22"/>
        </w:rPr>
        <w:t xml:space="preserve"> </w:t>
      </w:r>
      <w:r>
        <w:rPr>
          <w:rFonts w:ascii="Arial" w:hAnsi="Arial" w:cs="Arial"/>
          <w:bCs/>
          <w:sz w:val="22"/>
          <w:szCs w:val="22"/>
        </w:rPr>
        <w:t>каматном</w:t>
      </w:r>
      <w:r w:rsidR="007B6BE3" w:rsidRPr="0087376B">
        <w:rPr>
          <w:rFonts w:ascii="Arial" w:hAnsi="Arial" w:cs="Arial"/>
          <w:bCs/>
          <w:sz w:val="22"/>
          <w:szCs w:val="22"/>
        </w:rPr>
        <w:t xml:space="preserve"> </w:t>
      </w:r>
      <w:r>
        <w:rPr>
          <w:rFonts w:ascii="Arial" w:hAnsi="Arial" w:cs="Arial"/>
          <w:bCs/>
          <w:sz w:val="22"/>
          <w:szCs w:val="22"/>
        </w:rPr>
        <w:t>стопом</w:t>
      </w:r>
      <w:r w:rsidR="007B6BE3" w:rsidRPr="0087376B">
        <w:rPr>
          <w:rFonts w:ascii="Arial" w:hAnsi="Arial" w:cs="Arial"/>
          <w:bCs/>
          <w:sz w:val="22"/>
          <w:szCs w:val="22"/>
        </w:rPr>
        <w:t xml:space="preserve">, </w:t>
      </w:r>
      <w:r>
        <w:rPr>
          <w:rFonts w:ascii="Arial" w:hAnsi="Arial" w:cs="Arial"/>
          <w:bCs/>
          <w:sz w:val="22"/>
          <w:szCs w:val="22"/>
        </w:rPr>
        <w:t>као</w:t>
      </w:r>
      <w:r w:rsidR="007B6BE3" w:rsidRPr="0087376B">
        <w:rPr>
          <w:rFonts w:ascii="Arial" w:hAnsi="Arial" w:cs="Arial"/>
          <w:bCs/>
          <w:sz w:val="22"/>
          <w:szCs w:val="22"/>
        </w:rPr>
        <w:t xml:space="preserve"> </w:t>
      </w:r>
      <w:r>
        <w:rPr>
          <w:rFonts w:ascii="Arial" w:hAnsi="Arial" w:cs="Arial"/>
          <w:bCs/>
          <w:sz w:val="22"/>
          <w:szCs w:val="22"/>
        </w:rPr>
        <w:t>и</w:t>
      </w:r>
      <w:r w:rsidR="007B6BE3" w:rsidRPr="0087376B">
        <w:rPr>
          <w:rFonts w:ascii="Arial" w:hAnsi="Arial" w:cs="Arial"/>
          <w:bCs/>
          <w:sz w:val="22"/>
          <w:szCs w:val="22"/>
        </w:rPr>
        <w:t xml:space="preserve"> </w:t>
      </w:r>
      <w:r>
        <w:rPr>
          <w:rFonts w:ascii="Arial" w:hAnsi="Arial" w:cs="Arial"/>
          <w:bCs/>
          <w:sz w:val="22"/>
          <w:szCs w:val="22"/>
        </w:rPr>
        <w:t>због</w:t>
      </w:r>
      <w:r w:rsidR="007B6BE3" w:rsidRPr="0087376B">
        <w:rPr>
          <w:rFonts w:ascii="Arial" w:hAnsi="Arial" w:cs="Arial"/>
          <w:bCs/>
          <w:sz w:val="22"/>
          <w:szCs w:val="22"/>
        </w:rPr>
        <w:t xml:space="preserve"> </w:t>
      </w:r>
      <w:r>
        <w:rPr>
          <w:rFonts w:ascii="Arial" w:hAnsi="Arial" w:cs="Arial"/>
          <w:bCs/>
          <w:sz w:val="22"/>
          <w:szCs w:val="22"/>
        </w:rPr>
        <w:t>краћих</w:t>
      </w:r>
      <w:r w:rsidR="007B6BE3" w:rsidRPr="0087376B">
        <w:rPr>
          <w:rFonts w:ascii="Arial" w:hAnsi="Arial" w:cs="Arial"/>
          <w:bCs/>
          <w:sz w:val="22"/>
          <w:szCs w:val="22"/>
        </w:rPr>
        <w:t xml:space="preserve"> </w:t>
      </w:r>
      <w:r>
        <w:rPr>
          <w:rFonts w:ascii="Arial" w:hAnsi="Arial" w:cs="Arial"/>
          <w:bCs/>
          <w:sz w:val="22"/>
          <w:szCs w:val="22"/>
        </w:rPr>
        <w:t>рокова</w:t>
      </w:r>
      <w:r w:rsidR="007B6BE3" w:rsidRPr="0087376B">
        <w:rPr>
          <w:rFonts w:ascii="Arial" w:hAnsi="Arial" w:cs="Arial"/>
          <w:bCs/>
          <w:sz w:val="22"/>
          <w:szCs w:val="22"/>
        </w:rPr>
        <w:t xml:space="preserve"> </w:t>
      </w:r>
      <w:r>
        <w:rPr>
          <w:rFonts w:ascii="Arial" w:hAnsi="Arial" w:cs="Arial"/>
          <w:bCs/>
          <w:sz w:val="22"/>
          <w:szCs w:val="22"/>
        </w:rPr>
        <w:t>доспијећа</w:t>
      </w:r>
      <w:r w:rsidR="007B6BE3" w:rsidRPr="0087376B">
        <w:rPr>
          <w:rFonts w:ascii="Arial" w:hAnsi="Arial" w:cs="Arial"/>
          <w:bCs/>
          <w:sz w:val="22"/>
          <w:szCs w:val="22"/>
        </w:rPr>
        <w:t xml:space="preserve"> </w:t>
      </w:r>
      <w:r>
        <w:rPr>
          <w:rFonts w:ascii="Arial" w:hAnsi="Arial" w:cs="Arial"/>
          <w:bCs/>
          <w:sz w:val="22"/>
          <w:szCs w:val="22"/>
        </w:rPr>
        <w:t>тржишних</w:t>
      </w:r>
      <w:r w:rsidR="007B6BE3" w:rsidRPr="0087376B">
        <w:rPr>
          <w:rFonts w:ascii="Arial" w:hAnsi="Arial" w:cs="Arial"/>
          <w:bCs/>
          <w:sz w:val="22"/>
          <w:szCs w:val="22"/>
        </w:rPr>
        <w:t xml:space="preserve"> </w:t>
      </w:r>
      <w:r>
        <w:rPr>
          <w:rFonts w:ascii="Arial" w:hAnsi="Arial" w:cs="Arial"/>
        </w:rPr>
        <w:t>хартија</w:t>
      </w:r>
      <w:r w:rsidR="009D7230">
        <w:rPr>
          <w:rFonts w:ascii="Arial" w:hAnsi="Arial" w:cs="Arial"/>
        </w:rPr>
        <w:t xml:space="preserve"> </w:t>
      </w:r>
      <w:r>
        <w:rPr>
          <w:rFonts w:ascii="Arial" w:hAnsi="Arial" w:cs="Arial"/>
        </w:rPr>
        <w:t>од</w:t>
      </w:r>
      <w:r w:rsidR="009D7230">
        <w:rPr>
          <w:rFonts w:ascii="Arial" w:hAnsi="Arial" w:cs="Arial"/>
        </w:rPr>
        <w:t xml:space="preserve"> </w:t>
      </w:r>
      <w:r>
        <w:rPr>
          <w:rFonts w:ascii="Arial" w:hAnsi="Arial" w:cs="Arial"/>
        </w:rPr>
        <w:t>вриједности</w:t>
      </w:r>
      <w:r w:rsidR="009D7230" w:rsidRPr="0087376B">
        <w:rPr>
          <w:rFonts w:ascii="Arial" w:hAnsi="Arial" w:cs="Arial"/>
          <w:bCs/>
          <w:sz w:val="22"/>
          <w:szCs w:val="22"/>
        </w:rPr>
        <w:t xml:space="preserve"> </w:t>
      </w:r>
      <w:r>
        <w:rPr>
          <w:rFonts w:ascii="Arial" w:hAnsi="Arial" w:cs="Arial"/>
          <w:bCs/>
          <w:sz w:val="22"/>
          <w:szCs w:val="22"/>
        </w:rPr>
        <w:t>емитованих</w:t>
      </w:r>
      <w:r w:rsidR="007B6BE3" w:rsidRPr="0087376B">
        <w:rPr>
          <w:rFonts w:ascii="Arial" w:hAnsi="Arial" w:cs="Arial"/>
          <w:bCs/>
          <w:sz w:val="22"/>
          <w:szCs w:val="22"/>
        </w:rPr>
        <w:t xml:space="preserve"> </w:t>
      </w:r>
      <w:r>
        <w:rPr>
          <w:rFonts w:ascii="Arial" w:hAnsi="Arial" w:cs="Arial"/>
          <w:bCs/>
          <w:sz w:val="22"/>
          <w:szCs w:val="22"/>
        </w:rPr>
        <w:t>на</w:t>
      </w:r>
      <w:r w:rsidR="007B6BE3" w:rsidRPr="0087376B">
        <w:rPr>
          <w:rFonts w:ascii="Arial" w:hAnsi="Arial" w:cs="Arial"/>
          <w:bCs/>
          <w:sz w:val="22"/>
          <w:szCs w:val="22"/>
        </w:rPr>
        <w:t xml:space="preserve"> </w:t>
      </w:r>
      <w:r>
        <w:rPr>
          <w:rFonts w:ascii="Arial" w:hAnsi="Arial" w:cs="Arial"/>
          <w:bCs/>
          <w:sz w:val="22"/>
          <w:szCs w:val="22"/>
        </w:rPr>
        <w:t>домаћем</w:t>
      </w:r>
      <w:r w:rsidR="007B6BE3" w:rsidRPr="0087376B">
        <w:rPr>
          <w:rFonts w:ascii="Arial" w:hAnsi="Arial" w:cs="Arial"/>
          <w:bCs/>
          <w:sz w:val="22"/>
          <w:szCs w:val="22"/>
        </w:rPr>
        <w:t xml:space="preserve"> </w:t>
      </w:r>
      <w:r>
        <w:rPr>
          <w:rFonts w:ascii="Arial" w:hAnsi="Arial" w:cs="Arial"/>
          <w:bCs/>
          <w:sz w:val="22"/>
          <w:szCs w:val="22"/>
        </w:rPr>
        <w:t>тржишту</w:t>
      </w:r>
      <w:r w:rsidR="007B6BE3" w:rsidRPr="0087376B">
        <w:rPr>
          <w:rFonts w:ascii="Arial" w:hAnsi="Arial" w:cs="Arial"/>
          <w:bCs/>
          <w:sz w:val="22"/>
          <w:szCs w:val="22"/>
        </w:rPr>
        <w:t xml:space="preserve">. </w:t>
      </w:r>
      <w:r w:rsidR="009D7230">
        <w:rPr>
          <w:rFonts w:ascii="Arial" w:hAnsi="Arial" w:cs="Arial"/>
          <w:bCs/>
          <w:sz w:val="22"/>
          <w:szCs w:val="22"/>
        </w:rPr>
        <w:t xml:space="preserve"> </w:t>
      </w:r>
    </w:p>
    <w:p w14:paraId="0D1A58B9" w14:textId="77777777" w:rsidR="007B6BE3" w:rsidRPr="0087376B" w:rsidRDefault="007B6BE3" w:rsidP="007B6BE3">
      <w:pPr>
        <w:pStyle w:val="ParagraphNumbering"/>
        <w:numPr>
          <w:ilvl w:val="0"/>
          <w:numId w:val="0"/>
        </w:numPr>
        <w:spacing w:after="0" w:line="276" w:lineRule="auto"/>
        <w:ind w:firstLine="284"/>
        <w:jc w:val="both"/>
        <w:rPr>
          <w:rFonts w:ascii="Arial" w:hAnsi="Arial" w:cs="Arial"/>
          <w:bCs/>
          <w:sz w:val="22"/>
          <w:szCs w:val="22"/>
        </w:rPr>
      </w:pPr>
    </w:p>
    <w:p w14:paraId="46CA6F3F" w14:textId="77777777" w:rsidR="007B6BE3" w:rsidRPr="0087376B" w:rsidRDefault="005B20F8" w:rsidP="007B6BE3">
      <w:pPr>
        <w:pStyle w:val="ParagraphNumbering"/>
        <w:numPr>
          <w:ilvl w:val="0"/>
          <w:numId w:val="0"/>
        </w:numPr>
        <w:spacing w:after="0" w:line="276" w:lineRule="auto"/>
        <w:ind w:firstLine="284"/>
        <w:jc w:val="both"/>
        <w:rPr>
          <w:rFonts w:ascii="Arial" w:hAnsi="Arial" w:cs="Arial"/>
          <w:bCs/>
          <w:sz w:val="22"/>
          <w:szCs w:val="22"/>
        </w:rPr>
      </w:pPr>
      <w:r>
        <w:rPr>
          <w:rFonts w:ascii="Arial" w:hAnsi="Arial" w:cs="Arial"/>
          <w:bCs/>
          <w:sz w:val="22"/>
          <w:szCs w:val="22"/>
        </w:rPr>
        <w:t>Просјечно</w:t>
      </w:r>
      <w:r w:rsidR="007B6BE3" w:rsidRPr="0087376B">
        <w:rPr>
          <w:rFonts w:ascii="Arial" w:hAnsi="Arial" w:cs="Arial"/>
          <w:bCs/>
          <w:sz w:val="22"/>
          <w:szCs w:val="22"/>
        </w:rPr>
        <w:t xml:space="preserve"> </w:t>
      </w:r>
      <w:r>
        <w:rPr>
          <w:rFonts w:ascii="Arial" w:hAnsi="Arial" w:cs="Arial"/>
          <w:bCs/>
          <w:sz w:val="22"/>
          <w:szCs w:val="22"/>
        </w:rPr>
        <w:t>вријеме</w:t>
      </w:r>
      <w:r w:rsidR="007B6BE3" w:rsidRPr="0087376B">
        <w:rPr>
          <w:rFonts w:ascii="Arial" w:hAnsi="Arial" w:cs="Arial"/>
          <w:bCs/>
          <w:sz w:val="22"/>
          <w:szCs w:val="22"/>
        </w:rPr>
        <w:t xml:space="preserve"> </w:t>
      </w:r>
      <w:r>
        <w:rPr>
          <w:rFonts w:ascii="Arial" w:hAnsi="Arial" w:cs="Arial"/>
          <w:bCs/>
          <w:sz w:val="22"/>
          <w:szCs w:val="22"/>
        </w:rPr>
        <w:t>рефиксирања</w:t>
      </w:r>
      <w:r w:rsidR="007B6BE3" w:rsidRPr="0087376B">
        <w:rPr>
          <w:rFonts w:ascii="Arial" w:hAnsi="Arial" w:cs="Arial"/>
          <w:bCs/>
          <w:sz w:val="22"/>
          <w:szCs w:val="22"/>
        </w:rPr>
        <w:t xml:space="preserve"> </w:t>
      </w:r>
      <w:r>
        <w:rPr>
          <w:rFonts w:ascii="Arial" w:hAnsi="Arial" w:cs="Arial"/>
          <w:bCs/>
          <w:sz w:val="22"/>
          <w:szCs w:val="22"/>
        </w:rPr>
        <w:t>портфолија</w:t>
      </w:r>
      <w:r w:rsidR="007B6BE3" w:rsidRPr="0087376B">
        <w:rPr>
          <w:rFonts w:ascii="Arial" w:hAnsi="Arial" w:cs="Arial"/>
          <w:bCs/>
          <w:sz w:val="22"/>
          <w:szCs w:val="22"/>
        </w:rPr>
        <w:t xml:space="preserve"> </w:t>
      </w:r>
      <w:r>
        <w:rPr>
          <w:rFonts w:ascii="Arial" w:hAnsi="Arial" w:cs="Arial"/>
          <w:bCs/>
          <w:sz w:val="22"/>
          <w:szCs w:val="22"/>
        </w:rPr>
        <w:t>дуга</w:t>
      </w:r>
      <w:r w:rsidR="007B6BE3" w:rsidRPr="0087376B">
        <w:rPr>
          <w:rFonts w:ascii="Arial" w:hAnsi="Arial" w:cs="Arial"/>
          <w:bCs/>
          <w:sz w:val="22"/>
          <w:szCs w:val="22"/>
        </w:rPr>
        <w:t xml:space="preserve"> </w:t>
      </w:r>
      <w:r>
        <w:rPr>
          <w:rFonts w:ascii="Arial" w:hAnsi="Arial" w:cs="Arial"/>
          <w:bCs/>
          <w:sz w:val="22"/>
          <w:szCs w:val="22"/>
        </w:rPr>
        <w:t>Федерације</w:t>
      </w:r>
      <w:r w:rsidR="007B6BE3" w:rsidRPr="0087376B">
        <w:rPr>
          <w:rFonts w:ascii="Arial" w:hAnsi="Arial" w:cs="Arial"/>
          <w:bCs/>
          <w:sz w:val="22"/>
          <w:szCs w:val="22"/>
        </w:rPr>
        <w:t xml:space="preserve"> </w:t>
      </w:r>
      <w:r>
        <w:rPr>
          <w:rFonts w:ascii="Arial" w:hAnsi="Arial" w:cs="Arial"/>
          <w:bCs/>
          <w:sz w:val="22"/>
          <w:szCs w:val="22"/>
        </w:rPr>
        <w:t>БиХ</w:t>
      </w:r>
      <w:r w:rsidR="007B6BE3" w:rsidRPr="0087376B">
        <w:rPr>
          <w:rFonts w:ascii="Arial" w:hAnsi="Arial" w:cs="Arial"/>
          <w:bCs/>
          <w:sz w:val="22"/>
          <w:szCs w:val="22"/>
        </w:rPr>
        <w:t xml:space="preserve"> </w:t>
      </w:r>
      <w:r>
        <w:rPr>
          <w:rFonts w:ascii="Arial" w:hAnsi="Arial" w:cs="Arial"/>
          <w:bCs/>
          <w:sz w:val="22"/>
          <w:szCs w:val="22"/>
        </w:rPr>
        <w:t>износи</w:t>
      </w:r>
      <w:r w:rsidR="007B6BE3" w:rsidRPr="0087376B">
        <w:rPr>
          <w:rFonts w:ascii="Arial" w:hAnsi="Arial" w:cs="Arial"/>
          <w:bCs/>
          <w:sz w:val="22"/>
          <w:szCs w:val="22"/>
        </w:rPr>
        <w:t xml:space="preserve"> 4,2 </w:t>
      </w:r>
      <w:r>
        <w:rPr>
          <w:rFonts w:ascii="Arial" w:hAnsi="Arial" w:cs="Arial"/>
          <w:bCs/>
          <w:sz w:val="22"/>
          <w:szCs w:val="22"/>
        </w:rPr>
        <w:t>године</w:t>
      </w:r>
      <w:r w:rsidR="007B6BE3" w:rsidRPr="0087376B">
        <w:rPr>
          <w:rFonts w:ascii="Arial" w:hAnsi="Arial" w:cs="Arial"/>
          <w:bCs/>
          <w:sz w:val="22"/>
          <w:szCs w:val="22"/>
        </w:rPr>
        <w:t xml:space="preserve"> </w:t>
      </w:r>
      <w:r>
        <w:rPr>
          <w:rFonts w:ascii="Arial" w:hAnsi="Arial" w:cs="Arial"/>
          <w:bCs/>
          <w:sz w:val="22"/>
          <w:szCs w:val="22"/>
        </w:rPr>
        <w:t>те</w:t>
      </w:r>
      <w:r w:rsidR="007B6BE3" w:rsidRPr="0087376B">
        <w:rPr>
          <w:rFonts w:ascii="Arial" w:hAnsi="Arial" w:cs="Arial"/>
          <w:bCs/>
          <w:sz w:val="22"/>
          <w:szCs w:val="22"/>
        </w:rPr>
        <w:t xml:space="preserve"> </w:t>
      </w:r>
      <w:r>
        <w:rPr>
          <w:rFonts w:ascii="Arial" w:hAnsi="Arial" w:cs="Arial"/>
          <w:bCs/>
          <w:sz w:val="22"/>
          <w:szCs w:val="22"/>
        </w:rPr>
        <w:t>је</w:t>
      </w:r>
      <w:r w:rsidR="007B6BE3" w:rsidRPr="0087376B">
        <w:rPr>
          <w:rFonts w:ascii="Arial" w:hAnsi="Arial" w:cs="Arial"/>
          <w:bCs/>
          <w:sz w:val="22"/>
          <w:szCs w:val="22"/>
        </w:rPr>
        <w:t xml:space="preserve"> </w:t>
      </w:r>
      <w:r>
        <w:rPr>
          <w:rFonts w:ascii="Arial" w:hAnsi="Arial" w:cs="Arial"/>
          <w:bCs/>
          <w:sz w:val="22"/>
          <w:szCs w:val="22"/>
        </w:rPr>
        <w:t>у</w:t>
      </w:r>
      <w:r w:rsidR="007B6BE3" w:rsidRPr="0087376B">
        <w:rPr>
          <w:rFonts w:ascii="Arial" w:hAnsi="Arial" w:cs="Arial"/>
          <w:bCs/>
          <w:sz w:val="22"/>
          <w:szCs w:val="22"/>
        </w:rPr>
        <w:t xml:space="preserve"> </w:t>
      </w:r>
      <w:r>
        <w:rPr>
          <w:rFonts w:ascii="Arial" w:hAnsi="Arial" w:cs="Arial"/>
          <w:bCs/>
          <w:sz w:val="22"/>
          <w:szCs w:val="22"/>
        </w:rPr>
        <w:t>овом</w:t>
      </w:r>
      <w:r w:rsidR="007B6BE3" w:rsidRPr="0087376B">
        <w:rPr>
          <w:rFonts w:ascii="Arial" w:hAnsi="Arial" w:cs="Arial"/>
          <w:bCs/>
          <w:sz w:val="22"/>
          <w:szCs w:val="22"/>
        </w:rPr>
        <w:t xml:space="preserve"> </w:t>
      </w:r>
      <w:r>
        <w:rPr>
          <w:rFonts w:ascii="Arial" w:hAnsi="Arial" w:cs="Arial"/>
          <w:bCs/>
          <w:sz w:val="22"/>
          <w:szCs w:val="22"/>
        </w:rPr>
        <w:t>случају</w:t>
      </w:r>
      <w:r w:rsidR="007B6BE3" w:rsidRPr="0087376B">
        <w:rPr>
          <w:rFonts w:ascii="Arial" w:hAnsi="Arial" w:cs="Arial"/>
          <w:bCs/>
          <w:sz w:val="22"/>
          <w:szCs w:val="22"/>
        </w:rPr>
        <w:t xml:space="preserve"> </w:t>
      </w:r>
      <w:r>
        <w:rPr>
          <w:rFonts w:ascii="Arial" w:hAnsi="Arial" w:cs="Arial"/>
          <w:bCs/>
          <w:sz w:val="22"/>
          <w:szCs w:val="22"/>
        </w:rPr>
        <w:t>изједначено</w:t>
      </w:r>
      <w:r w:rsidR="007B6BE3" w:rsidRPr="0087376B">
        <w:rPr>
          <w:rFonts w:ascii="Arial" w:hAnsi="Arial" w:cs="Arial"/>
          <w:bCs/>
          <w:sz w:val="22"/>
          <w:szCs w:val="22"/>
        </w:rPr>
        <w:t xml:space="preserve"> </w:t>
      </w:r>
      <w:r>
        <w:rPr>
          <w:rFonts w:ascii="Arial" w:hAnsi="Arial" w:cs="Arial"/>
          <w:bCs/>
          <w:sz w:val="22"/>
          <w:szCs w:val="22"/>
        </w:rPr>
        <w:t>вријеме</w:t>
      </w:r>
      <w:r w:rsidR="007B6BE3" w:rsidRPr="0087376B">
        <w:rPr>
          <w:rFonts w:ascii="Arial" w:hAnsi="Arial" w:cs="Arial"/>
          <w:bCs/>
          <w:sz w:val="22"/>
          <w:szCs w:val="22"/>
        </w:rPr>
        <w:t xml:space="preserve"> </w:t>
      </w:r>
      <w:r>
        <w:rPr>
          <w:rFonts w:ascii="Arial" w:hAnsi="Arial" w:cs="Arial"/>
          <w:bCs/>
          <w:sz w:val="22"/>
          <w:szCs w:val="22"/>
        </w:rPr>
        <w:t>рефиксирања</w:t>
      </w:r>
      <w:r w:rsidR="007B6BE3" w:rsidRPr="0087376B">
        <w:rPr>
          <w:rFonts w:ascii="Arial" w:hAnsi="Arial" w:cs="Arial"/>
          <w:bCs/>
          <w:sz w:val="22"/>
          <w:szCs w:val="22"/>
        </w:rPr>
        <w:t xml:space="preserve"> </w:t>
      </w:r>
      <w:r>
        <w:rPr>
          <w:rFonts w:ascii="Arial" w:hAnsi="Arial" w:cs="Arial"/>
          <w:bCs/>
          <w:sz w:val="22"/>
          <w:szCs w:val="22"/>
        </w:rPr>
        <w:t>за</w:t>
      </w:r>
      <w:r w:rsidR="007B6BE3" w:rsidRPr="0087376B">
        <w:rPr>
          <w:rFonts w:ascii="Arial" w:hAnsi="Arial" w:cs="Arial"/>
          <w:bCs/>
          <w:sz w:val="22"/>
          <w:szCs w:val="22"/>
        </w:rPr>
        <w:t xml:space="preserve"> </w:t>
      </w:r>
      <w:r>
        <w:rPr>
          <w:rFonts w:ascii="Arial" w:hAnsi="Arial" w:cs="Arial"/>
          <w:bCs/>
          <w:sz w:val="22"/>
          <w:szCs w:val="22"/>
        </w:rPr>
        <w:t>спољни</w:t>
      </w:r>
      <w:r w:rsidR="007B6BE3" w:rsidRPr="0087376B">
        <w:rPr>
          <w:rFonts w:ascii="Arial" w:hAnsi="Arial" w:cs="Arial"/>
          <w:bCs/>
          <w:sz w:val="22"/>
          <w:szCs w:val="22"/>
        </w:rPr>
        <w:t xml:space="preserve"> </w:t>
      </w:r>
      <w:r>
        <w:rPr>
          <w:rFonts w:ascii="Arial" w:hAnsi="Arial" w:cs="Arial"/>
          <w:bCs/>
          <w:sz w:val="22"/>
          <w:szCs w:val="22"/>
        </w:rPr>
        <w:t>и</w:t>
      </w:r>
      <w:r w:rsidR="007B6BE3" w:rsidRPr="0087376B">
        <w:rPr>
          <w:rFonts w:ascii="Arial" w:hAnsi="Arial" w:cs="Arial"/>
          <w:bCs/>
          <w:sz w:val="22"/>
          <w:szCs w:val="22"/>
        </w:rPr>
        <w:t xml:space="preserve"> </w:t>
      </w:r>
      <w:r>
        <w:rPr>
          <w:rFonts w:ascii="Arial" w:hAnsi="Arial" w:cs="Arial"/>
          <w:bCs/>
          <w:sz w:val="22"/>
          <w:szCs w:val="22"/>
        </w:rPr>
        <w:t>унутрашњи</w:t>
      </w:r>
      <w:r w:rsidR="007B6BE3" w:rsidRPr="0087376B">
        <w:rPr>
          <w:rFonts w:ascii="Arial" w:hAnsi="Arial" w:cs="Arial"/>
          <w:bCs/>
          <w:sz w:val="22"/>
          <w:szCs w:val="22"/>
        </w:rPr>
        <w:t xml:space="preserve"> </w:t>
      </w:r>
      <w:r>
        <w:rPr>
          <w:rFonts w:ascii="Arial" w:hAnsi="Arial" w:cs="Arial"/>
          <w:bCs/>
          <w:sz w:val="22"/>
          <w:szCs w:val="22"/>
        </w:rPr>
        <w:t>дуг</w:t>
      </w:r>
      <w:r w:rsidR="007B6BE3" w:rsidRPr="0087376B">
        <w:rPr>
          <w:rFonts w:ascii="Arial" w:hAnsi="Arial" w:cs="Arial"/>
          <w:bCs/>
          <w:sz w:val="22"/>
          <w:szCs w:val="22"/>
        </w:rPr>
        <w:t>.</w:t>
      </w:r>
      <w:r w:rsidR="007B6BE3" w:rsidRPr="0087376B">
        <w:rPr>
          <w:rFonts w:ascii="Arial" w:hAnsi="Arial" w:cs="Arial"/>
          <w:sz w:val="22"/>
          <w:szCs w:val="22"/>
        </w:rPr>
        <w:t xml:space="preserve"> </w:t>
      </w:r>
      <w:r w:rsidR="007B6BE3" w:rsidRPr="0087376B">
        <w:rPr>
          <w:rFonts w:ascii="Arial" w:hAnsi="Arial" w:cs="Arial"/>
          <w:bCs/>
          <w:sz w:val="22"/>
          <w:szCs w:val="22"/>
        </w:rPr>
        <w:t xml:space="preserve"> </w:t>
      </w:r>
    </w:p>
    <w:p w14:paraId="5F1AAD02" w14:textId="77777777" w:rsidR="007B6BE3" w:rsidRPr="0087376B" w:rsidRDefault="007B6BE3" w:rsidP="007B6BE3">
      <w:pPr>
        <w:pStyle w:val="ParagraphNumbering"/>
        <w:numPr>
          <w:ilvl w:val="0"/>
          <w:numId w:val="0"/>
        </w:numPr>
        <w:spacing w:after="0" w:line="276" w:lineRule="auto"/>
        <w:ind w:firstLine="284"/>
        <w:jc w:val="both"/>
        <w:rPr>
          <w:rFonts w:ascii="Arial" w:hAnsi="Arial" w:cs="Arial"/>
          <w:bCs/>
          <w:sz w:val="22"/>
          <w:szCs w:val="22"/>
        </w:rPr>
      </w:pPr>
    </w:p>
    <w:p w14:paraId="1D6C1FDD" w14:textId="40CC0493" w:rsidR="007B6BE3" w:rsidRPr="0092788C" w:rsidRDefault="005B20F8" w:rsidP="0092788C">
      <w:pPr>
        <w:pStyle w:val="Heading2"/>
        <w:numPr>
          <w:ilvl w:val="1"/>
          <w:numId w:val="1"/>
        </w:numPr>
        <w:spacing w:before="0"/>
        <w:ind w:left="993" w:hanging="709"/>
        <w:rPr>
          <w:rFonts w:ascii="Arial" w:hAnsi="Arial" w:cs="Arial"/>
          <w:b w:val="0"/>
          <w:color w:val="auto"/>
          <w:sz w:val="24"/>
          <w:szCs w:val="24"/>
        </w:rPr>
      </w:pPr>
      <w:bookmarkStart w:id="110" w:name="_Toc149810615"/>
      <w:r w:rsidRPr="0092788C">
        <w:rPr>
          <w:rFonts w:ascii="Arial" w:hAnsi="Arial" w:cs="Arial"/>
          <w:b w:val="0"/>
          <w:color w:val="auto"/>
          <w:sz w:val="24"/>
          <w:szCs w:val="24"/>
        </w:rPr>
        <w:t>Валутни</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ризик</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портфолија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дуга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Федерације</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БиХ</w:t>
      </w:r>
      <w:bookmarkEnd w:id="110"/>
    </w:p>
    <w:p w14:paraId="580F179B" w14:textId="77777777" w:rsidR="007B6BE3" w:rsidRPr="0087376B" w:rsidRDefault="007B6BE3" w:rsidP="007B6BE3">
      <w:pPr>
        <w:pStyle w:val="NoSpacing"/>
        <w:jc w:val="both"/>
        <w:rPr>
          <w:rFonts w:ascii="Arial" w:hAnsi="Arial" w:cs="Arial"/>
          <w:lang w:val="hr-HR"/>
        </w:rPr>
      </w:pPr>
    </w:p>
    <w:p w14:paraId="56098999" w14:textId="0E94A700" w:rsidR="007B6BE3" w:rsidRDefault="005B20F8" w:rsidP="007B6BE3">
      <w:pPr>
        <w:pStyle w:val="ParagraphNumbering"/>
        <w:numPr>
          <w:ilvl w:val="0"/>
          <w:numId w:val="0"/>
        </w:numPr>
        <w:spacing w:after="0" w:line="276" w:lineRule="auto"/>
        <w:ind w:firstLine="284"/>
        <w:jc w:val="both"/>
        <w:rPr>
          <w:rFonts w:ascii="Arial" w:hAnsi="Arial" w:cs="Arial"/>
          <w:bCs/>
          <w:sz w:val="22"/>
          <w:szCs w:val="22"/>
        </w:rPr>
      </w:pPr>
      <w:r>
        <w:rPr>
          <w:rFonts w:ascii="Arial" w:hAnsi="Arial" w:cs="Arial"/>
          <w:bCs/>
          <w:sz w:val="22"/>
          <w:szCs w:val="22"/>
        </w:rPr>
        <w:t>Најзаступљеније</w:t>
      </w:r>
      <w:r w:rsidR="007B6BE3" w:rsidRPr="0087376B">
        <w:rPr>
          <w:rFonts w:ascii="Arial" w:hAnsi="Arial" w:cs="Arial"/>
          <w:bCs/>
          <w:sz w:val="22"/>
          <w:szCs w:val="22"/>
        </w:rPr>
        <w:t xml:space="preserve"> </w:t>
      </w:r>
      <w:r>
        <w:rPr>
          <w:rFonts w:ascii="Arial" w:hAnsi="Arial" w:cs="Arial"/>
          <w:bCs/>
          <w:sz w:val="22"/>
          <w:szCs w:val="22"/>
        </w:rPr>
        <w:t>валуте</w:t>
      </w:r>
      <w:r w:rsidR="007B6BE3" w:rsidRPr="0087376B">
        <w:rPr>
          <w:rFonts w:ascii="Arial" w:hAnsi="Arial" w:cs="Arial"/>
          <w:bCs/>
          <w:sz w:val="22"/>
          <w:szCs w:val="22"/>
        </w:rPr>
        <w:t xml:space="preserve"> </w:t>
      </w:r>
      <w:r>
        <w:rPr>
          <w:rFonts w:ascii="Arial" w:hAnsi="Arial" w:cs="Arial"/>
          <w:bCs/>
          <w:sz w:val="22"/>
          <w:szCs w:val="22"/>
        </w:rPr>
        <w:t>у</w:t>
      </w:r>
      <w:r w:rsidR="007B6BE3" w:rsidRPr="0087376B">
        <w:rPr>
          <w:rFonts w:ascii="Arial" w:hAnsi="Arial" w:cs="Arial"/>
          <w:bCs/>
          <w:sz w:val="22"/>
          <w:szCs w:val="22"/>
        </w:rPr>
        <w:t xml:space="preserve"> </w:t>
      </w:r>
      <w:r>
        <w:rPr>
          <w:rFonts w:ascii="Arial" w:hAnsi="Arial" w:cs="Arial"/>
          <w:bCs/>
          <w:sz w:val="22"/>
          <w:szCs w:val="22"/>
        </w:rPr>
        <w:t>портфолију</w:t>
      </w:r>
      <w:r w:rsidR="007B6BE3" w:rsidRPr="0087376B">
        <w:rPr>
          <w:rFonts w:ascii="Arial" w:hAnsi="Arial" w:cs="Arial"/>
          <w:bCs/>
          <w:sz w:val="22"/>
          <w:szCs w:val="22"/>
        </w:rPr>
        <w:t xml:space="preserve"> </w:t>
      </w:r>
      <w:r>
        <w:rPr>
          <w:rFonts w:ascii="Arial" w:hAnsi="Arial" w:cs="Arial"/>
          <w:bCs/>
          <w:sz w:val="22"/>
          <w:szCs w:val="22"/>
        </w:rPr>
        <w:t>дуга</w:t>
      </w:r>
      <w:r w:rsidR="007B6BE3" w:rsidRPr="0087376B">
        <w:rPr>
          <w:rFonts w:ascii="Arial" w:hAnsi="Arial" w:cs="Arial"/>
          <w:bCs/>
          <w:sz w:val="22"/>
          <w:szCs w:val="22"/>
        </w:rPr>
        <w:t xml:space="preserve"> </w:t>
      </w:r>
      <w:r>
        <w:rPr>
          <w:rFonts w:ascii="Arial" w:hAnsi="Arial" w:cs="Arial"/>
          <w:bCs/>
          <w:sz w:val="22"/>
          <w:szCs w:val="22"/>
        </w:rPr>
        <w:t>Федерације</w:t>
      </w:r>
      <w:r w:rsidR="007B6BE3" w:rsidRPr="0087376B">
        <w:rPr>
          <w:rFonts w:ascii="Arial" w:hAnsi="Arial" w:cs="Arial"/>
          <w:bCs/>
          <w:sz w:val="22"/>
          <w:szCs w:val="22"/>
        </w:rPr>
        <w:t xml:space="preserve"> </w:t>
      </w:r>
      <w:r>
        <w:rPr>
          <w:rFonts w:ascii="Arial" w:hAnsi="Arial" w:cs="Arial"/>
          <w:bCs/>
          <w:sz w:val="22"/>
          <w:szCs w:val="22"/>
        </w:rPr>
        <w:t>БиХ</w:t>
      </w:r>
      <w:r w:rsidR="007B6BE3" w:rsidRPr="0087376B">
        <w:rPr>
          <w:rFonts w:ascii="Arial" w:hAnsi="Arial" w:cs="Arial"/>
          <w:bCs/>
          <w:sz w:val="22"/>
          <w:szCs w:val="22"/>
        </w:rPr>
        <w:t xml:space="preserve"> </w:t>
      </w:r>
      <w:r>
        <w:rPr>
          <w:rFonts w:ascii="Arial" w:hAnsi="Arial" w:cs="Arial"/>
          <w:bCs/>
          <w:sz w:val="22"/>
          <w:szCs w:val="22"/>
        </w:rPr>
        <w:t>су</w:t>
      </w:r>
      <w:r w:rsidR="007B6BE3" w:rsidRPr="0087376B">
        <w:rPr>
          <w:rFonts w:ascii="Arial" w:hAnsi="Arial" w:cs="Arial"/>
          <w:bCs/>
          <w:sz w:val="22"/>
          <w:szCs w:val="22"/>
        </w:rPr>
        <w:t xml:space="preserve"> </w:t>
      </w:r>
      <w:r w:rsidR="00625E9C" w:rsidRPr="00625E9C">
        <w:rPr>
          <w:rFonts w:ascii="Arial" w:hAnsi="Arial" w:cs="Arial"/>
          <w:bCs/>
          <w:sz w:val="22"/>
          <w:szCs w:val="22"/>
        </w:rPr>
        <w:t>EUR</w:t>
      </w:r>
      <w:r w:rsidR="007B6BE3" w:rsidRPr="00625E9C">
        <w:rPr>
          <w:rFonts w:ascii="Arial" w:hAnsi="Arial" w:cs="Arial"/>
          <w:bCs/>
          <w:sz w:val="22"/>
          <w:szCs w:val="22"/>
        </w:rPr>
        <w:t xml:space="preserve"> (55,37%), </w:t>
      </w:r>
      <w:r w:rsidR="00625E9C" w:rsidRPr="00625E9C">
        <w:rPr>
          <w:rFonts w:ascii="Arial" w:hAnsi="Arial" w:cs="Arial"/>
          <w:bCs/>
          <w:sz w:val="22"/>
          <w:szCs w:val="22"/>
        </w:rPr>
        <w:t>SDR</w:t>
      </w:r>
      <w:r w:rsidR="007B6BE3" w:rsidRPr="00625E9C">
        <w:rPr>
          <w:rFonts w:ascii="Arial" w:hAnsi="Arial" w:cs="Arial"/>
          <w:bCs/>
          <w:sz w:val="22"/>
          <w:szCs w:val="22"/>
        </w:rPr>
        <w:t xml:space="preserve"> (22,40%), </w:t>
      </w:r>
      <w:r w:rsidR="00625E9C" w:rsidRPr="00625E9C">
        <w:rPr>
          <w:rFonts w:ascii="Arial" w:hAnsi="Arial" w:cs="Arial"/>
          <w:bCs/>
          <w:sz w:val="22"/>
          <w:szCs w:val="22"/>
        </w:rPr>
        <w:t>USD</w:t>
      </w:r>
      <w:r w:rsidR="007B6BE3" w:rsidRPr="00625E9C">
        <w:rPr>
          <w:rFonts w:ascii="Arial" w:hAnsi="Arial" w:cs="Arial"/>
          <w:bCs/>
          <w:sz w:val="22"/>
          <w:szCs w:val="22"/>
        </w:rPr>
        <w:t xml:space="preserve"> (10,67%) </w:t>
      </w:r>
      <w:r w:rsidRPr="00625E9C">
        <w:rPr>
          <w:rFonts w:ascii="Arial" w:hAnsi="Arial" w:cs="Arial"/>
          <w:bCs/>
          <w:sz w:val="22"/>
          <w:szCs w:val="22"/>
        </w:rPr>
        <w:t>и</w:t>
      </w:r>
      <w:r w:rsidR="007B6BE3" w:rsidRPr="00625E9C">
        <w:rPr>
          <w:rFonts w:ascii="Arial" w:hAnsi="Arial" w:cs="Arial"/>
          <w:bCs/>
          <w:sz w:val="22"/>
          <w:szCs w:val="22"/>
        </w:rPr>
        <w:t xml:space="preserve"> </w:t>
      </w:r>
      <w:r w:rsidRPr="00625E9C">
        <w:rPr>
          <w:rFonts w:ascii="Arial" w:hAnsi="Arial" w:cs="Arial"/>
          <w:bCs/>
          <w:sz w:val="22"/>
          <w:szCs w:val="22"/>
        </w:rPr>
        <w:t>КМ</w:t>
      </w:r>
      <w:r w:rsidR="007B6BE3" w:rsidRPr="00625E9C">
        <w:rPr>
          <w:rFonts w:ascii="Arial" w:hAnsi="Arial" w:cs="Arial"/>
          <w:bCs/>
          <w:sz w:val="22"/>
          <w:szCs w:val="22"/>
        </w:rPr>
        <w:t xml:space="preserve"> (11,15%). </w:t>
      </w:r>
      <w:r w:rsidRPr="00625E9C">
        <w:rPr>
          <w:rFonts w:ascii="Arial" w:hAnsi="Arial" w:cs="Arial"/>
          <w:bCs/>
          <w:sz w:val="22"/>
          <w:szCs w:val="22"/>
        </w:rPr>
        <w:t>Декомпозицијом</w:t>
      </w:r>
      <w:r w:rsidR="007B6BE3" w:rsidRPr="00625E9C">
        <w:rPr>
          <w:rFonts w:ascii="Arial" w:hAnsi="Arial" w:cs="Arial"/>
          <w:bCs/>
          <w:sz w:val="22"/>
          <w:szCs w:val="22"/>
        </w:rPr>
        <w:t xml:space="preserve"> </w:t>
      </w:r>
      <w:r w:rsidR="00625E9C" w:rsidRPr="00625E9C">
        <w:rPr>
          <w:rFonts w:ascii="Arial" w:hAnsi="Arial" w:cs="Arial"/>
          <w:bCs/>
          <w:sz w:val="22"/>
          <w:szCs w:val="22"/>
        </w:rPr>
        <w:t>SDR</w:t>
      </w:r>
      <w:r w:rsidR="007B6BE3" w:rsidRPr="00625E9C">
        <w:rPr>
          <w:rFonts w:ascii="Arial" w:hAnsi="Arial" w:cs="Arial"/>
          <w:bCs/>
          <w:sz w:val="22"/>
          <w:szCs w:val="22"/>
        </w:rPr>
        <w:t>-</w:t>
      </w:r>
      <w:r w:rsidRPr="00625E9C">
        <w:rPr>
          <w:rFonts w:ascii="Arial" w:hAnsi="Arial" w:cs="Arial"/>
          <w:bCs/>
          <w:sz w:val="22"/>
          <w:szCs w:val="22"/>
        </w:rPr>
        <w:t>а</w:t>
      </w:r>
      <w:r w:rsidR="007B6BE3" w:rsidRPr="00625E9C">
        <w:rPr>
          <w:rFonts w:ascii="Arial" w:hAnsi="Arial" w:cs="Arial"/>
          <w:bCs/>
          <w:sz w:val="22"/>
          <w:szCs w:val="22"/>
        </w:rPr>
        <w:t xml:space="preserve">, </w:t>
      </w:r>
      <w:r w:rsidRPr="00625E9C">
        <w:rPr>
          <w:rFonts w:ascii="Arial" w:hAnsi="Arial" w:cs="Arial"/>
          <w:bCs/>
          <w:sz w:val="22"/>
          <w:szCs w:val="22"/>
        </w:rPr>
        <w:t>учешће</w:t>
      </w:r>
      <w:r w:rsidR="007B6BE3" w:rsidRPr="00625E9C">
        <w:rPr>
          <w:rFonts w:ascii="Arial" w:hAnsi="Arial" w:cs="Arial"/>
          <w:bCs/>
          <w:sz w:val="22"/>
          <w:szCs w:val="22"/>
        </w:rPr>
        <w:t xml:space="preserve"> </w:t>
      </w:r>
      <w:r w:rsidR="00625E9C" w:rsidRPr="00625E9C">
        <w:rPr>
          <w:rFonts w:ascii="Arial" w:hAnsi="Arial" w:cs="Arial"/>
          <w:bCs/>
          <w:sz w:val="22"/>
          <w:szCs w:val="22"/>
        </w:rPr>
        <w:t>EUR</w:t>
      </w:r>
      <w:r w:rsidR="007B6BE3" w:rsidRPr="00625E9C">
        <w:rPr>
          <w:rFonts w:ascii="Arial" w:hAnsi="Arial" w:cs="Arial"/>
          <w:bCs/>
          <w:sz w:val="22"/>
          <w:szCs w:val="22"/>
        </w:rPr>
        <w:t xml:space="preserve"> </w:t>
      </w:r>
      <w:r w:rsidRPr="00625E9C">
        <w:rPr>
          <w:rFonts w:ascii="Arial" w:hAnsi="Arial" w:cs="Arial"/>
          <w:bCs/>
          <w:sz w:val="22"/>
          <w:szCs w:val="22"/>
        </w:rPr>
        <w:t>валуте</w:t>
      </w:r>
      <w:r w:rsidR="007B6BE3" w:rsidRPr="00625E9C">
        <w:rPr>
          <w:rFonts w:ascii="Arial" w:hAnsi="Arial" w:cs="Arial"/>
          <w:bCs/>
          <w:sz w:val="22"/>
          <w:szCs w:val="22"/>
        </w:rPr>
        <w:t xml:space="preserve"> </w:t>
      </w:r>
      <w:r w:rsidRPr="00625E9C">
        <w:rPr>
          <w:rFonts w:ascii="Arial" w:hAnsi="Arial" w:cs="Arial"/>
          <w:bCs/>
          <w:sz w:val="22"/>
          <w:szCs w:val="22"/>
        </w:rPr>
        <w:t>расте</w:t>
      </w:r>
      <w:r w:rsidR="007B6BE3" w:rsidRPr="00625E9C">
        <w:rPr>
          <w:rFonts w:ascii="Arial" w:hAnsi="Arial" w:cs="Arial"/>
          <w:bCs/>
          <w:sz w:val="22"/>
          <w:szCs w:val="22"/>
        </w:rPr>
        <w:t xml:space="preserve"> </w:t>
      </w:r>
      <w:r w:rsidRPr="00625E9C">
        <w:rPr>
          <w:rFonts w:ascii="Arial" w:hAnsi="Arial" w:cs="Arial"/>
          <w:bCs/>
          <w:sz w:val="22"/>
          <w:szCs w:val="22"/>
        </w:rPr>
        <w:t>на</w:t>
      </w:r>
      <w:r w:rsidR="007B6BE3" w:rsidRPr="00625E9C">
        <w:rPr>
          <w:rFonts w:ascii="Arial" w:hAnsi="Arial" w:cs="Arial"/>
          <w:bCs/>
          <w:sz w:val="22"/>
          <w:szCs w:val="22"/>
        </w:rPr>
        <w:t xml:space="preserve"> 61,93% </w:t>
      </w:r>
      <w:r w:rsidRPr="00625E9C">
        <w:rPr>
          <w:rFonts w:ascii="Arial" w:hAnsi="Arial" w:cs="Arial"/>
          <w:bCs/>
          <w:sz w:val="22"/>
          <w:szCs w:val="22"/>
        </w:rPr>
        <w:t>укупног</w:t>
      </w:r>
      <w:r w:rsidR="007B6BE3" w:rsidRPr="00625E9C">
        <w:rPr>
          <w:rFonts w:ascii="Arial" w:hAnsi="Arial" w:cs="Arial"/>
          <w:bCs/>
          <w:sz w:val="22"/>
          <w:szCs w:val="22"/>
        </w:rPr>
        <w:t xml:space="preserve"> </w:t>
      </w:r>
      <w:r w:rsidRPr="00625E9C">
        <w:rPr>
          <w:rFonts w:ascii="Arial" w:hAnsi="Arial" w:cs="Arial"/>
          <w:bCs/>
          <w:sz w:val="22"/>
          <w:szCs w:val="22"/>
        </w:rPr>
        <w:t>дуга</w:t>
      </w:r>
      <w:r w:rsidR="007B6BE3" w:rsidRPr="00625E9C">
        <w:rPr>
          <w:rFonts w:ascii="Arial" w:hAnsi="Arial" w:cs="Arial"/>
          <w:bCs/>
          <w:sz w:val="22"/>
          <w:szCs w:val="22"/>
        </w:rPr>
        <w:t xml:space="preserve">, </w:t>
      </w:r>
      <w:r w:rsidRPr="00625E9C">
        <w:rPr>
          <w:rFonts w:ascii="Arial" w:hAnsi="Arial" w:cs="Arial"/>
          <w:bCs/>
          <w:sz w:val="22"/>
          <w:szCs w:val="22"/>
        </w:rPr>
        <w:t>а</w:t>
      </w:r>
      <w:r w:rsidR="007B6BE3" w:rsidRPr="00625E9C">
        <w:rPr>
          <w:rFonts w:ascii="Arial" w:hAnsi="Arial" w:cs="Arial"/>
          <w:bCs/>
          <w:sz w:val="22"/>
          <w:szCs w:val="22"/>
        </w:rPr>
        <w:t xml:space="preserve"> </w:t>
      </w:r>
      <w:r w:rsidRPr="00625E9C">
        <w:rPr>
          <w:rFonts w:ascii="Arial" w:hAnsi="Arial" w:cs="Arial"/>
          <w:bCs/>
          <w:sz w:val="22"/>
          <w:szCs w:val="22"/>
        </w:rPr>
        <w:t>учешће</w:t>
      </w:r>
      <w:r w:rsidR="007B6BE3" w:rsidRPr="00625E9C">
        <w:rPr>
          <w:rFonts w:ascii="Arial" w:hAnsi="Arial" w:cs="Arial"/>
          <w:bCs/>
          <w:sz w:val="22"/>
          <w:szCs w:val="22"/>
        </w:rPr>
        <w:t xml:space="preserve"> </w:t>
      </w:r>
      <w:r w:rsidR="00625E9C" w:rsidRPr="00625E9C">
        <w:rPr>
          <w:rFonts w:ascii="Arial" w:hAnsi="Arial" w:cs="Arial"/>
          <w:bCs/>
          <w:sz w:val="22"/>
          <w:szCs w:val="22"/>
        </w:rPr>
        <w:t>USD</w:t>
      </w:r>
      <w:r w:rsidR="007B6BE3" w:rsidRPr="00625E9C">
        <w:rPr>
          <w:rFonts w:ascii="Arial" w:hAnsi="Arial" w:cs="Arial"/>
          <w:bCs/>
          <w:sz w:val="22"/>
          <w:szCs w:val="22"/>
        </w:rPr>
        <w:t xml:space="preserve"> </w:t>
      </w:r>
      <w:r w:rsidRPr="00625E9C">
        <w:rPr>
          <w:rFonts w:ascii="Arial" w:hAnsi="Arial" w:cs="Arial"/>
          <w:bCs/>
          <w:sz w:val="22"/>
          <w:szCs w:val="22"/>
        </w:rPr>
        <w:t>на</w:t>
      </w:r>
      <w:r w:rsidR="007B6BE3" w:rsidRPr="00625E9C">
        <w:rPr>
          <w:rFonts w:ascii="Arial" w:hAnsi="Arial" w:cs="Arial"/>
          <w:bCs/>
          <w:sz w:val="22"/>
          <w:szCs w:val="22"/>
        </w:rPr>
        <w:t xml:space="preserve"> 20,39% (</w:t>
      </w:r>
      <w:r w:rsidRPr="00625E9C">
        <w:rPr>
          <w:rFonts w:ascii="Arial" w:hAnsi="Arial" w:cs="Arial"/>
          <w:bCs/>
          <w:sz w:val="22"/>
          <w:szCs w:val="22"/>
        </w:rPr>
        <w:t>Слика</w:t>
      </w:r>
      <w:r w:rsidR="007B6BE3" w:rsidRPr="00625E9C">
        <w:rPr>
          <w:rFonts w:ascii="Arial" w:hAnsi="Arial" w:cs="Arial"/>
          <w:bCs/>
          <w:sz w:val="22"/>
          <w:szCs w:val="22"/>
        </w:rPr>
        <w:t xml:space="preserve"> 7.). </w:t>
      </w:r>
    </w:p>
    <w:p w14:paraId="77D77626" w14:textId="77777777" w:rsidR="00FA0BC6" w:rsidRPr="00625E9C" w:rsidRDefault="00FA0BC6" w:rsidP="007B6BE3">
      <w:pPr>
        <w:pStyle w:val="ParagraphNumbering"/>
        <w:numPr>
          <w:ilvl w:val="0"/>
          <w:numId w:val="0"/>
        </w:numPr>
        <w:spacing w:after="0" w:line="276" w:lineRule="auto"/>
        <w:ind w:firstLine="284"/>
        <w:jc w:val="both"/>
        <w:rPr>
          <w:rFonts w:ascii="Arial" w:hAnsi="Arial" w:cs="Arial"/>
          <w:bCs/>
          <w:sz w:val="22"/>
          <w:szCs w:val="22"/>
        </w:rPr>
      </w:pPr>
    </w:p>
    <w:p w14:paraId="46F088D3" w14:textId="77777777" w:rsidR="007B6BE3" w:rsidRPr="00625E9C" w:rsidRDefault="007B6BE3" w:rsidP="007B6BE3">
      <w:pPr>
        <w:pStyle w:val="ParagraphNumbering"/>
        <w:numPr>
          <w:ilvl w:val="0"/>
          <w:numId w:val="0"/>
        </w:numPr>
        <w:spacing w:after="0" w:line="276" w:lineRule="auto"/>
        <w:ind w:firstLine="284"/>
        <w:jc w:val="both"/>
        <w:rPr>
          <w:rFonts w:ascii="Arial" w:hAnsi="Arial" w:cs="Arial"/>
          <w:bCs/>
          <w:sz w:val="22"/>
          <w:szCs w:val="22"/>
        </w:rPr>
      </w:pPr>
    </w:p>
    <w:p w14:paraId="53BEAEEB" w14:textId="7A997B44" w:rsidR="007B6BE3" w:rsidRPr="0087376B" w:rsidRDefault="005B20F8" w:rsidP="0092788C">
      <w:pPr>
        <w:pStyle w:val="NoSpacing"/>
        <w:spacing w:line="276" w:lineRule="auto"/>
        <w:jc w:val="both"/>
        <w:rPr>
          <w:rFonts w:ascii="Arial" w:hAnsi="Arial" w:cs="Arial"/>
          <w:szCs w:val="24"/>
          <w:lang w:val="hr-HR"/>
        </w:rPr>
      </w:pPr>
      <w:r w:rsidRPr="005325A0">
        <w:rPr>
          <w:rFonts w:ascii="Arial" w:hAnsi="Arial" w:cs="Arial"/>
          <w:lang w:val="hr-HR"/>
        </w:rPr>
        <w:lastRenderedPageBreak/>
        <w:t>Слика</w:t>
      </w:r>
      <w:r w:rsidR="007B6BE3" w:rsidRPr="005325A0">
        <w:rPr>
          <w:rFonts w:ascii="Arial" w:hAnsi="Arial" w:cs="Arial"/>
          <w:lang w:val="hr-HR"/>
        </w:rPr>
        <w:t xml:space="preserve"> 7. </w:t>
      </w:r>
      <w:r w:rsidRPr="005325A0">
        <w:rPr>
          <w:rFonts w:ascii="Arial" w:hAnsi="Arial" w:cs="Arial"/>
          <w:lang w:val="hr-HR"/>
        </w:rPr>
        <w:t>Валутна</w:t>
      </w:r>
      <w:r w:rsidR="007B6BE3" w:rsidRPr="005325A0">
        <w:rPr>
          <w:rFonts w:ascii="Arial" w:hAnsi="Arial" w:cs="Arial"/>
          <w:lang w:val="hr-HR"/>
        </w:rPr>
        <w:t xml:space="preserve"> </w:t>
      </w:r>
      <w:r w:rsidRPr="005325A0">
        <w:rPr>
          <w:rFonts w:ascii="Arial" w:hAnsi="Arial" w:cs="Arial"/>
          <w:lang w:val="hr-HR"/>
        </w:rPr>
        <w:t>структура</w:t>
      </w:r>
      <w:r w:rsidR="007B6BE3" w:rsidRPr="005325A0">
        <w:rPr>
          <w:rFonts w:ascii="Arial" w:hAnsi="Arial" w:cs="Arial"/>
          <w:lang w:val="hr-HR"/>
        </w:rPr>
        <w:t xml:space="preserve"> </w:t>
      </w:r>
      <w:r w:rsidRPr="005325A0">
        <w:rPr>
          <w:rFonts w:ascii="Arial" w:hAnsi="Arial" w:cs="Arial"/>
          <w:lang w:val="hr-HR"/>
        </w:rPr>
        <w:t>укупног</w:t>
      </w:r>
      <w:r w:rsidR="007B6BE3" w:rsidRPr="005325A0">
        <w:rPr>
          <w:rFonts w:ascii="Arial" w:hAnsi="Arial" w:cs="Arial"/>
          <w:lang w:val="hr-HR"/>
        </w:rPr>
        <w:t xml:space="preserve"> </w:t>
      </w:r>
      <w:r w:rsidRPr="005325A0">
        <w:rPr>
          <w:rFonts w:ascii="Arial" w:hAnsi="Arial" w:cs="Arial"/>
          <w:lang w:val="hr-HR"/>
        </w:rPr>
        <w:t>дуга</w:t>
      </w:r>
      <w:r w:rsidR="007B6BE3" w:rsidRPr="005325A0">
        <w:rPr>
          <w:rFonts w:ascii="Arial" w:hAnsi="Arial" w:cs="Arial"/>
          <w:lang w:val="hr-HR"/>
        </w:rPr>
        <w:t xml:space="preserve"> </w:t>
      </w:r>
      <w:r w:rsidRPr="005325A0">
        <w:rPr>
          <w:rFonts w:ascii="Arial" w:hAnsi="Arial" w:cs="Arial"/>
          <w:lang w:val="hr-HR"/>
        </w:rPr>
        <w:t>Федерације</w:t>
      </w:r>
      <w:r w:rsidR="007B6BE3" w:rsidRPr="005325A0">
        <w:rPr>
          <w:rFonts w:ascii="Arial" w:hAnsi="Arial" w:cs="Arial"/>
          <w:lang w:val="hr-HR"/>
        </w:rPr>
        <w:t xml:space="preserve"> </w:t>
      </w:r>
      <w:r w:rsidRPr="005325A0">
        <w:rPr>
          <w:rFonts w:ascii="Arial" w:hAnsi="Arial" w:cs="Arial"/>
          <w:lang w:val="hr-HR"/>
        </w:rPr>
        <w:t>БиХ</w:t>
      </w:r>
      <w:r w:rsidR="007B6BE3" w:rsidRPr="005325A0">
        <w:rPr>
          <w:rFonts w:ascii="Arial" w:hAnsi="Arial" w:cs="Arial"/>
          <w:lang w:val="hr-HR"/>
        </w:rPr>
        <w:t xml:space="preserve"> </w:t>
      </w:r>
      <w:r w:rsidRPr="005325A0">
        <w:rPr>
          <w:rFonts w:ascii="Arial" w:hAnsi="Arial" w:cs="Arial"/>
          <w:lang w:val="hr-HR"/>
        </w:rPr>
        <w:t>према</w:t>
      </w:r>
      <w:r w:rsidR="007B6BE3" w:rsidRPr="005325A0">
        <w:rPr>
          <w:rFonts w:ascii="Arial" w:hAnsi="Arial" w:cs="Arial"/>
          <w:lang w:val="hr-HR"/>
        </w:rPr>
        <w:t xml:space="preserve"> </w:t>
      </w:r>
      <w:r w:rsidRPr="005325A0">
        <w:rPr>
          <w:rFonts w:ascii="Arial" w:hAnsi="Arial" w:cs="Arial"/>
          <w:lang w:val="hr-HR"/>
        </w:rPr>
        <w:t>стању</w:t>
      </w:r>
      <w:r w:rsidR="007B6BE3" w:rsidRPr="005325A0">
        <w:rPr>
          <w:rFonts w:ascii="Arial" w:hAnsi="Arial" w:cs="Arial"/>
          <w:lang w:val="hr-HR"/>
        </w:rPr>
        <w:t xml:space="preserve"> </w:t>
      </w:r>
      <w:r w:rsidRPr="005325A0">
        <w:rPr>
          <w:rFonts w:ascii="Arial" w:hAnsi="Arial" w:cs="Arial"/>
          <w:lang w:val="hr-HR"/>
        </w:rPr>
        <w:t>на</w:t>
      </w:r>
      <w:r w:rsidR="007B6BE3" w:rsidRPr="005325A0">
        <w:rPr>
          <w:rFonts w:ascii="Arial" w:hAnsi="Arial" w:cs="Arial"/>
          <w:lang w:val="hr-HR"/>
        </w:rPr>
        <w:t xml:space="preserve"> </w:t>
      </w:r>
      <w:r w:rsidRPr="005325A0">
        <w:rPr>
          <w:rFonts w:ascii="Arial" w:hAnsi="Arial" w:cs="Arial"/>
          <w:lang w:val="hr-HR"/>
        </w:rPr>
        <w:t>дан</w:t>
      </w:r>
      <w:r w:rsidR="007B6BE3" w:rsidRPr="005325A0">
        <w:rPr>
          <w:rFonts w:ascii="Arial" w:hAnsi="Arial" w:cs="Arial"/>
          <w:lang w:val="hr-HR"/>
        </w:rPr>
        <w:t xml:space="preserve"> 31.12.2022. </w:t>
      </w:r>
      <w:r w:rsidRPr="005325A0">
        <w:rPr>
          <w:rFonts w:ascii="Arial" w:hAnsi="Arial" w:cs="Arial"/>
          <w:lang w:val="hr-HR"/>
        </w:rPr>
        <w:t>године</w:t>
      </w:r>
      <w:r w:rsidR="007B6BE3" w:rsidRPr="005325A0">
        <w:rPr>
          <w:rFonts w:ascii="Arial" w:hAnsi="Arial" w:cs="Arial"/>
          <w:lang w:val="hr-HR"/>
        </w:rPr>
        <w:t xml:space="preserve">, </w:t>
      </w:r>
      <w:r w:rsidRPr="005325A0">
        <w:rPr>
          <w:rFonts w:ascii="Arial" w:hAnsi="Arial" w:cs="Arial"/>
          <w:lang w:val="hr-HR"/>
        </w:rPr>
        <w:t>прије</w:t>
      </w:r>
      <w:r w:rsidR="007B6BE3" w:rsidRPr="005325A0">
        <w:rPr>
          <w:rFonts w:ascii="Arial" w:hAnsi="Arial" w:cs="Arial"/>
          <w:lang w:val="hr-HR"/>
        </w:rPr>
        <w:t xml:space="preserve"> </w:t>
      </w:r>
      <w:r w:rsidRPr="005325A0">
        <w:rPr>
          <w:rFonts w:ascii="Arial" w:hAnsi="Arial" w:cs="Arial"/>
          <w:lang w:val="hr-HR"/>
        </w:rPr>
        <w:t>и</w:t>
      </w:r>
      <w:r w:rsidR="007B6BE3" w:rsidRPr="005325A0">
        <w:rPr>
          <w:rFonts w:ascii="Arial" w:hAnsi="Arial" w:cs="Arial"/>
          <w:lang w:val="hr-HR"/>
        </w:rPr>
        <w:t xml:space="preserve"> </w:t>
      </w:r>
      <w:r w:rsidRPr="005325A0">
        <w:rPr>
          <w:rFonts w:ascii="Arial" w:hAnsi="Arial" w:cs="Arial"/>
          <w:lang w:val="hr-HR"/>
        </w:rPr>
        <w:t>послије</w:t>
      </w:r>
      <w:r w:rsidR="007B6BE3" w:rsidRPr="005325A0">
        <w:rPr>
          <w:rFonts w:ascii="Arial" w:hAnsi="Arial" w:cs="Arial"/>
          <w:lang w:val="hr-HR"/>
        </w:rPr>
        <w:t xml:space="preserve"> </w:t>
      </w:r>
      <w:r w:rsidRPr="005325A0">
        <w:rPr>
          <w:rFonts w:ascii="Arial" w:hAnsi="Arial" w:cs="Arial"/>
          <w:lang w:val="hr-HR"/>
        </w:rPr>
        <w:t>декомпозиције</w:t>
      </w:r>
      <w:r w:rsidR="007B6BE3" w:rsidRPr="005325A0">
        <w:rPr>
          <w:rFonts w:ascii="Arial" w:hAnsi="Arial" w:cs="Arial"/>
          <w:lang w:val="hr-HR"/>
        </w:rPr>
        <w:t xml:space="preserve"> </w:t>
      </w:r>
      <w:r w:rsidR="00625E9C" w:rsidRPr="005325A0">
        <w:rPr>
          <w:rFonts w:ascii="Arial" w:hAnsi="Arial" w:cs="Arial"/>
          <w:lang w:val="hr-HR"/>
        </w:rPr>
        <w:t>SDR</w:t>
      </w:r>
      <w:r w:rsidR="007B6BE3" w:rsidRPr="005325A0">
        <w:rPr>
          <w:rFonts w:ascii="Arial" w:hAnsi="Arial" w:cs="Arial"/>
          <w:lang w:val="hr-HR"/>
        </w:rPr>
        <w:t>-</w:t>
      </w:r>
      <w:r w:rsidRPr="005325A0">
        <w:rPr>
          <w:rFonts w:ascii="Arial" w:hAnsi="Arial" w:cs="Arial"/>
          <w:lang w:val="hr-HR"/>
        </w:rPr>
        <w:t>а</w:t>
      </w:r>
      <w:r w:rsidR="007B6BE3" w:rsidRPr="005325A0">
        <w:rPr>
          <w:rFonts w:ascii="Arial" w:hAnsi="Arial" w:cs="Arial"/>
          <w:lang w:val="hr-HR"/>
        </w:rPr>
        <w:t>.</w:t>
      </w:r>
    </w:p>
    <w:p w14:paraId="55494FFA" w14:textId="77777777" w:rsidR="007B6BE3" w:rsidRPr="0087376B" w:rsidRDefault="007B6BE3" w:rsidP="007B6BE3">
      <w:pPr>
        <w:pStyle w:val="NoSpacing"/>
        <w:spacing w:line="276" w:lineRule="auto"/>
        <w:jc w:val="center"/>
        <w:rPr>
          <w:rFonts w:ascii="Arial" w:hAnsi="Arial" w:cs="Arial"/>
          <w:szCs w:val="24"/>
          <w:lang w:val="hr-HR"/>
        </w:rPr>
      </w:pPr>
      <w:r w:rsidRPr="0087376B">
        <w:rPr>
          <w:noProof/>
          <w:lang w:val="hr-HR" w:eastAsia="hr-HR"/>
        </w:rPr>
        <w:drawing>
          <wp:inline distT="0" distB="0" distL="0" distR="0" wp14:anchorId="42006DF0" wp14:editId="25865FD7">
            <wp:extent cx="2944800" cy="1787525"/>
            <wp:effectExtent l="0" t="0" r="8255" b="31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87376B">
        <w:rPr>
          <w:noProof/>
          <w:lang w:val="hr-HR" w:eastAsia="hr-HR"/>
        </w:rPr>
        <w:drawing>
          <wp:inline distT="0" distB="0" distL="0" distR="0" wp14:anchorId="2F1771CE" wp14:editId="3175B63E">
            <wp:extent cx="2872800" cy="1787525"/>
            <wp:effectExtent l="0" t="0" r="3810" b="31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88E0528" w14:textId="77777777" w:rsidR="007B6BE3" w:rsidRPr="0087376B" w:rsidRDefault="007B6BE3" w:rsidP="007B6BE3">
      <w:pPr>
        <w:pStyle w:val="NoSpacing"/>
        <w:spacing w:line="276" w:lineRule="auto"/>
        <w:jc w:val="both"/>
        <w:rPr>
          <w:rFonts w:ascii="Arial" w:hAnsi="Arial" w:cs="Arial"/>
          <w:sz w:val="24"/>
          <w:szCs w:val="24"/>
          <w:lang w:val="hr-HR"/>
        </w:rPr>
      </w:pPr>
    </w:p>
    <w:p w14:paraId="7B68B97A" w14:textId="77777777" w:rsidR="007B6BE3" w:rsidRPr="00625E9C" w:rsidRDefault="005B20F8" w:rsidP="00625E9C">
      <w:pPr>
        <w:pStyle w:val="NoSpacing"/>
        <w:spacing w:line="276" w:lineRule="auto"/>
        <w:jc w:val="both"/>
        <w:rPr>
          <w:rFonts w:ascii="Arial" w:hAnsi="Arial" w:cs="Arial"/>
          <w:sz w:val="24"/>
          <w:szCs w:val="24"/>
          <w:lang w:val="hr-HR"/>
        </w:rPr>
      </w:pPr>
      <w:r>
        <w:rPr>
          <w:rFonts w:ascii="Arial" w:hAnsi="Arial" w:cs="Arial"/>
          <w:bCs/>
          <w:lang w:val="hr-HR"/>
        </w:rPr>
        <w:t>Валутни</w:t>
      </w:r>
      <w:r w:rsidR="007B6BE3" w:rsidRPr="0087376B">
        <w:rPr>
          <w:rFonts w:ascii="Arial" w:hAnsi="Arial" w:cs="Arial"/>
          <w:bCs/>
          <w:lang w:val="hr-HR"/>
        </w:rPr>
        <w:t xml:space="preserve"> </w:t>
      </w:r>
      <w:r>
        <w:rPr>
          <w:rFonts w:ascii="Arial" w:hAnsi="Arial" w:cs="Arial"/>
          <w:bCs/>
          <w:lang w:val="hr-HR"/>
        </w:rPr>
        <w:t>ризик</w:t>
      </w:r>
      <w:r w:rsidR="007B6BE3" w:rsidRPr="0087376B">
        <w:rPr>
          <w:rFonts w:ascii="Arial" w:hAnsi="Arial" w:cs="Arial"/>
          <w:bCs/>
          <w:lang w:val="hr-HR"/>
        </w:rPr>
        <w:t xml:space="preserve"> </w:t>
      </w:r>
      <w:r>
        <w:rPr>
          <w:rFonts w:ascii="Arial" w:hAnsi="Arial" w:cs="Arial"/>
          <w:bCs/>
          <w:lang w:val="hr-HR"/>
        </w:rPr>
        <w:t>портфолија</w:t>
      </w:r>
      <w:r w:rsidR="007B6BE3" w:rsidRPr="0087376B">
        <w:rPr>
          <w:rFonts w:ascii="Arial" w:hAnsi="Arial" w:cs="Arial"/>
          <w:bCs/>
          <w:lang w:val="hr-HR"/>
        </w:rPr>
        <w:t xml:space="preserve"> </w:t>
      </w:r>
      <w:r>
        <w:rPr>
          <w:rFonts w:ascii="Arial" w:hAnsi="Arial" w:cs="Arial"/>
          <w:bCs/>
          <w:lang w:val="hr-HR"/>
        </w:rPr>
        <w:t>спољног</w:t>
      </w:r>
      <w:r w:rsidR="007B6BE3" w:rsidRPr="0087376B">
        <w:rPr>
          <w:rFonts w:ascii="Arial" w:hAnsi="Arial" w:cs="Arial"/>
          <w:bCs/>
          <w:lang w:val="hr-HR"/>
        </w:rPr>
        <w:t xml:space="preserve"> </w:t>
      </w:r>
      <w:r>
        <w:rPr>
          <w:rFonts w:ascii="Arial" w:hAnsi="Arial" w:cs="Arial"/>
          <w:bCs/>
          <w:lang w:val="hr-HR"/>
        </w:rPr>
        <w:t>дуга</w:t>
      </w:r>
      <w:r w:rsidR="007B6BE3" w:rsidRPr="0087376B">
        <w:rPr>
          <w:rFonts w:ascii="Arial" w:hAnsi="Arial" w:cs="Arial"/>
          <w:bCs/>
          <w:lang w:val="hr-HR"/>
        </w:rPr>
        <w:t xml:space="preserve"> </w:t>
      </w:r>
      <w:r>
        <w:rPr>
          <w:rFonts w:ascii="Arial" w:hAnsi="Arial" w:cs="Arial"/>
          <w:bCs/>
          <w:lang w:val="hr-HR"/>
        </w:rPr>
        <w:t>Федерације</w:t>
      </w:r>
      <w:r w:rsidR="007B6BE3" w:rsidRPr="0087376B">
        <w:rPr>
          <w:rFonts w:ascii="Arial" w:hAnsi="Arial" w:cs="Arial"/>
          <w:bCs/>
          <w:lang w:val="hr-HR"/>
        </w:rPr>
        <w:t xml:space="preserve"> </w:t>
      </w:r>
      <w:r>
        <w:rPr>
          <w:rFonts w:ascii="Arial" w:hAnsi="Arial" w:cs="Arial"/>
          <w:bCs/>
          <w:lang w:val="hr-HR"/>
        </w:rPr>
        <w:t>БиХ</w:t>
      </w:r>
      <w:r w:rsidR="007B6BE3" w:rsidRPr="0087376B">
        <w:rPr>
          <w:rFonts w:ascii="Arial" w:hAnsi="Arial" w:cs="Arial"/>
          <w:bCs/>
          <w:lang w:val="hr-HR"/>
        </w:rPr>
        <w:t xml:space="preserve"> </w:t>
      </w:r>
      <w:r>
        <w:rPr>
          <w:rFonts w:ascii="Arial" w:hAnsi="Arial" w:cs="Arial"/>
          <w:bCs/>
          <w:lang w:val="hr-HR"/>
        </w:rPr>
        <w:t>је</w:t>
      </w:r>
      <w:r w:rsidR="007B6BE3" w:rsidRPr="0087376B">
        <w:rPr>
          <w:rFonts w:ascii="Arial" w:hAnsi="Arial" w:cs="Arial"/>
          <w:bCs/>
          <w:lang w:val="hr-HR"/>
        </w:rPr>
        <w:t xml:space="preserve"> </w:t>
      </w:r>
      <w:r>
        <w:rPr>
          <w:rFonts w:ascii="Arial" w:hAnsi="Arial" w:cs="Arial"/>
          <w:bCs/>
          <w:lang w:val="hr-HR"/>
        </w:rPr>
        <w:t>релативно</w:t>
      </w:r>
      <w:r w:rsidR="007B6BE3" w:rsidRPr="0087376B">
        <w:rPr>
          <w:rFonts w:ascii="Arial" w:hAnsi="Arial" w:cs="Arial"/>
          <w:bCs/>
          <w:lang w:val="hr-HR"/>
        </w:rPr>
        <w:t xml:space="preserve"> </w:t>
      </w:r>
      <w:r>
        <w:rPr>
          <w:rFonts w:ascii="Arial" w:hAnsi="Arial" w:cs="Arial"/>
          <w:bCs/>
          <w:lang w:val="hr-HR"/>
        </w:rPr>
        <w:t>велик</w:t>
      </w:r>
      <w:r w:rsidR="007B6BE3" w:rsidRPr="0087376B">
        <w:rPr>
          <w:rFonts w:ascii="Arial" w:hAnsi="Arial" w:cs="Arial"/>
          <w:bCs/>
          <w:lang w:val="hr-HR"/>
        </w:rPr>
        <w:t xml:space="preserve">. </w:t>
      </w:r>
      <w:r>
        <w:rPr>
          <w:rFonts w:ascii="Arial" w:hAnsi="Arial" w:cs="Arial"/>
          <w:bCs/>
          <w:lang w:val="hr-HR"/>
        </w:rPr>
        <w:t>Нешто</w:t>
      </w:r>
      <w:r w:rsidR="007B6BE3" w:rsidRPr="0087376B">
        <w:rPr>
          <w:rFonts w:ascii="Arial" w:hAnsi="Arial" w:cs="Arial"/>
          <w:bCs/>
          <w:lang w:val="hr-HR"/>
        </w:rPr>
        <w:t xml:space="preserve"> </w:t>
      </w:r>
      <w:r>
        <w:rPr>
          <w:rFonts w:ascii="Arial" w:hAnsi="Arial" w:cs="Arial"/>
          <w:bCs/>
          <w:lang w:val="hr-HR"/>
        </w:rPr>
        <w:t>преко</w:t>
      </w:r>
      <w:r w:rsidR="007B6BE3" w:rsidRPr="0087376B">
        <w:rPr>
          <w:rFonts w:ascii="Arial" w:hAnsi="Arial" w:cs="Arial"/>
          <w:bCs/>
          <w:lang w:val="hr-HR"/>
        </w:rPr>
        <w:t xml:space="preserve"> 35% </w:t>
      </w:r>
      <w:r>
        <w:rPr>
          <w:rFonts w:ascii="Arial" w:hAnsi="Arial" w:cs="Arial"/>
          <w:bCs/>
          <w:lang w:val="hr-HR"/>
        </w:rPr>
        <w:t>спољног</w:t>
      </w:r>
      <w:r w:rsidR="007B6BE3" w:rsidRPr="0087376B">
        <w:rPr>
          <w:rFonts w:ascii="Arial" w:hAnsi="Arial" w:cs="Arial"/>
          <w:bCs/>
          <w:lang w:val="hr-HR"/>
        </w:rPr>
        <w:t xml:space="preserve"> </w:t>
      </w:r>
      <w:r>
        <w:rPr>
          <w:rFonts w:ascii="Arial" w:hAnsi="Arial" w:cs="Arial"/>
          <w:bCs/>
          <w:lang w:val="hr-HR"/>
        </w:rPr>
        <w:t>дуга</w:t>
      </w:r>
      <w:r w:rsidR="007B6BE3" w:rsidRPr="0087376B">
        <w:rPr>
          <w:rFonts w:ascii="Arial" w:hAnsi="Arial" w:cs="Arial"/>
          <w:bCs/>
          <w:lang w:val="hr-HR"/>
        </w:rPr>
        <w:t xml:space="preserve"> </w:t>
      </w:r>
      <w:r>
        <w:rPr>
          <w:rFonts w:ascii="Arial" w:hAnsi="Arial" w:cs="Arial"/>
          <w:bCs/>
          <w:lang w:val="hr-HR"/>
        </w:rPr>
        <w:t>је</w:t>
      </w:r>
      <w:r w:rsidR="007B6BE3" w:rsidRPr="0087376B">
        <w:rPr>
          <w:rFonts w:ascii="Arial" w:hAnsi="Arial" w:cs="Arial"/>
          <w:bCs/>
          <w:lang w:val="hr-HR"/>
        </w:rPr>
        <w:t xml:space="preserve"> </w:t>
      </w:r>
      <w:r>
        <w:rPr>
          <w:rFonts w:ascii="Arial" w:hAnsi="Arial" w:cs="Arial"/>
          <w:bCs/>
          <w:lang w:val="hr-HR"/>
        </w:rPr>
        <w:t>осјетљиво</w:t>
      </w:r>
      <w:r w:rsidR="007B6BE3" w:rsidRPr="0087376B">
        <w:rPr>
          <w:rFonts w:ascii="Arial" w:hAnsi="Arial" w:cs="Arial"/>
          <w:bCs/>
          <w:lang w:val="hr-HR"/>
        </w:rPr>
        <w:t xml:space="preserve"> </w:t>
      </w:r>
      <w:r>
        <w:rPr>
          <w:rFonts w:ascii="Arial" w:hAnsi="Arial" w:cs="Arial"/>
          <w:bCs/>
          <w:lang w:val="hr-HR"/>
        </w:rPr>
        <w:t>на</w:t>
      </w:r>
      <w:r w:rsidR="007B6BE3" w:rsidRPr="0087376B">
        <w:rPr>
          <w:rFonts w:ascii="Arial" w:hAnsi="Arial" w:cs="Arial"/>
          <w:bCs/>
          <w:lang w:val="hr-HR"/>
        </w:rPr>
        <w:t xml:space="preserve"> </w:t>
      </w:r>
      <w:r>
        <w:rPr>
          <w:rFonts w:ascii="Arial" w:hAnsi="Arial" w:cs="Arial"/>
          <w:bCs/>
          <w:lang w:val="hr-HR"/>
        </w:rPr>
        <w:t>промјене</w:t>
      </w:r>
      <w:r w:rsidR="007B6BE3" w:rsidRPr="0087376B">
        <w:rPr>
          <w:rFonts w:ascii="Arial" w:hAnsi="Arial" w:cs="Arial"/>
          <w:bCs/>
          <w:lang w:val="hr-HR"/>
        </w:rPr>
        <w:t xml:space="preserve"> </w:t>
      </w:r>
      <w:r>
        <w:rPr>
          <w:rFonts w:ascii="Arial" w:hAnsi="Arial" w:cs="Arial"/>
          <w:bCs/>
          <w:lang w:val="hr-HR"/>
        </w:rPr>
        <w:t>девизних</w:t>
      </w:r>
      <w:r w:rsidR="007B6BE3" w:rsidRPr="0087376B">
        <w:rPr>
          <w:rFonts w:ascii="Arial" w:hAnsi="Arial" w:cs="Arial"/>
          <w:bCs/>
          <w:lang w:val="hr-HR"/>
        </w:rPr>
        <w:t xml:space="preserve"> </w:t>
      </w:r>
      <w:r>
        <w:rPr>
          <w:rFonts w:ascii="Arial" w:hAnsi="Arial" w:cs="Arial"/>
          <w:bCs/>
          <w:lang w:val="hr-HR"/>
        </w:rPr>
        <w:t>курсева</w:t>
      </w:r>
      <w:r w:rsidR="007B6BE3" w:rsidRPr="0087376B">
        <w:rPr>
          <w:rFonts w:ascii="Arial" w:hAnsi="Arial" w:cs="Arial"/>
          <w:bCs/>
          <w:lang w:val="hr-HR"/>
        </w:rPr>
        <w:t xml:space="preserve"> </w:t>
      </w:r>
      <w:r>
        <w:rPr>
          <w:rFonts w:ascii="Arial" w:hAnsi="Arial" w:cs="Arial"/>
          <w:bCs/>
          <w:lang w:val="hr-HR"/>
        </w:rPr>
        <w:t>узимајући</w:t>
      </w:r>
      <w:r w:rsidR="007B6BE3" w:rsidRPr="0087376B">
        <w:rPr>
          <w:rFonts w:ascii="Arial" w:hAnsi="Arial" w:cs="Arial"/>
          <w:bCs/>
          <w:lang w:val="hr-HR"/>
        </w:rPr>
        <w:t xml:space="preserve"> </w:t>
      </w:r>
      <w:r>
        <w:rPr>
          <w:rFonts w:ascii="Arial" w:hAnsi="Arial" w:cs="Arial"/>
          <w:bCs/>
          <w:lang w:val="hr-HR"/>
        </w:rPr>
        <w:t>у</w:t>
      </w:r>
      <w:r w:rsidR="007B6BE3" w:rsidRPr="0087376B">
        <w:rPr>
          <w:rFonts w:ascii="Arial" w:hAnsi="Arial" w:cs="Arial"/>
          <w:bCs/>
          <w:lang w:val="hr-HR"/>
        </w:rPr>
        <w:t xml:space="preserve"> </w:t>
      </w:r>
      <w:r>
        <w:rPr>
          <w:rFonts w:ascii="Arial" w:hAnsi="Arial" w:cs="Arial"/>
          <w:bCs/>
          <w:lang w:val="hr-HR"/>
        </w:rPr>
        <w:t>обзир</w:t>
      </w:r>
      <w:r w:rsidR="007B6BE3" w:rsidRPr="0087376B">
        <w:rPr>
          <w:rFonts w:ascii="Arial" w:hAnsi="Arial" w:cs="Arial"/>
          <w:bCs/>
          <w:lang w:val="hr-HR"/>
        </w:rPr>
        <w:t xml:space="preserve"> </w:t>
      </w:r>
      <w:r>
        <w:rPr>
          <w:rFonts w:ascii="Arial" w:hAnsi="Arial" w:cs="Arial"/>
          <w:bCs/>
          <w:lang w:val="hr-HR"/>
        </w:rPr>
        <w:t>његову</w:t>
      </w:r>
      <w:r w:rsidR="007B6BE3" w:rsidRPr="0087376B">
        <w:rPr>
          <w:rFonts w:ascii="Arial" w:hAnsi="Arial" w:cs="Arial"/>
          <w:bCs/>
          <w:lang w:val="hr-HR"/>
        </w:rPr>
        <w:t xml:space="preserve"> </w:t>
      </w:r>
      <w:r w:rsidRPr="00625E9C">
        <w:rPr>
          <w:rFonts w:ascii="Arial" w:hAnsi="Arial" w:cs="Arial"/>
          <w:bCs/>
          <w:lang w:val="hr-HR"/>
        </w:rPr>
        <w:t>валутну</w:t>
      </w:r>
      <w:r w:rsidR="007B6BE3" w:rsidRPr="00625E9C">
        <w:rPr>
          <w:rFonts w:ascii="Arial" w:hAnsi="Arial" w:cs="Arial"/>
          <w:bCs/>
          <w:lang w:val="hr-HR"/>
        </w:rPr>
        <w:t xml:space="preserve"> </w:t>
      </w:r>
      <w:r w:rsidRPr="00625E9C">
        <w:rPr>
          <w:rFonts w:ascii="Arial" w:hAnsi="Arial" w:cs="Arial"/>
          <w:bCs/>
          <w:lang w:val="hr-HR"/>
        </w:rPr>
        <w:t>структуру</w:t>
      </w:r>
      <w:r w:rsidR="007B6BE3" w:rsidRPr="00625E9C">
        <w:rPr>
          <w:rFonts w:ascii="Arial" w:hAnsi="Arial" w:cs="Arial"/>
          <w:bCs/>
          <w:lang w:val="hr-HR"/>
        </w:rPr>
        <w:t xml:space="preserve"> (</w:t>
      </w:r>
      <w:r w:rsidRPr="00625E9C">
        <w:rPr>
          <w:rFonts w:ascii="Arial" w:hAnsi="Arial" w:cs="Arial"/>
          <w:bCs/>
          <w:lang w:val="hr-HR"/>
        </w:rPr>
        <w:t>Е</w:t>
      </w:r>
      <w:r w:rsidR="00625E9C" w:rsidRPr="00625E9C">
        <w:rPr>
          <w:rFonts w:ascii="Arial" w:hAnsi="Arial" w:cs="Arial"/>
          <w:bCs/>
          <w:lang w:val="hr-HR"/>
        </w:rPr>
        <w:t>UR</w:t>
      </w:r>
      <w:r w:rsidR="007B6BE3" w:rsidRPr="00625E9C">
        <w:rPr>
          <w:rFonts w:ascii="Arial" w:hAnsi="Arial" w:cs="Arial"/>
          <w:bCs/>
          <w:lang w:val="hr-HR"/>
        </w:rPr>
        <w:t xml:space="preserve"> – 62,31%, </w:t>
      </w:r>
      <w:r w:rsidR="00625E9C" w:rsidRPr="00625E9C">
        <w:rPr>
          <w:rFonts w:ascii="Arial" w:hAnsi="Arial" w:cs="Arial"/>
          <w:bCs/>
          <w:lang w:val="hr-HR"/>
        </w:rPr>
        <w:t>SDR</w:t>
      </w:r>
      <w:r w:rsidR="007B6BE3" w:rsidRPr="00625E9C">
        <w:rPr>
          <w:rFonts w:ascii="Arial" w:hAnsi="Arial" w:cs="Arial"/>
          <w:bCs/>
          <w:lang w:val="hr-HR"/>
        </w:rPr>
        <w:t xml:space="preserve"> – 25,21% </w:t>
      </w:r>
      <w:r w:rsidRPr="00625E9C">
        <w:rPr>
          <w:rFonts w:ascii="Arial" w:hAnsi="Arial" w:cs="Arial"/>
          <w:bCs/>
          <w:lang w:val="hr-HR"/>
        </w:rPr>
        <w:t>и</w:t>
      </w:r>
      <w:r w:rsidR="007B6BE3" w:rsidRPr="00625E9C">
        <w:rPr>
          <w:rFonts w:ascii="Arial" w:hAnsi="Arial" w:cs="Arial"/>
          <w:bCs/>
          <w:lang w:val="hr-HR"/>
        </w:rPr>
        <w:t xml:space="preserve"> </w:t>
      </w:r>
      <w:r w:rsidR="00625E9C" w:rsidRPr="00625E9C">
        <w:rPr>
          <w:rFonts w:ascii="Arial" w:hAnsi="Arial" w:cs="Arial"/>
          <w:bCs/>
          <w:lang w:val="hr-HR"/>
        </w:rPr>
        <w:t>USD</w:t>
      </w:r>
      <w:r w:rsidR="007B6BE3" w:rsidRPr="00625E9C">
        <w:rPr>
          <w:rFonts w:ascii="Arial" w:hAnsi="Arial" w:cs="Arial"/>
          <w:bCs/>
          <w:lang w:val="hr-HR"/>
        </w:rPr>
        <w:t xml:space="preserve"> – 12,01%), </w:t>
      </w:r>
      <w:r w:rsidRPr="00625E9C">
        <w:rPr>
          <w:rFonts w:ascii="Arial" w:hAnsi="Arial" w:cs="Arial"/>
          <w:bCs/>
          <w:lang w:val="hr-HR"/>
        </w:rPr>
        <w:t>у</w:t>
      </w:r>
      <w:r w:rsidR="007B6BE3" w:rsidRPr="00625E9C">
        <w:rPr>
          <w:rFonts w:ascii="Arial" w:hAnsi="Arial" w:cs="Arial"/>
          <w:bCs/>
          <w:lang w:val="hr-HR"/>
        </w:rPr>
        <w:t xml:space="preserve"> </w:t>
      </w:r>
      <w:r w:rsidRPr="00625E9C">
        <w:rPr>
          <w:rFonts w:ascii="Arial" w:hAnsi="Arial" w:cs="Arial"/>
          <w:bCs/>
          <w:lang w:val="hr-HR"/>
        </w:rPr>
        <w:t>којој</w:t>
      </w:r>
      <w:r w:rsidR="007B6BE3" w:rsidRPr="00625E9C">
        <w:rPr>
          <w:rFonts w:ascii="Arial" w:hAnsi="Arial" w:cs="Arial"/>
          <w:bCs/>
          <w:lang w:val="hr-HR"/>
        </w:rPr>
        <w:t xml:space="preserve">, </w:t>
      </w:r>
      <w:r w:rsidRPr="00625E9C">
        <w:rPr>
          <w:rFonts w:ascii="Arial" w:hAnsi="Arial" w:cs="Arial"/>
          <w:bCs/>
          <w:lang w:val="hr-HR"/>
        </w:rPr>
        <w:t>након</w:t>
      </w:r>
      <w:r w:rsidR="007B6BE3" w:rsidRPr="00625E9C">
        <w:rPr>
          <w:rFonts w:ascii="Arial" w:hAnsi="Arial" w:cs="Arial"/>
          <w:bCs/>
          <w:lang w:val="hr-HR"/>
        </w:rPr>
        <w:t xml:space="preserve"> </w:t>
      </w:r>
      <w:r w:rsidRPr="00625E9C">
        <w:rPr>
          <w:rFonts w:ascii="Arial" w:hAnsi="Arial" w:cs="Arial"/>
          <w:bCs/>
          <w:lang w:val="hr-HR"/>
        </w:rPr>
        <w:t>декомпозиције</w:t>
      </w:r>
      <w:r w:rsidR="007B6BE3" w:rsidRPr="00625E9C">
        <w:rPr>
          <w:rFonts w:ascii="Arial" w:hAnsi="Arial" w:cs="Arial"/>
          <w:bCs/>
          <w:lang w:val="hr-HR"/>
        </w:rPr>
        <w:t xml:space="preserve"> </w:t>
      </w:r>
      <w:r w:rsidR="00625E9C" w:rsidRPr="00625E9C">
        <w:rPr>
          <w:rFonts w:ascii="Arial" w:hAnsi="Arial" w:cs="Arial"/>
          <w:bCs/>
          <w:lang w:val="hr-HR"/>
        </w:rPr>
        <w:t>SDR</w:t>
      </w:r>
      <w:r w:rsidR="007B6BE3" w:rsidRPr="00625E9C">
        <w:rPr>
          <w:rFonts w:ascii="Arial" w:hAnsi="Arial" w:cs="Arial"/>
          <w:bCs/>
          <w:lang w:val="hr-HR"/>
        </w:rPr>
        <w:t>-</w:t>
      </w:r>
      <w:r w:rsidRPr="00625E9C">
        <w:rPr>
          <w:rFonts w:ascii="Arial" w:hAnsi="Arial" w:cs="Arial"/>
          <w:bCs/>
          <w:lang w:val="hr-HR"/>
        </w:rPr>
        <w:t>а</w:t>
      </w:r>
      <w:r w:rsidR="007B6BE3" w:rsidRPr="00625E9C">
        <w:rPr>
          <w:rFonts w:ascii="Arial" w:hAnsi="Arial" w:cs="Arial"/>
          <w:bCs/>
          <w:lang w:val="hr-HR"/>
        </w:rPr>
        <w:t xml:space="preserve">, </w:t>
      </w:r>
      <w:r w:rsidRPr="00625E9C">
        <w:rPr>
          <w:rFonts w:ascii="Arial" w:hAnsi="Arial" w:cs="Arial"/>
          <w:bCs/>
          <w:lang w:val="hr-HR"/>
        </w:rPr>
        <w:t>учешће</w:t>
      </w:r>
      <w:r w:rsidR="007B6BE3" w:rsidRPr="00625E9C">
        <w:rPr>
          <w:rFonts w:ascii="Arial" w:hAnsi="Arial" w:cs="Arial"/>
          <w:bCs/>
          <w:lang w:val="hr-HR"/>
        </w:rPr>
        <w:t xml:space="preserve"> </w:t>
      </w:r>
      <w:r w:rsidRPr="00625E9C">
        <w:rPr>
          <w:rFonts w:ascii="Arial" w:hAnsi="Arial" w:cs="Arial"/>
          <w:bCs/>
          <w:lang w:val="hr-HR"/>
        </w:rPr>
        <w:t>Е</w:t>
      </w:r>
      <w:r w:rsidR="00625E9C" w:rsidRPr="00625E9C">
        <w:rPr>
          <w:rFonts w:ascii="Arial" w:hAnsi="Arial" w:cs="Arial"/>
          <w:bCs/>
          <w:lang w:val="hr-HR"/>
        </w:rPr>
        <w:t>UR</w:t>
      </w:r>
      <w:r w:rsidR="007B6BE3" w:rsidRPr="00625E9C">
        <w:rPr>
          <w:rFonts w:ascii="Arial" w:hAnsi="Arial" w:cs="Arial"/>
          <w:bCs/>
          <w:lang w:val="hr-HR"/>
        </w:rPr>
        <w:t xml:space="preserve"> </w:t>
      </w:r>
      <w:r>
        <w:rPr>
          <w:rFonts w:ascii="Arial" w:hAnsi="Arial" w:cs="Arial"/>
          <w:bCs/>
          <w:lang w:val="hr-HR"/>
        </w:rPr>
        <w:t>валуте</w:t>
      </w:r>
      <w:r w:rsidR="007B6BE3" w:rsidRPr="0087376B">
        <w:rPr>
          <w:rFonts w:ascii="Arial" w:hAnsi="Arial" w:cs="Arial"/>
          <w:bCs/>
          <w:lang w:val="hr-HR"/>
        </w:rPr>
        <w:t xml:space="preserve"> </w:t>
      </w:r>
      <w:r>
        <w:rPr>
          <w:rFonts w:ascii="Arial" w:hAnsi="Arial" w:cs="Arial"/>
          <w:bCs/>
          <w:lang w:val="hr-HR"/>
        </w:rPr>
        <w:t>у</w:t>
      </w:r>
      <w:r w:rsidR="007B6BE3" w:rsidRPr="0087376B">
        <w:rPr>
          <w:rFonts w:ascii="Arial" w:hAnsi="Arial" w:cs="Arial"/>
          <w:bCs/>
          <w:lang w:val="hr-HR"/>
        </w:rPr>
        <w:t xml:space="preserve"> </w:t>
      </w:r>
      <w:r>
        <w:rPr>
          <w:rFonts w:ascii="Arial" w:hAnsi="Arial" w:cs="Arial"/>
          <w:bCs/>
          <w:lang w:val="hr-HR"/>
        </w:rPr>
        <w:t>укупном</w:t>
      </w:r>
      <w:r w:rsidR="007B6BE3" w:rsidRPr="0087376B">
        <w:rPr>
          <w:rFonts w:ascii="Arial" w:hAnsi="Arial" w:cs="Arial"/>
          <w:bCs/>
          <w:lang w:val="hr-HR"/>
        </w:rPr>
        <w:t xml:space="preserve"> </w:t>
      </w:r>
      <w:r>
        <w:rPr>
          <w:rFonts w:ascii="Arial" w:hAnsi="Arial" w:cs="Arial"/>
          <w:bCs/>
          <w:lang w:val="hr-HR"/>
        </w:rPr>
        <w:t>спољном</w:t>
      </w:r>
      <w:r w:rsidR="007B6BE3" w:rsidRPr="0087376B">
        <w:rPr>
          <w:rFonts w:ascii="Arial" w:hAnsi="Arial" w:cs="Arial"/>
          <w:bCs/>
          <w:lang w:val="hr-HR"/>
        </w:rPr>
        <w:t xml:space="preserve"> </w:t>
      </w:r>
      <w:r>
        <w:rPr>
          <w:rFonts w:ascii="Arial" w:hAnsi="Arial" w:cs="Arial"/>
          <w:bCs/>
          <w:lang w:val="hr-HR"/>
        </w:rPr>
        <w:t>дугу</w:t>
      </w:r>
      <w:r w:rsidR="007B6BE3" w:rsidRPr="0087376B">
        <w:rPr>
          <w:rFonts w:ascii="Arial" w:hAnsi="Arial" w:cs="Arial"/>
          <w:bCs/>
          <w:lang w:val="hr-HR"/>
        </w:rPr>
        <w:t xml:space="preserve"> </w:t>
      </w:r>
      <w:r>
        <w:rPr>
          <w:rFonts w:ascii="Arial" w:hAnsi="Arial" w:cs="Arial"/>
          <w:bCs/>
          <w:lang w:val="hr-HR"/>
        </w:rPr>
        <w:t>износи</w:t>
      </w:r>
      <w:r w:rsidR="007B6BE3" w:rsidRPr="0087376B">
        <w:rPr>
          <w:rFonts w:ascii="Arial" w:hAnsi="Arial" w:cs="Arial"/>
          <w:bCs/>
          <w:lang w:val="hr-HR"/>
        </w:rPr>
        <w:t xml:space="preserve"> 69,70%.</w:t>
      </w:r>
    </w:p>
    <w:p w14:paraId="7BA07786" w14:textId="77777777" w:rsidR="00625E9C" w:rsidRDefault="00625E9C">
      <w:pPr>
        <w:spacing w:after="160" w:line="259" w:lineRule="auto"/>
        <w:rPr>
          <w:rFonts w:ascii="Arial" w:eastAsiaTheme="majorEastAsia" w:hAnsi="Arial" w:cs="Arial"/>
          <w:bCs/>
          <w:sz w:val="24"/>
          <w:szCs w:val="28"/>
        </w:rPr>
      </w:pPr>
      <w:r>
        <w:rPr>
          <w:rFonts w:ascii="Arial" w:hAnsi="Arial" w:cs="Arial"/>
          <w:b/>
          <w:sz w:val="24"/>
        </w:rPr>
        <w:br w:type="page"/>
      </w:r>
    </w:p>
    <w:p w14:paraId="561659C6" w14:textId="77777777" w:rsidR="007B6BE3" w:rsidRPr="0087376B" w:rsidRDefault="005B20F8" w:rsidP="0092788C">
      <w:pPr>
        <w:pStyle w:val="Heading1"/>
        <w:numPr>
          <w:ilvl w:val="0"/>
          <w:numId w:val="1"/>
        </w:numPr>
        <w:spacing w:before="0"/>
        <w:ind w:left="567" w:hanging="425"/>
        <w:jc w:val="both"/>
        <w:rPr>
          <w:rFonts w:ascii="Arial" w:hAnsi="Arial" w:cs="Arial"/>
          <w:b w:val="0"/>
          <w:color w:val="auto"/>
        </w:rPr>
      </w:pPr>
      <w:bookmarkStart w:id="111" w:name="_Toc149810616"/>
      <w:r w:rsidRPr="0092788C">
        <w:rPr>
          <w:rFonts w:ascii="Arial" w:hAnsi="Arial" w:cs="Arial"/>
          <w:b w:val="0"/>
          <w:color w:val="auto"/>
        </w:rPr>
        <w:lastRenderedPageBreak/>
        <w:t>МАКРОЕКОНОМСКИ</w:t>
      </w:r>
      <w:r w:rsidR="007B6BE3" w:rsidRPr="0092788C">
        <w:rPr>
          <w:rFonts w:ascii="Arial" w:hAnsi="Arial" w:cs="Arial"/>
          <w:b w:val="0"/>
          <w:color w:val="auto"/>
        </w:rPr>
        <w:t xml:space="preserve"> </w:t>
      </w:r>
      <w:r w:rsidRPr="0092788C">
        <w:rPr>
          <w:rFonts w:ascii="Arial" w:hAnsi="Arial" w:cs="Arial"/>
          <w:b w:val="0"/>
          <w:color w:val="auto"/>
        </w:rPr>
        <w:t>ОКВИР</w:t>
      </w:r>
      <w:bookmarkEnd w:id="111"/>
    </w:p>
    <w:p w14:paraId="327ED1C7" w14:textId="77777777" w:rsidR="007B6BE3" w:rsidRPr="0087376B" w:rsidRDefault="007B6BE3" w:rsidP="007B6BE3">
      <w:pPr>
        <w:pStyle w:val="NoSpacing"/>
        <w:rPr>
          <w:rFonts w:ascii="Arial" w:hAnsi="Arial" w:cs="Arial"/>
          <w:color w:val="538135" w:themeColor="accent6" w:themeShade="BF"/>
          <w:lang w:val="hr-HR"/>
        </w:rPr>
      </w:pPr>
    </w:p>
    <w:p w14:paraId="464298C2" w14:textId="77777777" w:rsidR="007B6BE3" w:rsidRPr="0087376B" w:rsidRDefault="005B20F8" w:rsidP="007B6BE3">
      <w:pPr>
        <w:ind w:firstLine="420"/>
        <w:jc w:val="both"/>
        <w:rPr>
          <w:rFonts w:ascii="Arial" w:hAnsi="Arial" w:cs="Arial"/>
        </w:rPr>
      </w:pPr>
      <w:r>
        <w:rPr>
          <w:rFonts w:ascii="Arial" w:hAnsi="Arial" w:cs="Arial"/>
        </w:rPr>
        <w:t>У</w:t>
      </w:r>
      <w:r w:rsidR="007B6BE3" w:rsidRPr="0087376B">
        <w:rPr>
          <w:rFonts w:ascii="Arial" w:hAnsi="Arial" w:cs="Arial"/>
        </w:rPr>
        <w:t xml:space="preserve"> 2022. </w:t>
      </w:r>
      <w:r>
        <w:rPr>
          <w:rFonts w:ascii="Arial" w:hAnsi="Arial" w:cs="Arial"/>
        </w:rPr>
        <w:t>године</w:t>
      </w:r>
      <w:r w:rsidR="007B6BE3" w:rsidRPr="0087376B">
        <w:rPr>
          <w:rFonts w:ascii="Arial" w:hAnsi="Arial" w:cs="Arial"/>
        </w:rPr>
        <w:t xml:space="preserve"> </w:t>
      </w:r>
      <w:r>
        <w:rPr>
          <w:rFonts w:ascii="Arial" w:hAnsi="Arial" w:cs="Arial"/>
        </w:rPr>
        <w:t>дошло</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до</w:t>
      </w:r>
      <w:r w:rsidR="007B6BE3" w:rsidRPr="0087376B">
        <w:rPr>
          <w:rFonts w:ascii="Arial" w:hAnsi="Arial" w:cs="Arial"/>
        </w:rPr>
        <w:t xml:space="preserve"> </w:t>
      </w:r>
      <w:r>
        <w:rPr>
          <w:rFonts w:ascii="Arial" w:hAnsi="Arial" w:cs="Arial"/>
        </w:rPr>
        <w:t>глобалног</w:t>
      </w:r>
      <w:r w:rsidR="007B6BE3" w:rsidRPr="0087376B">
        <w:rPr>
          <w:rFonts w:ascii="Arial" w:hAnsi="Arial" w:cs="Arial"/>
        </w:rPr>
        <w:t xml:space="preserve"> </w:t>
      </w:r>
      <w:r>
        <w:rPr>
          <w:rFonts w:ascii="Arial" w:hAnsi="Arial" w:cs="Arial"/>
        </w:rPr>
        <w:t>успоравања</w:t>
      </w:r>
      <w:r w:rsidR="007B6BE3" w:rsidRPr="0087376B">
        <w:rPr>
          <w:rFonts w:ascii="Arial" w:hAnsi="Arial" w:cs="Arial"/>
        </w:rPr>
        <w:t xml:space="preserve"> </w:t>
      </w:r>
      <w:r>
        <w:rPr>
          <w:rFonts w:ascii="Arial" w:hAnsi="Arial" w:cs="Arial"/>
        </w:rPr>
        <w:t>раста</w:t>
      </w:r>
      <w:r w:rsidR="007B6BE3" w:rsidRPr="0087376B">
        <w:rPr>
          <w:rFonts w:ascii="Arial" w:hAnsi="Arial" w:cs="Arial"/>
        </w:rPr>
        <w:t xml:space="preserve"> </w:t>
      </w:r>
      <w:r>
        <w:rPr>
          <w:rFonts w:ascii="Arial" w:hAnsi="Arial" w:cs="Arial"/>
        </w:rPr>
        <w:t>с</w:t>
      </w:r>
      <w:r w:rsidR="007B6BE3" w:rsidRPr="0087376B">
        <w:rPr>
          <w:rFonts w:ascii="Arial" w:hAnsi="Arial" w:cs="Arial"/>
        </w:rPr>
        <w:t xml:space="preserve"> </w:t>
      </w:r>
      <w:r>
        <w:rPr>
          <w:rFonts w:ascii="Arial" w:hAnsi="Arial" w:cs="Arial"/>
        </w:rPr>
        <w:t>очекивањем</w:t>
      </w:r>
      <w:r w:rsidR="007B6BE3" w:rsidRPr="0087376B">
        <w:rPr>
          <w:rFonts w:ascii="Arial" w:hAnsi="Arial" w:cs="Arial"/>
        </w:rPr>
        <w:t xml:space="preserve"> </w:t>
      </w:r>
      <w:r>
        <w:rPr>
          <w:rFonts w:ascii="Arial" w:hAnsi="Arial" w:cs="Arial"/>
        </w:rPr>
        <w:t>да</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тек</w:t>
      </w:r>
      <w:r w:rsidR="007B6BE3" w:rsidRPr="0087376B">
        <w:rPr>
          <w:rFonts w:ascii="Arial" w:hAnsi="Arial" w:cs="Arial"/>
        </w:rPr>
        <w:t xml:space="preserve"> </w:t>
      </w:r>
      <w:r>
        <w:rPr>
          <w:rFonts w:ascii="Arial" w:hAnsi="Arial" w:cs="Arial"/>
        </w:rPr>
        <w:t>пред</w:t>
      </w:r>
      <w:r w:rsidR="007B6BE3" w:rsidRPr="0087376B">
        <w:rPr>
          <w:rFonts w:ascii="Arial" w:hAnsi="Arial" w:cs="Arial"/>
        </w:rPr>
        <w:t xml:space="preserve"> </w:t>
      </w:r>
      <w:r>
        <w:rPr>
          <w:rFonts w:ascii="Arial" w:hAnsi="Arial" w:cs="Arial"/>
        </w:rPr>
        <w:t>крај</w:t>
      </w:r>
      <w:r w:rsidR="007B6BE3" w:rsidRPr="0087376B">
        <w:rPr>
          <w:rFonts w:ascii="Arial" w:hAnsi="Arial" w:cs="Arial"/>
        </w:rPr>
        <w:t xml:space="preserve"> 2023. </w:t>
      </w:r>
      <w:r>
        <w:rPr>
          <w:rFonts w:ascii="Arial" w:hAnsi="Arial" w:cs="Arial"/>
        </w:rPr>
        <w:t>године</w:t>
      </w:r>
      <w:r w:rsidR="007B6BE3" w:rsidRPr="0087376B">
        <w:rPr>
          <w:rFonts w:ascii="Arial" w:hAnsi="Arial" w:cs="Arial"/>
        </w:rPr>
        <w:t xml:space="preserve"> </w:t>
      </w:r>
      <w:r>
        <w:rPr>
          <w:rFonts w:ascii="Arial" w:hAnsi="Arial" w:cs="Arial"/>
        </w:rPr>
        <w:t>опорави</w:t>
      </w:r>
      <w:r w:rsidR="007B6BE3" w:rsidRPr="0087376B">
        <w:rPr>
          <w:rFonts w:ascii="Arial" w:hAnsi="Arial" w:cs="Arial"/>
        </w:rPr>
        <w:t xml:space="preserve"> </w:t>
      </w:r>
      <w:r>
        <w:rPr>
          <w:rFonts w:ascii="Arial" w:hAnsi="Arial" w:cs="Arial"/>
        </w:rPr>
        <w:t>привредна</w:t>
      </w:r>
      <w:r w:rsidR="007B6BE3" w:rsidRPr="0087376B">
        <w:rPr>
          <w:rFonts w:ascii="Arial" w:hAnsi="Arial" w:cs="Arial"/>
        </w:rPr>
        <w:t xml:space="preserve"> </w:t>
      </w:r>
      <w:r>
        <w:rPr>
          <w:rFonts w:ascii="Arial" w:hAnsi="Arial" w:cs="Arial"/>
        </w:rPr>
        <w:t>активност</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глобалном</w:t>
      </w:r>
      <w:r w:rsidR="007B6BE3" w:rsidRPr="0087376B">
        <w:rPr>
          <w:rFonts w:ascii="Arial" w:hAnsi="Arial" w:cs="Arial"/>
        </w:rPr>
        <w:t xml:space="preserve"> </w:t>
      </w:r>
      <w:r>
        <w:rPr>
          <w:rFonts w:ascii="Arial" w:hAnsi="Arial" w:cs="Arial"/>
        </w:rPr>
        <w:t>нивоу</w:t>
      </w:r>
      <w:r w:rsidR="007B6BE3" w:rsidRPr="0087376B">
        <w:rPr>
          <w:rFonts w:ascii="Arial" w:hAnsi="Arial" w:cs="Arial"/>
        </w:rPr>
        <w:t xml:space="preserve">. </w:t>
      </w:r>
      <w:r>
        <w:rPr>
          <w:rFonts w:ascii="Arial" w:hAnsi="Arial" w:cs="Arial"/>
        </w:rPr>
        <w:t>Унаточ</w:t>
      </w:r>
      <w:r w:rsidR="007B6BE3" w:rsidRPr="0087376B">
        <w:rPr>
          <w:rFonts w:ascii="Arial" w:hAnsi="Arial" w:cs="Arial"/>
        </w:rPr>
        <w:t xml:space="preserve"> </w:t>
      </w:r>
      <w:r>
        <w:rPr>
          <w:rFonts w:ascii="Arial" w:hAnsi="Arial" w:cs="Arial"/>
        </w:rPr>
        <w:t>неповољним</w:t>
      </w:r>
      <w:r w:rsidR="007B6BE3" w:rsidRPr="0087376B">
        <w:rPr>
          <w:rFonts w:ascii="Arial" w:hAnsi="Arial" w:cs="Arial"/>
        </w:rPr>
        <w:t xml:space="preserve"> </w:t>
      </w:r>
      <w:r>
        <w:rPr>
          <w:rFonts w:ascii="Arial" w:hAnsi="Arial" w:cs="Arial"/>
        </w:rPr>
        <w:t>глобалним</w:t>
      </w:r>
      <w:r w:rsidR="007B6BE3" w:rsidRPr="0087376B">
        <w:rPr>
          <w:rFonts w:ascii="Arial" w:hAnsi="Arial" w:cs="Arial"/>
        </w:rPr>
        <w:t xml:space="preserve"> </w:t>
      </w:r>
      <w:r>
        <w:rPr>
          <w:rFonts w:ascii="Arial" w:hAnsi="Arial" w:cs="Arial"/>
        </w:rPr>
        <w:t>кретањима</w:t>
      </w:r>
      <w:r w:rsidR="007B6BE3" w:rsidRPr="0087376B">
        <w:rPr>
          <w:rFonts w:ascii="Arial" w:hAnsi="Arial" w:cs="Arial"/>
        </w:rPr>
        <w:t xml:space="preserve">, </w:t>
      </w:r>
      <w:r>
        <w:rPr>
          <w:rFonts w:ascii="Arial" w:hAnsi="Arial" w:cs="Arial"/>
        </w:rPr>
        <w:t>економије</w:t>
      </w:r>
      <w:r w:rsidR="007B6BE3" w:rsidRPr="0087376B">
        <w:rPr>
          <w:rFonts w:ascii="Arial" w:hAnsi="Arial" w:cs="Arial"/>
        </w:rPr>
        <w:t xml:space="preserve"> </w:t>
      </w:r>
      <w:r>
        <w:rPr>
          <w:rFonts w:ascii="Arial" w:hAnsi="Arial" w:cs="Arial"/>
        </w:rPr>
        <w:t>земаља</w:t>
      </w:r>
      <w:r w:rsidR="007B6BE3" w:rsidRPr="0087376B">
        <w:rPr>
          <w:rFonts w:ascii="Arial" w:hAnsi="Arial" w:cs="Arial"/>
        </w:rPr>
        <w:t xml:space="preserve"> </w:t>
      </w:r>
      <w:r>
        <w:rPr>
          <w:rFonts w:ascii="Arial" w:hAnsi="Arial" w:cs="Arial"/>
        </w:rPr>
        <w:t>Западног</w:t>
      </w:r>
      <w:r w:rsidR="007B6BE3" w:rsidRPr="0087376B">
        <w:rPr>
          <w:rFonts w:ascii="Arial" w:hAnsi="Arial" w:cs="Arial"/>
        </w:rPr>
        <w:t xml:space="preserve"> </w:t>
      </w:r>
      <w:r>
        <w:rPr>
          <w:rFonts w:ascii="Arial" w:hAnsi="Arial" w:cs="Arial"/>
        </w:rPr>
        <w:t>Балкана</w:t>
      </w:r>
      <w:r w:rsidR="007B6BE3" w:rsidRPr="0087376B">
        <w:rPr>
          <w:rFonts w:ascii="Arial" w:hAnsi="Arial" w:cs="Arial"/>
        </w:rPr>
        <w:t xml:space="preserve"> </w:t>
      </w:r>
      <w:r>
        <w:rPr>
          <w:rFonts w:ascii="Arial" w:hAnsi="Arial" w:cs="Arial"/>
        </w:rPr>
        <w:t>показале</w:t>
      </w:r>
      <w:r w:rsidR="007B6BE3" w:rsidRPr="0087376B">
        <w:rPr>
          <w:rFonts w:ascii="Arial" w:hAnsi="Arial" w:cs="Arial"/>
        </w:rPr>
        <w:t xml:space="preserve"> </w:t>
      </w:r>
      <w:r>
        <w:rPr>
          <w:rFonts w:ascii="Arial" w:hAnsi="Arial" w:cs="Arial"/>
        </w:rPr>
        <w:t>су</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отпорним</w:t>
      </w:r>
      <w:r w:rsidR="007B6BE3" w:rsidRPr="0087376B">
        <w:rPr>
          <w:rFonts w:ascii="Arial" w:hAnsi="Arial" w:cs="Arial"/>
        </w:rPr>
        <w:t xml:space="preserve">. </w:t>
      </w:r>
      <w:r>
        <w:rPr>
          <w:rFonts w:ascii="Arial" w:hAnsi="Arial" w:cs="Arial"/>
        </w:rPr>
        <w:t>Остварени</w:t>
      </w:r>
      <w:r w:rsidR="007B6BE3" w:rsidRPr="0087376B">
        <w:rPr>
          <w:rFonts w:ascii="Arial" w:hAnsi="Arial" w:cs="Arial"/>
        </w:rPr>
        <w:t xml:space="preserve"> </w:t>
      </w:r>
      <w:r>
        <w:rPr>
          <w:rFonts w:ascii="Arial" w:hAnsi="Arial" w:cs="Arial"/>
        </w:rPr>
        <w:t>раст</w:t>
      </w:r>
      <w:r w:rsidR="007B6BE3" w:rsidRPr="0087376B">
        <w:rPr>
          <w:rFonts w:ascii="Arial" w:hAnsi="Arial" w:cs="Arial"/>
        </w:rPr>
        <w:t xml:space="preserve"> </w:t>
      </w:r>
      <w:r>
        <w:rPr>
          <w:rFonts w:ascii="Arial" w:hAnsi="Arial" w:cs="Arial"/>
        </w:rPr>
        <w:t>вођен</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потражњом</w:t>
      </w:r>
      <w:r w:rsidR="007B6BE3" w:rsidRPr="0087376B">
        <w:rPr>
          <w:rFonts w:ascii="Arial" w:hAnsi="Arial" w:cs="Arial"/>
        </w:rPr>
        <w:t xml:space="preserve">, </w:t>
      </w:r>
      <w:r>
        <w:rPr>
          <w:rFonts w:ascii="Arial" w:hAnsi="Arial" w:cs="Arial"/>
        </w:rPr>
        <w:t>домаћом</w:t>
      </w:r>
      <w:r w:rsidR="007B6BE3" w:rsidRPr="0087376B">
        <w:rPr>
          <w:rFonts w:ascii="Arial" w:hAnsi="Arial" w:cs="Arial"/>
        </w:rPr>
        <w:t xml:space="preserve"> </w:t>
      </w:r>
      <w:r>
        <w:rPr>
          <w:rFonts w:ascii="Arial" w:hAnsi="Arial" w:cs="Arial"/>
        </w:rPr>
        <w:t>потрошњом</w:t>
      </w:r>
      <w:r w:rsidR="007B6BE3" w:rsidRPr="0087376B">
        <w:rPr>
          <w:rFonts w:ascii="Arial" w:hAnsi="Arial" w:cs="Arial"/>
        </w:rPr>
        <w:t xml:space="preserve"> </w:t>
      </w:r>
      <w:r>
        <w:rPr>
          <w:rFonts w:ascii="Arial" w:hAnsi="Arial" w:cs="Arial"/>
        </w:rPr>
        <w:t>те</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неким</w:t>
      </w:r>
      <w:r w:rsidR="007B6BE3" w:rsidRPr="0087376B">
        <w:rPr>
          <w:rFonts w:ascii="Arial" w:hAnsi="Arial" w:cs="Arial"/>
        </w:rPr>
        <w:t xml:space="preserve"> </w:t>
      </w:r>
      <w:r>
        <w:rPr>
          <w:rFonts w:ascii="Arial" w:hAnsi="Arial" w:cs="Arial"/>
        </w:rPr>
        <w:t>земљама</w:t>
      </w:r>
      <w:r w:rsidR="007B6BE3" w:rsidRPr="0087376B">
        <w:rPr>
          <w:rFonts w:ascii="Arial" w:hAnsi="Arial" w:cs="Arial"/>
        </w:rPr>
        <w:t xml:space="preserve"> </w:t>
      </w:r>
      <w:r>
        <w:rPr>
          <w:rFonts w:ascii="Arial" w:hAnsi="Arial" w:cs="Arial"/>
        </w:rPr>
        <w:t>инвестицијама</w:t>
      </w:r>
      <w:r w:rsidR="007B6BE3" w:rsidRPr="0087376B">
        <w:rPr>
          <w:rFonts w:ascii="Arial" w:hAnsi="Arial" w:cs="Arial"/>
        </w:rPr>
        <w:t xml:space="preserve">. </w:t>
      </w:r>
    </w:p>
    <w:p w14:paraId="03EB1FAD" w14:textId="77777777" w:rsidR="007B6BE3" w:rsidRPr="0087376B" w:rsidRDefault="005B20F8" w:rsidP="007B6BE3">
      <w:pPr>
        <w:jc w:val="center"/>
        <w:rPr>
          <w:rFonts w:ascii="Arial" w:hAnsi="Arial" w:cs="Arial"/>
        </w:rPr>
      </w:pPr>
      <w:r>
        <w:rPr>
          <w:rFonts w:ascii="Arial" w:hAnsi="Arial" w:cs="Arial"/>
        </w:rPr>
        <w:t>Преглед</w:t>
      </w:r>
      <w:r w:rsidR="007B6BE3" w:rsidRPr="0087376B">
        <w:rPr>
          <w:rFonts w:ascii="Arial" w:hAnsi="Arial" w:cs="Arial"/>
        </w:rPr>
        <w:t xml:space="preserve"> </w:t>
      </w:r>
      <w:r>
        <w:rPr>
          <w:rFonts w:ascii="Arial" w:hAnsi="Arial" w:cs="Arial"/>
        </w:rPr>
        <w:t>раста</w:t>
      </w:r>
      <w:r w:rsidR="007B6BE3" w:rsidRPr="0087376B">
        <w:rPr>
          <w:rFonts w:ascii="Arial" w:hAnsi="Arial" w:cs="Arial"/>
        </w:rPr>
        <w:t xml:space="preserve"> </w:t>
      </w:r>
      <w:r>
        <w:rPr>
          <w:rFonts w:ascii="Arial" w:hAnsi="Arial" w:cs="Arial"/>
        </w:rPr>
        <w:t>БДП</w:t>
      </w:r>
      <w:r w:rsidR="007B6BE3" w:rsidRPr="0087376B">
        <w:rPr>
          <w:rFonts w:ascii="Arial" w:hAnsi="Arial" w:cs="Arial"/>
        </w:rPr>
        <w:t>-</w:t>
      </w:r>
      <w:r>
        <w:rPr>
          <w:rFonts w:ascii="Arial" w:hAnsi="Arial" w:cs="Arial"/>
        </w:rPr>
        <w:t>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земљама</w:t>
      </w:r>
      <w:r w:rsidR="007B6BE3" w:rsidRPr="0087376B">
        <w:rPr>
          <w:rFonts w:ascii="Arial" w:hAnsi="Arial" w:cs="Arial"/>
        </w:rPr>
        <w:t xml:space="preserve"> </w:t>
      </w:r>
      <w:r>
        <w:rPr>
          <w:rFonts w:ascii="Arial" w:hAnsi="Arial" w:cs="Arial"/>
        </w:rPr>
        <w:t>Западног</w:t>
      </w:r>
      <w:r w:rsidR="007B6BE3" w:rsidRPr="0087376B">
        <w:rPr>
          <w:rFonts w:ascii="Arial" w:hAnsi="Arial" w:cs="Arial"/>
        </w:rPr>
        <w:t xml:space="preserve"> </w:t>
      </w:r>
      <w:r>
        <w:rPr>
          <w:rFonts w:ascii="Arial" w:hAnsi="Arial" w:cs="Arial"/>
        </w:rPr>
        <w:t>Балкана</w:t>
      </w:r>
    </w:p>
    <w:tbl>
      <w:tblPr>
        <w:tblW w:w="5000" w:type="pct"/>
        <w:jc w:val="center"/>
        <w:tblLook w:val="04A0" w:firstRow="1" w:lastRow="0" w:firstColumn="1" w:lastColumn="0" w:noHBand="0" w:noVBand="1"/>
      </w:tblPr>
      <w:tblGrid>
        <w:gridCol w:w="4102"/>
        <w:gridCol w:w="1317"/>
        <w:gridCol w:w="1298"/>
        <w:gridCol w:w="1298"/>
        <w:gridCol w:w="1298"/>
      </w:tblGrid>
      <w:tr w:rsidR="007B6BE3" w:rsidRPr="0087376B" w14:paraId="27EC94AD" w14:textId="77777777" w:rsidTr="007B6BE3">
        <w:trPr>
          <w:trHeight w:val="339"/>
          <w:jc w:val="center"/>
        </w:trPr>
        <w:tc>
          <w:tcPr>
            <w:tcW w:w="2202" w:type="pct"/>
            <w:tcBorders>
              <w:top w:val="single" w:sz="8" w:space="0" w:color="95B3D7"/>
              <w:left w:val="single" w:sz="8" w:space="0" w:color="95B3D7"/>
              <w:bottom w:val="single" w:sz="8" w:space="0" w:color="95B3D7"/>
              <w:right w:val="single" w:sz="8" w:space="0" w:color="95B3D7"/>
            </w:tcBorders>
            <w:shd w:val="clear" w:color="auto" w:fill="auto"/>
            <w:noWrap/>
            <w:vAlign w:val="center"/>
            <w:hideMark/>
          </w:tcPr>
          <w:p w14:paraId="6E2AD11D" w14:textId="77777777" w:rsidR="007B6BE3" w:rsidRPr="0087376B" w:rsidRDefault="005B20F8" w:rsidP="007B6BE3">
            <w:pPr>
              <w:spacing w:after="0" w:line="240" w:lineRule="auto"/>
              <w:jc w:val="center"/>
              <w:rPr>
                <w:rFonts w:ascii="Arial Narrow" w:eastAsia="Times New Roman" w:hAnsi="Arial Narrow" w:cs="Calibri"/>
                <w:color w:val="000000"/>
              </w:rPr>
            </w:pPr>
            <w:r>
              <w:rPr>
                <w:rFonts w:ascii="Arial Narrow" w:eastAsia="Times New Roman" w:hAnsi="Arial Narrow" w:cs="Calibri"/>
                <w:color w:val="000000"/>
              </w:rPr>
              <w:t>Пројекције</w:t>
            </w:r>
          </w:p>
        </w:tc>
        <w:tc>
          <w:tcPr>
            <w:tcW w:w="707" w:type="pct"/>
            <w:tcBorders>
              <w:top w:val="single" w:sz="8" w:space="0" w:color="95B3D7"/>
              <w:left w:val="nil"/>
              <w:bottom w:val="single" w:sz="8" w:space="0" w:color="95B3D7"/>
              <w:right w:val="single" w:sz="8" w:space="0" w:color="95B3D7"/>
            </w:tcBorders>
            <w:shd w:val="clear" w:color="auto" w:fill="auto"/>
            <w:noWrap/>
            <w:vAlign w:val="center"/>
          </w:tcPr>
          <w:p w14:paraId="7BA5383F"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2022</w:t>
            </w:r>
          </w:p>
        </w:tc>
        <w:tc>
          <w:tcPr>
            <w:tcW w:w="697" w:type="pct"/>
            <w:tcBorders>
              <w:top w:val="single" w:sz="8" w:space="0" w:color="95B3D7"/>
              <w:left w:val="nil"/>
              <w:bottom w:val="single" w:sz="8" w:space="0" w:color="95B3D7"/>
              <w:right w:val="single" w:sz="8" w:space="0" w:color="95B3D7"/>
            </w:tcBorders>
            <w:shd w:val="clear" w:color="auto" w:fill="auto"/>
            <w:noWrap/>
            <w:vAlign w:val="center"/>
            <w:hideMark/>
          </w:tcPr>
          <w:p w14:paraId="0C6BCCB0"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2023</w:t>
            </w:r>
          </w:p>
        </w:tc>
        <w:tc>
          <w:tcPr>
            <w:tcW w:w="697" w:type="pct"/>
            <w:tcBorders>
              <w:top w:val="single" w:sz="8" w:space="0" w:color="95B3D7"/>
              <w:left w:val="nil"/>
              <w:bottom w:val="single" w:sz="8" w:space="0" w:color="95B3D7"/>
              <w:right w:val="single" w:sz="8" w:space="0" w:color="95B3D7"/>
            </w:tcBorders>
            <w:shd w:val="clear" w:color="auto" w:fill="auto"/>
            <w:noWrap/>
            <w:vAlign w:val="center"/>
            <w:hideMark/>
          </w:tcPr>
          <w:p w14:paraId="1E9842E6"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2024</w:t>
            </w:r>
          </w:p>
        </w:tc>
        <w:tc>
          <w:tcPr>
            <w:tcW w:w="697" w:type="pct"/>
            <w:tcBorders>
              <w:top w:val="single" w:sz="8" w:space="0" w:color="95B3D7"/>
              <w:left w:val="nil"/>
              <w:bottom w:val="single" w:sz="8" w:space="0" w:color="95B3D7"/>
              <w:right w:val="single" w:sz="8" w:space="0" w:color="95B3D7"/>
            </w:tcBorders>
            <w:shd w:val="clear" w:color="auto" w:fill="auto"/>
            <w:noWrap/>
            <w:vAlign w:val="center"/>
            <w:hideMark/>
          </w:tcPr>
          <w:p w14:paraId="524B258E"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2025</w:t>
            </w:r>
          </w:p>
        </w:tc>
      </w:tr>
      <w:tr w:rsidR="007B6BE3" w:rsidRPr="0087376B" w14:paraId="23F56987" w14:textId="77777777" w:rsidTr="007B6BE3">
        <w:trPr>
          <w:trHeight w:val="339"/>
          <w:jc w:val="center"/>
        </w:trPr>
        <w:tc>
          <w:tcPr>
            <w:tcW w:w="2202" w:type="pct"/>
            <w:tcBorders>
              <w:top w:val="nil"/>
              <w:left w:val="single" w:sz="8" w:space="0" w:color="95B3D7"/>
              <w:bottom w:val="single" w:sz="8" w:space="0" w:color="95B3D7"/>
              <w:right w:val="single" w:sz="8" w:space="0" w:color="95B3D7"/>
            </w:tcBorders>
            <w:shd w:val="clear" w:color="000000" w:fill="DBE5F1"/>
            <w:noWrap/>
            <w:vAlign w:val="center"/>
            <w:hideMark/>
          </w:tcPr>
          <w:p w14:paraId="3A106D64"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Албанија</w:t>
            </w:r>
          </w:p>
        </w:tc>
        <w:tc>
          <w:tcPr>
            <w:tcW w:w="707" w:type="pct"/>
            <w:tcBorders>
              <w:top w:val="nil"/>
              <w:left w:val="nil"/>
              <w:bottom w:val="single" w:sz="8" w:space="0" w:color="95B3D7"/>
              <w:right w:val="single" w:sz="8" w:space="0" w:color="95B3D7"/>
            </w:tcBorders>
            <w:shd w:val="clear" w:color="000000" w:fill="DBE5F1"/>
            <w:noWrap/>
            <w:vAlign w:val="center"/>
          </w:tcPr>
          <w:p w14:paraId="2341662E"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4,8</w:t>
            </w:r>
          </w:p>
        </w:tc>
        <w:tc>
          <w:tcPr>
            <w:tcW w:w="697" w:type="pct"/>
            <w:tcBorders>
              <w:top w:val="nil"/>
              <w:left w:val="nil"/>
              <w:bottom w:val="single" w:sz="8" w:space="0" w:color="95B3D7"/>
              <w:right w:val="single" w:sz="8" w:space="0" w:color="95B3D7"/>
            </w:tcBorders>
            <w:shd w:val="clear" w:color="000000" w:fill="DBE5F1"/>
            <w:noWrap/>
            <w:vAlign w:val="center"/>
          </w:tcPr>
          <w:p w14:paraId="1EF9A5D0"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2,8</w:t>
            </w:r>
          </w:p>
        </w:tc>
        <w:tc>
          <w:tcPr>
            <w:tcW w:w="697" w:type="pct"/>
            <w:tcBorders>
              <w:top w:val="nil"/>
              <w:left w:val="nil"/>
              <w:bottom w:val="single" w:sz="8" w:space="0" w:color="95B3D7"/>
              <w:right w:val="single" w:sz="8" w:space="0" w:color="95B3D7"/>
            </w:tcBorders>
            <w:shd w:val="clear" w:color="000000" w:fill="DBE5F1"/>
            <w:noWrap/>
            <w:vAlign w:val="center"/>
          </w:tcPr>
          <w:p w14:paraId="6A5AF1C1"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3,3</w:t>
            </w:r>
          </w:p>
        </w:tc>
        <w:tc>
          <w:tcPr>
            <w:tcW w:w="697" w:type="pct"/>
            <w:tcBorders>
              <w:top w:val="nil"/>
              <w:left w:val="nil"/>
              <w:bottom w:val="single" w:sz="8" w:space="0" w:color="95B3D7"/>
              <w:right w:val="single" w:sz="8" w:space="0" w:color="95B3D7"/>
            </w:tcBorders>
            <w:shd w:val="clear" w:color="000000" w:fill="DBE5F1"/>
            <w:noWrap/>
            <w:vAlign w:val="center"/>
          </w:tcPr>
          <w:p w14:paraId="3DF9671C"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3,3</w:t>
            </w:r>
          </w:p>
        </w:tc>
      </w:tr>
      <w:tr w:rsidR="007B6BE3" w:rsidRPr="0087376B" w14:paraId="4D75FBBC" w14:textId="77777777" w:rsidTr="007B6BE3">
        <w:trPr>
          <w:trHeight w:val="339"/>
          <w:jc w:val="center"/>
        </w:trPr>
        <w:tc>
          <w:tcPr>
            <w:tcW w:w="2202" w:type="pct"/>
            <w:tcBorders>
              <w:top w:val="nil"/>
              <w:left w:val="single" w:sz="8" w:space="0" w:color="95B3D7"/>
              <w:bottom w:val="single" w:sz="8" w:space="0" w:color="95B3D7"/>
              <w:right w:val="single" w:sz="8" w:space="0" w:color="95B3D7"/>
            </w:tcBorders>
            <w:shd w:val="clear" w:color="auto" w:fill="auto"/>
            <w:noWrap/>
            <w:vAlign w:val="center"/>
            <w:hideMark/>
          </w:tcPr>
          <w:p w14:paraId="18DE170B"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БиХ</w:t>
            </w:r>
          </w:p>
        </w:tc>
        <w:tc>
          <w:tcPr>
            <w:tcW w:w="707" w:type="pct"/>
            <w:tcBorders>
              <w:top w:val="nil"/>
              <w:left w:val="nil"/>
              <w:bottom w:val="single" w:sz="8" w:space="0" w:color="95B3D7"/>
              <w:right w:val="single" w:sz="8" w:space="0" w:color="95B3D7"/>
            </w:tcBorders>
            <w:shd w:val="clear" w:color="auto" w:fill="auto"/>
            <w:noWrap/>
            <w:vAlign w:val="center"/>
          </w:tcPr>
          <w:p w14:paraId="1B26C0EA" w14:textId="54734A91"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4</w:t>
            </w:r>
            <w:r w:rsidR="00E655AE">
              <w:rPr>
                <w:rFonts w:ascii="Arial Narrow" w:eastAsia="Times New Roman" w:hAnsi="Arial Narrow" w:cs="Calibri"/>
                <w:color w:val="000000"/>
              </w:rPr>
              <w:t>,0</w:t>
            </w:r>
          </w:p>
        </w:tc>
        <w:tc>
          <w:tcPr>
            <w:tcW w:w="697" w:type="pct"/>
            <w:tcBorders>
              <w:top w:val="nil"/>
              <w:left w:val="nil"/>
              <w:bottom w:val="single" w:sz="8" w:space="0" w:color="95B3D7"/>
              <w:right w:val="single" w:sz="8" w:space="0" w:color="95B3D7"/>
            </w:tcBorders>
            <w:shd w:val="clear" w:color="auto" w:fill="auto"/>
            <w:noWrap/>
            <w:vAlign w:val="center"/>
          </w:tcPr>
          <w:p w14:paraId="38C38229"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2,5</w:t>
            </w:r>
          </w:p>
        </w:tc>
        <w:tc>
          <w:tcPr>
            <w:tcW w:w="697" w:type="pct"/>
            <w:tcBorders>
              <w:top w:val="nil"/>
              <w:left w:val="nil"/>
              <w:bottom w:val="single" w:sz="8" w:space="0" w:color="95B3D7"/>
              <w:right w:val="single" w:sz="8" w:space="0" w:color="95B3D7"/>
            </w:tcBorders>
            <w:shd w:val="clear" w:color="auto" w:fill="auto"/>
            <w:noWrap/>
            <w:vAlign w:val="center"/>
          </w:tcPr>
          <w:p w14:paraId="3F653EBA" w14:textId="61DB4895"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w:t>
            </w:r>
            <w:r w:rsidR="00E655AE">
              <w:rPr>
                <w:rFonts w:ascii="Arial Narrow" w:eastAsia="Times New Roman" w:hAnsi="Arial Narrow" w:cs="Calibri"/>
                <w:color w:val="000000"/>
              </w:rPr>
              <w:t>,0</w:t>
            </w:r>
          </w:p>
        </w:tc>
        <w:tc>
          <w:tcPr>
            <w:tcW w:w="697" w:type="pct"/>
            <w:tcBorders>
              <w:top w:val="nil"/>
              <w:left w:val="nil"/>
              <w:bottom w:val="single" w:sz="8" w:space="0" w:color="95B3D7"/>
              <w:right w:val="single" w:sz="8" w:space="0" w:color="95B3D7"/>
            </w:tcBorders>
            <w:shd w:val="clear" w:color="auto" w:fill="auto"/>
            <w:noWrap/>
            <w:vAlign w:val="center"/>
          </w:tcPr>
          <w:p w14:paraId="2A244BA0"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3,5</w:t>
            </w:r>
          </w:p>
        </w:tc>
      </w:tr>
      <w:tr w:rsidR="007B6BE3" w:rsidRPr="0087376B" w14:paraId="4EF5E27C" w14:textId="77777777" w:rsidTr="007B6BE3">
        <w:trPr>
          <w:trHeight w:val="339"/>
          <w:jc w:val="center"/>
        </w:trPr>
        <w:tc>
          <w:tcPr>
            <w:tcW w:w="2202" w:type="pct"/>
            <w:tcBorders>
              <w:top w:val="nil"/>
              <w:left w:val="single" w:sz="8" w:space="0" w:color="95B3D7"/>
              <w:bottom w:val="single" w:sz="8" w:space="0" w:color="95B3D7"/>
              <w:right w:val="single" w:sz="8" w:space="0" w:color="95B3D7"/>
            </w:tcBorders>
            <w:shd w:val="clear" w:color="000000" w:fill="DBE5F1"/>
            <w:noWrap/>
            <w:vAlign w:val="center"/>
            <w:hideMark/>
          </w:tcPr>
          <w:p w14:paraId="4247477E"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Косово</w:t>
            </w:r>
          </w:p>
        </w:tc>
        <w:tc>
          <w:tcPr>
            <w:tcW w:w="707" w:type="pct"/>
            <w:tcBorders>
              <w:top w:val="nil"/>
              <w:left w:val="nil"/>
              <w:bottom w:val="single" w:sz="8" w:space="0" w:color="95B3D7"/>
              <w:right w:val="single" w:sz="8" w:space="0" w:color="95B3D7"/>
            </w:tcBorders>
            <w:shd w:val="clear" w:color="000000" w:fill="DBE5F1"/>
            <w:noWrap/>
            <w:vAlign w:val="center"/>
          </w:tcPr>
          <w:p w14:paraId="438E91B4"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3,5</w:t>
            </w:r>
          </w:p>
        </w:tc>
        <w:tc>
          <w:tcPr>
            <w:tcW w:w="697" w:type="pct"/>
            <w:tcBorders>
              <w:top w:val="nil"/>
              <w:left w:val="nil"/>
              <w:bottom w:val="single" w:sz="8" w:space="0" w:color="95B3D7"/>
              <w:right w:val="single" w:sz="8" w:space="0" w:color="95B3D7"/>
            </w:tcBorders>
            <w:shd w:val="clear" w:color="000000" w:fill="DBE5F1"/>
            <w:noWrap/>
            <w:vAlign w:val="center"/>
          </w:tcPr>
          <w:p w14:paraId="4F787391"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3,7</w:t>
            </w:r>
          </w:p>
        </w:tc>
        <w:tc>
          <w:tcPr>
            <w:tcW w:w="697" w:type="pct"/>
            <w:tcBorders>
              <w:top w:val="nil"/>
              <w:left w:val="nil"/>
              <w:bottom w:val="single" w:sz="8" w:space="0" w:color="95B3D7"/>
              <w:right w:val="single" w:sz="8" w:space="0" w:color="95B3D7"/>
            </w:tcBorders>
            <w:shd w:val="clear" w:color="000000" w:fill="DBE5F1"/>
            <w:noWrap/>
            <w:vAlign w:val="center"/>
          </w:tcPr>
          <w:p w14:paraId="5AF65EF6"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4,4</w:t>
            </w:r>
          </w:p>
        </w:tc>
        <w:tc>
          <w:tcPr>
            <w:tcW w:w="697" w:type="pct"/>
            <w:tcBorders>
              <w:top w:val="nil"/>
              <w:left w:val="nil"/>
              <w:bottom w:val="single" w:sz="8" w:space="0" w:color="95B3D7"/>
              <w:right w:val="single" w:sz="8" w:space="0" w:color="95B3D7"/>
            </w:tcBorders>
            <w:shd w:val="clear" w:color="000000" w:fill="DBE5F1"/>
            <w:noWrap/>
            <w:vAlign w:val="center"/>
          </w:tcPr>
          <w:p w14:paraId="38A5E2AD"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4,2</w:t>
            </w:r>
          </w:p>
        </w:tc>
      </w:tr>
      <w:tr w:rsidR="007B6BE3" w:rsidRPr="0087376B" w14:paraId="2DC6FD24" w14:textId="77777777" w:rsidTr="007B6BE3">
        <w:trPr>
          <w:trHeight w:val="339"/>
          <w:jc w:val="center"/>
        </w:trPr>
        <w:tc>
          <w:tcPr>
            <w:tcW w:w="2202" w:type="pct"/>
            <w:tcBorders>
              <w:top w:val="nil"/>
              <w:left w:val="single" w:sz="8" w:space="0" w:color="95B3D7"/>
              <w:bottom w:val="single" w:sz="8" w:space="0" w:color="95B3D7"/>
              <w:right w:val="single" w:sz="8" w:space="0" w:color="95B3D7"/>
            </w:tcBorders>
            <w:shd w:val="clear" w:color="auto" w:fill="auto"/>
            <w:noWrap/>
            <w:vAlign w:val="center"/>
            <w:hideMark/>
          </w:tcPr>
          <w:p w14:paraId="49FE8E81"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Црна</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Гора</w:t>
            </w:r>
          </w:p>
        </w:tc>
        <w:tc>
          <w:tcPr>
            <w:tcW w:w="707" w:type="pct"/>
            <w:tcBorders>
              <w:top w:val="nil"/>
              <w:left w:val="nil"/>
              <w:bottom w:val="single" w:sz="8" w:space="0" w:color="95B3D7"/>
              <w:right w:val="single" w:sz="8" w:space="0" w:color="95B3D7"/>
            </w:tcBorders>
            <w:shd w:val="clear" w:color="auto" w:fill="auto"/>
            <w:noWrap/>
            <w:vAlign w:val="center"/>
          </w:tcPr>
          <w:p w14:paraId="45ADD470"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6,1</w:t>
            </w:r>
          </w:p>
        </w:tc>
        <w:tc>
          <w:tcPr>
            <w:tcW w:w="697" w:type="pct"/>
            <w:tcBorders>
              <w:top w:val="nil"/>
              <w:left w:val="nil"/>
              <w:bottom w:val="single" w:sz="8" w:space="0" w:color="95B3D7"/>
              <w:right w:val="single" w:sz="8" w:space="0" w:color="95B3D7"/>
            </w:tcBorders>
            <w:shd w:val="clear" w:color="auto" w:fill="auto"/>
            <w:noWrap/>
            <w:vAlign w:val="center"/>
          </w:tcPr>
          <w:p w14:paraId="38BBA3E8"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3,4</w:t>
            </w:r>
          </w:p>
        </w:tc>
        <w:tc>
          <w:tcPr>
            <w:tcW w:w="697" w:type="pct"/>
            <w:tcBorders>
              <w:top w:val="nil"/>
              <w:left w:val="nil"/>
              <w:bottom w:val="single" w:sz="8" w:space="0" w:color="95B3D7"/>
              <w:right w:val="single" w:sz="8" w:space="0" w:color="95B3D7"/>
            </w:tcBorders>
            <w:shd w:val="clear" w:color="auto" w:fill="auto"/>
            <w:noWrap/>
            <w:vAlign w:val="center"/>
          </w:tcPr>
          <w:p w14:paraId="118BBF3F"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3,1</w:t>
            </w:r>
          </w:p>
        </w:tc>
        <w:tc>
          <w:tcPr>
            <w:tcW w:w="697" w:type="pct"/>
            <w:tcBorders>
              <w:top w:val="nil"/>
              <w:left w:val="nil"/>
              <w:bottom w:val="single" w:sz="8" w:space="0" w:color="95B3D7"/>
              <w:right w:val="single" w:sz="8" w:space="0" w:color="95B3D7"/>
            </w:tcBorders>
            <w:shd w:val="clear" w:color="auto" w:fill="auto"/>
            <w:noWrap/>
            <w:vAlign w:val="center"/>
          </w:tcPr>
          <w:p w14:paraId="39347DB3"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2,9</w:t>
            </w:r>
          </w:p>
        </w:tc>
      </w:tr>
      <w:tr w:rsidR="007B6BE3" w:rsidRPr="0087376B" w14:paraId="01A1B7D4" w14:textId="77777777" w:rsidTr="007B6BE3">
        <w:trPr>
          <w:trHeight w:val="339"/>
          <w:jc w:val="center"/>
        </w:trPr>
        <w:tc>
          <w:tcPr>
            <w:tcW w:w="2202" w:type="pct"/>
            <w:tcBorders>
              <w:top w:val="nil"/>
              <w:left w:val="single" w:sz="8" w:space="0" w:color="95B3D7"/>
              <w:bottom w:val="single" w:sz="8" w:space="0" w:color="95B3D7"/>
              <w:right w:val="single" w:sz="8" w:space="0" w:color="95B3D7"/>
            </w:tcBorders>
            <w:shd w:val="clear" w:color="000000" w:fill="DBE5F1"/>
            <w:noWrap/>
            <w:vAlign w:val="center"/>
            <w:hideMark/>
          </w:tcPr>
          <w:p w14:paraId="45EA21FF"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Сјеверна</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Македонија</w:t>
            </w:r>
          </w:p>
        </w:tc>
        <w:tc>
          <w:tcPr>
            <w:tcW w:w="707" w:type="pct"/>
            <w:tcBorders>
              <w:top w:val="nil"/>
              <w:left w:val="nil"/>
              <w:bottom w:val="single" w:sz="8" w:space="0" w:color="95B3D7"/>
              <w:right w:val="single" w:sz="8" w:space="0" w:color="95B3D7"/>
            </w:tcBorders>
            <w:shd w:val="clear" w:color="000000" w:fill="DBE5F1"/>
            <w:noWrap/>
            <w:vAlign w:val="center"/>
          </w:tcPr>
          <w:p w14:paraId="42271E43"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2,1</w:t>
            </w:r>
          </w:p>
        </w:tc>
        <w:tc>
          <w:tcPr>
            <w:tcW w:w="697" w:type="pct"/>
            <w:tcBorders>
              <w:top w:val="nil"/>
              <w:left w:val="nil"/>
              <w:bottom w:val="single" w:sz="8" w:space="0" w:color="95B3D7"/>
              <w:right w:val="single" w:sz="8" w:space="0" w:color="95B3D7"/>
            </w:tcBorders>
            <w:shd w:val="clear" w:color="000000" w:fill="DBE5F1"/>
            <w:noWrap/>
            <w:vAlign w:val="center"/>
          </w:tcPr>
          <w:p w14:paraId="71C0B605"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2,4</w:t>
            </w:r>
          </w:p>
        </w:tc>
        <w:tc>
          <w:tcPr>
            <w:tcW w:w="697" w:type="pct"/>
            <w:tcBorders>
              <w:top w:val="nil"/>
              <w:left w:val="nil"/>
              <w:bottom w:val="single" w:sz="8" w:space="0" w:color="95B3D7"/>
              <w:right w:val="single" w:sz="8" w:space="0" w:color="95B3D7"/>
            </w:tcBorders>
            <w:shd w:val="clear" w:color="000000" w:fill="DBE5F1"/>
            <w:noWrap/>
            <w:vAlign w:val="center"/>
          </w:tcPr>
          <w:p w14:paraId="0913DB2D"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2,7</w:t>
            </w:r>
          </w:p>
        </w:tc>
        <w:tc>
          <w:tcPr>
            <w:tcW w:w="697" w:type="pct"/>
            <w:tcBorders>
              <w:top w:val="nil"/>
              <w:left w:val="nil"/>
              <w:bottom w:val="single" w:sz="8" w:space="0" w:color="95B3D7"/>
              <w:right w:val="single" w:sz="8" w:space="0" w:color="95B3D7"/>
            </w:tcBorders>
            <w:shd w:val="clear" w:color="000000" w:fill="DBE5F1"/>
            <w:noWrap/>
            <w:vAlign w:val="center"/>
          </w:tcPr>
          <w:p w14:paraId="59CBFC7A"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2,9</w:t>
            </w:r>
          </w:p>
        </w:tc>
      </w:tr>
      <w:tr w:rsidR="007B6BE3" w:rsidRPr="0087376B" w14:paraId="50457A3E" w14:textId="77777777" w:rsidTr="007B6BE3">
        <w:trPr>
          <w:trHeight w:val="339"/>
          <w:jc w:val="center"/>
        </w:trPr>
        <w:tc>
          <w:tcPr>
            <w:tcW w:w="2202" w:type="pct"/>
            <w:tcBorders>
              <w:top w:val="nil"/>
              <w:left w:val="single" w:sz="8" w:space="0" w:color="95B3D7"/>
              <w:bottom w:val="single" w:sz="8" w:space="0" w:color="95B3D7"/>
              <w:right w:val="single" w:sz="8" w:space="0" w:color="95B3D7"/>
            </w:tcBorders>
            <w:shd w:val="clear" w:color="auto" w:fill="auto"/>
            <w:noWrap/>
            <w:vAlign w:val="center"/>
            <w:hideMark/>
          </w:tcPr>
          <w:p w14:paraId="3415FBE2"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Србија</w:t>
            </w:r>
          </w:p>
        </w:tc>
        <w:tc>
          <w:tcPr>
            <w:tcW w:w="707" w:type="pct"/>
            <w:tcBorders>
              <w:top w:val="nil"/>
              <w:left w:val="nil"/>
              <w:bottom w:val="single" w:sz="8" w:space="0" w:color="95B3D7"/>
              <w:right w:val="single" w:sz="8" w:space="0" w:color="95B3D7"/>
            </w:tcBorders>
            <w:shd w:val="clear" w:color="auto" w:fill="auto"/>
            <w:noWrap/>
            <w:vAlign w:val="center"/>
          </w:tcPr>
          <w:p w14:paraId="4A6CEBF6"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2,3</w:t>
            </w:r>
          </w:p>
        </w:tc>
        <w:tc>
          <w:tcPr>
            <w:tcW w:w="697" w:type="pct"/>
            <w:tcBorders>
              <w:top w:val="nil"/>
              <w:left w:val="nil"/>
              <w:bottom w:val="single" w:sz="8" w:space="0" w:color="95B3D7"/>
              <w:right w:val="single" w:sz="8" w:space="0" w:color="95B3D7"/>
            </w:tcBorders>
            <w:shd w:val="clear" w:color="auto" w:fill="auto"/>
            <w:noWrap/>
            <w:vAlign w:val="center"/>
          </w:tcPr>
          <w:p w14:paraId="4FA5200F"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2,3</w:t>
            </w:r>
          </w:p>
        </w:tc>
        <w:tc>
          <w:tcPr>
            <w:tcW w:w="697" w:type="pct"/>
            <w:tcBorders>
              <w:top w:val="nil"/>
              <w:left w:val="nil"/>
              <w:bottom w:val="single" w:sz="8" w:space="0" w:color="95B3D7"/>
              <w:right w:val="single" w:sz="8" w:space="0" w:color="95B3D7"/>
            </w:tcBorders>
            <w:shd w:val="clear" w:color="auto" w:fill="auto"/>
            <w:noWrap/>
            <w:vAlign w:val="center"/>
          </w:tcPr>
          <w:p w14:paraId="0CCBBFF6" w14:textId="3D44FB4E"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w:t>
            </w:r>
            <w:r w:rsidR="00E655AE">
              <w:rPr>
                <w:rFonts w:ascii="Arial Narrow" w:eastAsia="Times New Roman" w:hAnsi="Arial Narrow" w:cs="Calibri"/>
                <w:color w:val="000000"/>
              </w:rPr>
              <w:t>,0</w:t>
            </w:r>
          </w:p>
        </w:tc>
        <w:tc>
          <w:tcPr>
            <w:tcW w:w="697" w:type="pct"/>
            <w:tcBorders>
              <w:top w:val="nil"/>
              <w:left w:val="nil"/>
              <w:bottom w:val="single" w:sz="8" w:space="0" w:color="95B3D7"/>
              <w:right w:val="single" w:sz="8" w:space="0" w:color="95B3D7"/>
            </w:tcBorders>
            <w:shd w:val="clear" w:color="auto" w:fill="auto"/>
            <w:noWrap/>
            <w:vAlign w:val="center"/>
          </w:tcPr>
          <w:p w14:paraId="7F8FF20B"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3,8</w:t>
            </w:r>
          </w:p>
        </w:tc>
      </w:tr>
      <w:tr w:rsidR="007B6BE3" w:rsidRPr="0087376B" w14:paraId="485325DC" w14:textId="77777777" w:rsidTr="007B6BE3">
        <w:trPr>
          <w:trHeight w:val="339"/>
          <w:jc w:val="center"/>
        </w:trPr>
        <w:tc>
          <w:tcPr>
            <w:tcW w:w="2202" w:type="pct"/>
            <w:tcBorders>
              <w:top w:val="nil"/>
              <w:left w:val="single" w:sz="8" w:space="0" w:color="95B3D7"/>
              <w:bottom w:val="single" w:sz="8" w:space="0" w:color="95B3D7"/>
              <w:right w:val="single" w:sz="8" w:space="0" w:color="95B3D7"/>
            </w:tcBorders>
            <w:shd w:val="clear" w:color="000000" w:fill="DBE5F1"/>
            <w:noWrap/>
            <w:vAlign w:val="center"/>
            <w:hideMark/>
          </w:tcPr>
          <w:p w14:paraId="146F8C3F"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Западни</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Балкан</w:t>
            </w:r>
          </w:p>
        </w:tc>
        <w:tc>
          <w:tcPr>
            <w:tcW w:w="707" w:type="pct"/>
            <w:tcBorders>
              <w:top w:val="nil"/>
              <w:left w:val="nil"/>
              <w:bottom w:val="single" w:sz="8" w:space="0" w:color="95B3D7"/>
              <w:right w:val="single" w:sz="8" w:space="0" w:color="95B3D7"/>
            </w:tcBorders>
            <w:shd w:val="clear" w:color="000000" w:fill="DBE5F1"/>
            <w:noWrap/>
            <w:vAlign w:val="center"/>
          </w:tcPr>
          <w:p w14:paraId="1663F9B2"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3,2</w:t>
            </w:r>
          </w:p>
        </w:tc>
        <w:tc>
          <w:tcPr>
            <w:tcW w:w="697" w:type="pct"/>
            <w:tcBorders>
              <w:top w:val="nil"/>
              <w:left w:val="nil"/>
              <w:bottom w:val="single" w:sz="8" w:space="0" w:color="95B3D7"/>
              <w:right w:val="single" w:sz="8" w:space="0" w:color="95B3D7"/>
            </w:tcBorders>
            <w:shd w:val="clear" w:color="000000" w:fill="DBE5F1"/>
            <w:noWrap/>
            <w:vAlign w:val="center"/>
          </w:tcPr>
          <w:p w14:paraId="146EECF8"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2,6</w:t>
            </w:r>
          </w:p>
        </w:tc>
        <w:tc>
          <w:tcPr>
            <w:tcW w:w="697" w:type="pct"/>
            <w:tcBorders>
              <w:top w:val="nil"/>
              <w:left w:val="nil"/>
              <w:bottom w:val="single" w:sz="8" w:space="0" w:color="95B3D7"/>
              <w:right w:val="single" w:sz="8" w:space="0" w:color="95B3D7"/>
            </w:tcBorders>
            <w:shd w:val="clear" w:color="000000" w:fill="DBE5F1"/>
            <w:noWrap/>
            <w:vAlign w:val="center"/>
          </w:tcPr>
          <w:p w14:paraId="7E85AE9F"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3,1</w:t>
            </w:r>
          </w:p>
        </w:tc>
        <w:tc>
          <w:tcPr>
            <w:tcW w:w="697" w:type="pct"/>
            <w:tcBorders>
              <w:top w:val="nil"/>
              <w:left w:val="nil"/>
              <w:bottom w:val="single" w:sz="8" w:space="0" w:color="95B3D7"/>
              <w:right w:val="single" w:sz="8" w:space="0" w:color="95B3D7"/>
            </w:tcBorders>
            <w:shd w:val="clear" w:color="000000" w:fill="DBE5F1"/>
            <w:noWrap/>
            <w:vAlign w:val="center"/>
          </w:tcPr>
          <w:p w14:paraId="6989035E" w14:textId="77777777" w:rsidR="007B6BE3" w:rsidRPr="0087376B" w:rsidRDefault="007B6BE3" w:rsidP="007B6BE3">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3,5</w:t>
            </w:r>
          </w:p>
        </w:tc>
      </w:tr>
    </w:tbl>
    <w:p w14:paraId="38E0344D" w14:textId="77777777" w:rsidR="007B6BE3" w:rsidRPr="0087376B" w:rsidRDefault="005B20F8" w:rsidP="007B6BE3">
      <w:pPr>
        <w:jc w:val="center"/>
        <w:rPr>
          <w:rFonts w:ascii="Arial" w:hAnsi="Arial" w:cs="Arial"/>
          <w:sz w:val="18"/>
        </w:rPr>
      </w:pPr>
      <w:r>
        <w:rPr>
          <w:rFonts w:ascii="Arial" w:hAnsi="Arial" w:cs="Arial"/>
          <w:sz w:val="18"/>
        </w:rPr>
        <w:t>Извор</w:t>
      </w:r>
      <w:r w:rsidR="007B6BE3" w:rsidRPr="0087376B">
        <w:rPr>
          <w:rFonts w:ascii="Arial" w:hAnsi="Arial" w:cs="Arial"/>
          <w:sz w:val="18"/>
        </w:rPr>
        <w:t xml:space="preserve">: </w:t>
      </w:r>
      <w:r>
        <w:rPr>
          <w:rFonts w:ascii="Arial" w:hAnsi="Arial" w:cs="Arial"/>
          <w:sz w:val="18"/>
        </w:rPr>
        <w:t>Свјетска</w:t>
      </w:r>
      <w:r w:rsidR="007B6BE3" w:rsidRPr="0087376B">
        <w:rPr>
          <w:rFonts w:ascii="Arial" w:hAnsi="Arial" w:cs="Arial"/>
          <w:sz w:val="18"/>
        </w:rPr>
        <w:t xml:space="preserve"> </w:t>
      </w:r>
      <w:r>
        <w:rPr>
          <w:rFonts w:ascii="Arial" w:hAnsi="Arial" w:cs="Arial"/>
          <w:sz w:val="18"/>
        </w:rPr>
        <w:t>банка</w:t>
      </w:r>
      <w:r w:rsidR="007B6BE3" w:rsidRPr="0087376B">
        <w:rPr>
          <w:rFonts w:ascii="Arial" w:hAnsi="Arial" w:cs="Arial"/>
          <w:sz w:val="18"/>
        </w:rPr>
        <w:t xml:space="preserve">, </w:t>
      </w:r>
      <w:r>
        <w:rPr>
          <w:rFonts w:ascii="Arial" w:hAnsi="Arial" w:cs="Arial"/>
          <w:sz w:val="18"/>
        </w:rPr>
        <w:t>Редовни</w:t>
      </w:r>
      <w:r w:rsidR="007B6BE3" w:rsidRPr="0087376B">
        <w:rPr>
          <w:rFonts w:ascii="Arial" w:hAnsi="Arial" w:cs="Arial"/>
          <w:sz w:val="18"/>
        </w:rPr>
        <w:t xml:space="preserve"> </w:t>
      </w:r>
      <w:r>
        <w:rPr>
          <w:rFonts w:ascii="Arial" w:hAnsi="Arial" w:cs="Arial"/>
          <w:sz w:val="18"/>
        </w:rPr>
        <w:t>економски</w:t>
      </w:r>
      <w:r w:rsidR="007B6BE3" w:rsidRPr="0087376B">
        <w:rPr>
          <w:rFonts w:ascii="Arial" w:hAnsi="Arial" w:cs="Arial"/>
          <w:sz w:val="18"/>
        </w:rPr>
        <w:t xml:space="preserve"> </w:t>
      </w:r>
      <w:r>
        <w:rPr>
          <w:rFonts w:ascii="Arial" w:hAnsi="Arial" w:cs="Arial"/>
          <w:sz w:val="18"/>
        </w:rPr>
        <w:t>извјештај</w:t>
      </w:r>
      <w:r w:rsidR="007B6BE3" w:rsidRPr="0087376B">
        <w:rPr>
          <w:rFonts w:ascii="Arial" w:hAnsi="Arial" w:cs="Arial"/>
          <w:sz w:val="18"/>
        </w:rPr>
        <w:t xml:space="preserve">, </w:t>
      </w:r>
      <w:r>
        <w:rPr>
          <w:rFonts w:ascii="Arial" w:hAnsi="Arial" w:cs="Arial"/>
          <w:sz w:val="18"/>
        </w:rPr>
        <w:t>Бр</w:t>
      </w:r>
      <w:r w:rsidR="007B6BE3" w:rsidRPr="0087376B">
        <w:rPr>
          <w:rFonts w:ascii="Arial" w:hAnsi="Arial" w:cs="Arial"/>
          <w:sz w:val="18"/>
        </w:rPr>
        <w:t xml:space="preserve">. 23, </w:t>
      </w:r>
      <w:r>
        <w:rPr>
          <w:rFonts w:ascii="Arial" w:hAnsi="Arial" w:cs="Arial"/>
          <w:sz w:val="18"/>
        </w:rPr>
        <w:t>прољеће</w:t>
      </w:r>
      <w:r w:rsidR="007B6BE3" w:rsidRPr="0087376B">
        <w:rPr>
          <w:rFonts w:ascii="Arial" w:hAnsi="Arial" w:cs="Arial"/>
          <w:sz w:val="18"/>
        </w:rPr>
        <w:t xml:space="preserve"> 2023</w:t>
      </w:r>
    </w:p>
    <w:p w14:paraId="0C433D7A" w14:textId="77777777" w:rsidR="007B6BE3" w:rsidRPr="0087376B" w:rsidRDefault="005B20F8" w:rsidP="007B6BE3">
      <w:pPr>
        <w:ind w:firstLine="420"/>
        <w:jc w:val="both"/>
        <w:rPr>
          <w:rFonts w:ascii="Arial" w:hAnsi="Arial" w:cs="Arial"/>
        </w:rPr>
      </w:pPr>
      <w:r>
        <w:rPr>
          <w:rFonts w:ascii="Arial" w:hAnsi="Arial" w:cs="Arial"/>
        </w:rPr>
        <w:t>Према</w:t>
      </w:r>
      <w:r w:rsidR="007B6BE3" w:rsidRPr="0087376B">
        <w:rPr>
          <w:rFonts w:ascii="Arial" w:hAnsi="Arial" w:cs="Arial"/>
        </w:rPr>
        <w:t xml:space="preserve"> </w:t>
      </w:r>
      <w:r>
        <w:rPr>
          <w:rFonts w:ascii="Arial" w:hAnsi="Arial" w:cs="Arial"/>
        </w:rPr>
        <w:t>индексу</w:t>
      </w:r>
      <w:r w:rsidR="007B6BE3" w:rsidRPr="0087376B">
        <w:rPr>
          <w:rFonts w:ascii="Arial" w:hAnsi="Arial" w:cs="Arial"/>
        </w:rPr>
        <w:t xml:space="preserve"> </w:t>
      </w:r>
      <w:r>
        <w:rPr>
          <w:rFonts w:ascii="Arial" w:hAnsi="Arial" w:cs="Arial"/>
        </w:rPr>
        <w:t>потрошачких</w:t>
      </w:r>
      <w:r w:rsidR="007B6BE3" w:rsidRPr="0087376B">
        <w:rPr>
          <w:rFonts w:ascii="Arial" w:hAnsi="Arial" w:cs="Arial"/>
        </w:rPr>
        <w:t xml:space="preserve"> </w:t>
      </w:r>
      <w:r>
        <w:rPr>
          <w:rFonts w:ascii="Arial" w:hAnsi="Arial" w:cs="Arial"/>
        </w:rPr>
        <w:t>цијена</w:t>
      </w:r>
      <w:r w:rsidR="007B6BE3" w:rsidRPr="0087376B">
        <w:rPr>
          <w:rFonts w:ascii="Arial" w:hAnsi="Arial" w:cs="Arial"/>
        </w:rPr>
        <w:t xml:space="preserve"> </w:t>
      </w:r>
      <w:r>
        <w:rPr>
          <w:rFonts w:ascii="Arial" w:hAnsi="Arial" w:cs="Arial"/>
        </w:rPr>
        <w:t>инфлација</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нивоу</w:t>
      </w:r>
      <w:r w:rsidR="007B6BE3" w:rsidRPr="0087376B">
        <w:rPr>
          <w:rFonts w:ascii="Arial" w:hAnsi="Arial" w:cs="Arial"/>
        </w:rPr>
        <w:t xml:space="preserve"> </w:t>
      </w:r>
      <w:r>
        <w:rPr>
          <w:rFonts w:ascii="Arial" w:hAnsi="Arial" w:cs="Arial"/>
        </w:rPr>
        <w:t>регије</w:t>
      </w:r>
      <w:r w:rsidR="007B6BE3" w:rsidRPr="0087376B">
        <w:rPr>
          <w:rFonts w:ascii="Arial" w:hAnsi="Arial" w:cs="Arial"/>
        </w:rPr>
        <w:t xml:space="preserve"> </w:t>
      </w:r>
      <w:r>
        <w:rPr>
          <w:rFonts w:ascii="Arial" w:hAnsi="Arial" w:cs="Arial"/>
        </w:rPr>
        <w:t>износила</w:t>
      </w:r>
      <w:r w:rsidR="007B6BE3" w:rsidRPr="0087376B">
        <w:rPr>
          <w:rFonts w:ascii="Arial" w:hAnsi="Arial" w:cs="Arial"/>
        </w:rPr>
        <w:t xml:space="preserve"> 11,8% </w:t>
      </w:r>
      <w:r>
        <w:rPr>
          <w:rFonts w:ascii="Arial" w:hAnsi="Arial" w:cs="Arial"/>
        </w:rPr>
        <w:t>у</w:t>
      </w:r>
      <w:r w:rsidR="007B6BE3" w:rsidRPr="0087376B">
        <w:rPr>
          <w:rFonts w:ascii="Arial" w:hAnsi="Arial" w:cs="Arial"/>
        </w:rPr>
        <w:t xml:space="preserve"> 2022. </w:t>
      </w:r>
      <w:r>
        <w:rPr>
          <w:rFonts w:ascii="Arial" w:hAnsi="Arial" w:cs="Arial"/>
        </w:rPr>
        <w:t>години</w:t>
      </w:r>
      <w:r w:rsidR="007B6BE3" w:rsidRPr="0087376B">
        <w:rPr>
          <w:rFonts w:ascii="Arial" w:hAnsi="Arial" w:cs="Arial"/>
        </w:rPr>
        <w:t xml:space="preserve"> </w:t>
      </w:r>
      <w:r>
        <w:rPr>
          <w:rFonts w:ascii="Arial" w:hAnsi="Arial" w:cs="Arial"/>
        </w:rPr>
        <w:t>што</w:t>
      </w:r>
      <w:r w:rsidR="007B6BE3" w:rsidRPr="0087376B">
        <w:rPr>
          <w:rFonts w:ascii="Arial" w:hAnsi="Arial" w:cs="Arial"/>
        </w:rPr>
        <w:t xml:space="preserve"> </w:t>
      </w:r>
      <w:r>
        <w:rPr>
          <w:rFonts w:ascii="Arial" w:hAnsi="Arial" w:cs="Arial"/>
        </w:rPr>
        <w:t>представља</w:t>
      </w:r>
      <w:r w:rsidR="007B6BE3" w:rsidRPr="0087376B">
        <w:rPr>
          <w:rFonts w:ascii="Arial" w:hAnsi="Arial" w:cs="Arial"/>
        </w:rPr>
        <w:t xml:space="preserve"> </w:t>
      </w:r>
      <w:r>
        <w:rPr>
          <w:rFonts w:ascii="Arial" w:hAnsi="Arial" w:cs="Arial"/>
        </w:rPr>
        <w:t>највиши</w:t>
      </w:r>
      <w:r w:rsidR="007B6BE3" w:rsidRPr="0087376B">
        <w:rPr>
          <w:rFonts w:ascii="Arial" w:hAnsi="Arial" w:cs="Arial"/>
        </w:rPr>
        <w:t xml:space="preserve"> </w:t>
      </w:r>
      <w:r>
        <w:rPr>
          <w:rFonts w:ascii="Arial" w:hAnsi="Arial" w:cs="Arial"/>
        </w:rPr>
        <w:t>ниво</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протеклих</w:t>
      </w:r>
      <w:r w:rsidR="007B6BE3" w:rsidRPr="0087376B">
        <w:rPr>
          <w:rFonts w:ascii="Arial" w:hAnsi="Arial" w:cs="Arial"/>
        </w:rPr>
        <w:t xml:space="preserve"> 20 </w:t>
      </w:r>
      <w:r>
        <w:rPr>
          <w:rFonts w:ascii="Arial" w:hAnsi="Arial" w:cs="Arial"/>
        </w:rPr>
        <w:t>година</w:t>
      </w:r>
      <w:r w:rsidR="007B6BE3" w:rsidRPr="0087376B">
        <w:rPr>
          <w:rFonts w:ascii="Arial" w:hAnsi="Arial" w:cs="Arial"/>
        </w:rPr>
        <w:t xml:space="preserve">. </w:t>
      </w:r>
      <w:r>
        <w:rPr>
          <w:rFonts w:ascii="Arial" w:hAnsi="Arial" w:cs="Arial"/>
        </w:rPr>
        <w:t>Врхунац</w:t>
      </w:r>
      <w:r w:rsidR="007B6BE3" w:rsidRPr="0087376B">
        <w:rPr>
          <w:rFonts w:ascii="Arial" w:hAnsi="Arial" w:cs="Arial"/>
        </w:rPr>
        <w:t xml:space="preserve"> </w:t>
      </w:r>
      <w:r>
        <w:rPr>
          <w:rFonts w:ascii="Arial" w:hAnsi="Arial" w:cs="Arial"/>
        </w:rPr>
        <w:t>инфлације</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већини</w:t>
      </w:r>
      <w:r w:rsidR="007B6BE3" w:rsidRPr="0087376B">
        <w:rPr>
          <w:rFonts w:ascii="Arial" w:hAnsi="Arial" w:cs="Arial"/>
        </w:rPr>
        <w:t xml:space="preserve"> </w:t>
      </w:r>
      <w:r>
        <w:rPr>
          <w:rFonts w:ascii="Arial" w:hAnsi="Arial" w:cs="Arial"/>
        </w:rPr>
        <w:t>земаља</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досегнут</w:t>
      </w:r>
      <w:r w:rsidR="007B6BE3" w:rsidRPr="0087376B">
        <w:rPr>
          <w:rFonts w:ascii="Arial" w:hAnsi="Arial" w:cs="Arial"/>
        </w:rPr>
        <w:t xml:space="preserve"> </w:t>
      </w:r>
      <w:r>
        <w:rPr>
          <w:rFonts w:ascii="Arial" w:hAnsi="Arial" w:cs="Arial"/>
        </w:rPr>
        <w:t>пред</w:t>
      </w:r>
      <w:r w:rsidR="007B6BE3" w:rsidRPr="0087376B">
        <w:rPr>
          <w:rFonts w:ascii="Arial" w:hAnsi="Arial" w:cs="Arial"/>
        </w:rPr>
        <w:t xml:space="preserve"> </w:t>
      </w:r>
      <w:r>
        <w:rPr>
          <w:rFonts w:ascii="Arial" w:hAnsi="Arial" w:cs="Arial"/>
        </w:rPr>
        <w:t>крај</w:t>
      </w:r>
      <w:r w:rsidR="007B6BE3" w:rsidRPr="0087376B">
        <w:rPr>
          <w:rFonts w:ascii="Arial" w:hAnsi="Arial" w:cs="Arial"/>
        </w:rPr>
        <w:t xml:space="preserve"> 2022. </w:t>
      </w:r>
      <w:r>
        <w:rPr>
          <w:rFonts w:ascii="Arial" w:hAnsi="Arial" w:cs="Arial"/>
        </w:rPr>
        <w:t>године</w:t>
      </w:r>
      <w:r w:rsidR="007B6BE3" w:rsidRPr="0087376B">
        <w:rPr>
          <w:rFonts w:ascii="Arial" w:hAnsi="Arial" w:cs="Arial"/>
        </w:rPr>
        <w:t xml:space="preserve">, </w:t>
      </w:r>
      <w:r>
        <w:rPr>
          <w:rFonts w:ascii="Arial" w:hAnsi="Arial" w:cs="Arial"/>
        </w:rPr>
        <w:t>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текућој</w:t>
      </w:r>
      <w:r w:rsidR="007B6BE3" w:rsidRPr="0087376B">
        <w:rPr>
          <w:rFonts w:ascii="Arial" w:hAnsi="Arial" w:cs="Arial"/>
        </w:rPr>
        <w:t xml:space="preserve"> </w:t>
      </w:r>
      <w:r>
        <w:rPr>
          <w:rFonts w:ascii="Arial" w:hAnsi="Arial" w:cs="Arial"/>
        </w:rPr>
        <w:t>години</w:t>
      </w:r>
      <w:r w:rsidR="007B6BE3" w:rsidRPr="0087376B">
        <w:rPr>
          <w:rFonts w:ascii="Arial" w:hAnsi="Arial" w:cs="Arial"/>
        </w:rPr>
        <w:t xml:space="preserve"> </w:t>
      </w:r>
      <w:r>
        <w:rPr>
          <w:rFonts w:ascii="Arial" w:hAnsi="Arial" w:cs="Arial"/>
        </w:rPr>
        <w:t>видљиви</w:t>
      </w:r>
      <w:r w:rsidR="007B6BE3" w:rsidRPr="0087376B">
        <w:rPr>
          <w:rFonts w:ascii="Arial" w:hAnsi="Arial" w:cs="Arial"/>
        </w:rPr>
        <w:t xml:space="preserve"> </w:t>
      </w:r>
      <w:r>
        <w:rPr>
          <w:rFonts w:ascii="Arial" w:hAnsi="Arial" w:cs="Arial"/>
        </w:rPr>
        <w:t>су</w:t>
      </w:r>
      <w:r w:rsidR="007B6BE3" w:rsidRPr="0087376B">
        <w:rPr>
          <w:rFonts w:ascii="Arial" w:hAnsi="Arial" w:cs="Arial"/>
        </w:rPr>
        <w:t xml:space="preserve"> </w:t>
      </w:r>
      <w:r>
        <w:rPr>
          <w:rFonts w:ascii="Arial" w:hAnsi="Arial" w:cs="Arial"/>
        </w:rPr>
        <w:t>показатељи</w:t>
      </w:r>
      <w:r w:rsidR="007B6BE3" w:rsidRPr="0087376B">
        <w:rPr>
          <w:rFonts w:ascii="Arial" w:hAnsi="Arial" w:cs="Arial"/>
        </w:rPr>
        <w:t xml:space="preserve"> </w:t>
      </w:r>
      <w:r>
        <w:rPr>
          <w:rFonts w:ascii="Arial" w:hAnsi="Arial" w:cs="Arial"/>
        </w:rPr>
        <w:t>њеног</w:t>
      </w:r>
      <w:r w:rsidR="007B6BE3" w:rsidRPr="0087376B">
        <w:rPr>
          <w:rFonts w:ascii="Arial" w:hAnsi="Arial" w:cs="Arial"/>
        </w:rPr>
        <w:t xml:space="preserve"> </w:t>
      </w:r>
      <w:r>
        <w:rPr>
          <w:rFonts w:ascii="Arial" w:hAnsi="Arial" w:cs="Arial"/>
        </w:rPr>
        <w:t>стишавања</w:t>
      </w:r>
      <w:r w:rsidR="007B6BE3" w:rsidRPr="0087376B">
        <w:rPr>
          <w:rFonts w:ascii="Arial" w:hAnsi="Arial" w:cs="Arial"/>
        </w:rPr>
        <w:t xml:space="preserve">, </w:t>
      </w:r>
      <w:r>
        <w:rPr>
          <w:rFonts w:ascii="Arial" w:hAnsi="Arial" w:cs="Arial"/>
        </w:rPr>
        <w:t>мада</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процијењена</w:t>
      </w:r>
      <w:r w:rsidR="007B6BE3" w:rsidRPr="0087376B">
        <w:rPr>
          <w:rFonts w:ascii="Arial" w:hAnsi="Arial" w:cs="Arial"/>
        </w:rPr>
        <w:t xml:space="preserve"> </w:t>
      </w:r>
      <w:r>
        <w:rPr>
          <w:rFonts w:ascii="Arial" w:hAnsi="Arial" w:cs="Arial"/>
        </w:rPr>
        <w:t>вриједност</w:t>
      </w:r>
      <w:r w:rsidR="007B6BE3" w:rsidRPr="0087376B">
        <w:rPr>
          <w:rFonts w:ascii="Arial" w:hAnsi="Arial" w:cs="Arial"/>
        </w:rPr>
        <w:t xml:space="preserve"> </w:t>
      </w:r>
      <w:r>
        <w:rPr>
          <w:rFonts w:ascii="Arial" w:hAnsi="Arial" w:cs="Arial"/>
        </w:rPr>
        <w:t>за</w:t>
      </w:r>
      <w:r w:rsidR="007B6BE3" w:rsidRPr="0087376B">
        <w:rPr>
          <w:rFonts w:ascii="Arial" w:hAnsi="Arial" w:cs="Arial"/>
        </w:rPr>
        <w:t xml:space="preserve"> 2023. </w:t>
      </w:r>
      <w:r>
        <w:rPr>
          <w:rFonts w:ascii="Arial" w:hAnsi="Arial" w:cs="Arial"/>
        </w:rPr>
        <w:t>годину</w:t>
      </w:r>
      <w:r w:rsidR="007B6BE3" w:rsidRPr="0087376B">
        <w:rPr>
          <w:rFonts w:ascii="Arial" w:hAnsi="Arial" w:cs="Arial"/>
        </w:rPr>
        <w:t xml:space="preserve"> 7% </w:t>
      </w:r>
      <w:r>
        <w:rPr>
          <w:rFonts w:ascii="Arial" w:hAnsi="Arial" w:cs="Arial"/>
        </w:rPr>
        <w:t>што</w:t>
      </w:r>
      <w:r w:rsidR="007B6BE3" w:rsidRPr="0087376B">
        <w:rPr>
          <w:rFonts w:ascii="Arial" w:hAnsi="Arial" w:cs="Arial"/>
        </w:rPr>
        <w:t xml:space="preserve"> </w:t>
      </w:r>
      <w:r>
        <w:rPr>
          <w:rFonts w:ascii="Arial" w:hAnsi="Arial" w:cs="Arial"/>
        </w:rPr>
        <w:t>још</w:t>
      </w:r>
      <w:r w:rsidR="007B6BE3" w:rsidRPr="0087376B">
        <w:rPr>
          <w:rFonts w:ascii="Arial" w:hAnsi="Arial" w:cs="Arial"/>
        </w:rPr>
        <w:t xml:space="preserve"> </w:t>
      </w:r>
      <w:r>
        <w:rPr>
          <w:rFonts w:ascii="Arial" w:hAnsi="Arial" w:cs="Arial"/>
        </w:rPr>
        <w:t>увијек</w:t>
      </w:r>
      <w:r w:rsidR="007B6BE3" w:rsidRPr="0087376B">
        <w:rPr>
          <w:rFonts w:ascii="Arial" w:hAnsi="Arial" w:cs="Arial"/>
        </w:rPr>
        <w:t xml:space="preserve"> </w:t>
      </w:r>
      <w:r>
        <w:rPr>
          <w:rFonts w:ascii="Arial" w:hAnsi="Arial" w:cs="Arial"/>
        </w:rPr>
        <w:t>релативно</w:t>
      </w:r>
      <w:r w:rsidR="007B6BE3" w:rsidRPr="0087376B">
        <w:rPr>
          <w:rFonts w:ascii="Arial" w:hAnsi="Arial" w:cs="Arial"/>
        </w:rPr>
        <w:t xml:space="preserve"> </w:t>
      </w:r>
      <w:r>
        <w:rPr>
          <w:rFonts w:ascii="Arial" w:hAnsi="Arial" w:cs="Arial"/>
        </w:rPr>
        <w:t>високо</w:t>
      </w:r>
      <w:r w:rsidR="007B6BE3" w:rsidRPr="0087376B">
        <w:rPr>
          <w:rFonts w:ascii="Arial" w:hAnsi="Arial" w:cs="Arial"/>
        </w:rPr>
        <w:t xml:space="preserve">. </w:t>
      </w:r>
      <w:r>
        <w:rPr>
          <w:rFonts w:ascii="Arial" w:hAnsi="Arial" w:cs="Arial"/>
        </w:rPr>
        <w:t>Средњорочни</w:t>
      </w:r>
      <w:r w:rsidR="007B6BE3" w:rsidRPr="0087376B">
        <w:rPr>
          <w:rFonts w:ascii="Arial" w:hAnsi="Arial" w:cs="Arial"/>
        </w:rPr>
        <w:t xml:space="preserve"> </w:t>
      </w:r>
      <w:r>
        <w:rPr>
          <w:rFonts w:ascii="Arial" w:hAnsi="Arial" w:cs="Arial"/>
        </w:rPr>
        <w:t>изгледи</w:t>
      </w:r>
      <w:r w:rsidR="007B6BE3" w:rsidRPr="0087376B">
        <w:rPr>
          <w:rFonts w:ascii="Arial" w:hAnsi="Arial" w:cs="Arial"/>
        </w:rPr>
        <w:t xml:space="preserve"> </w:t>
      </w:r>
      <w:r>
        <w:rPr>
          <w:rFonts w:ascii="Arial" w:hAnsi="Arial" w:cs="Arial"/>
        </w:rPr>
        <w:t>за</w:t>
      </w:r>
      <w:r w:rsidR="007B6BE3" w:rsidRPr="0087376B">
        <w:rPr>
          <w:rFonts w:ascii="Arial" w:hAnsi="Arial" w:cs="Arial"/>
        </w:rPr>
        <w:t xml:space="preserve"> </w:t>
      </w:r>
      <w:r>
        <w:rPr>
          <w:rFonts w:ascii="Arial" w:hAnsi="Arial" w:cs="Arial"/>
        </w:rPr>
        <w:t>економије</w:t>
      </w:r>
      <w:r w:rsidR="007B6BE3" w:rsidRPr="0087376B">
        <w:rPr>
          <w:rFonts w:ascii="Arial" w:hAnsi="Arial" w:cs="Arial"/>
        </w:rPr>
        <w:t xml:space="preserve"> </w:t>
      </w:r>
      <w:r>
        <w:rPr>
          <w:rFonts w:ascii="Arial" w:hAnsi="Arial" w:cs="Arial"/>
        </w:rPr>
        <w:t>Западног</w:t>
      </w:r>
      <w:r w:rsidR="007B6BE3" w:rsidRPr="0087376B">
        <w:rPr>
          <w:rFonts w:ascii="Arial" w:hAnsi="Arial" w:cs="Arial"/>
        </w:rPr>
        <w:t xml:space="preserve"> </w:t>
      </w:r>
      <w:r>
        <w:rPr>
          <w:rFonts w:ascii="Arial" w:hAnsi="Arial" w:cs="Arial"/>
        </w:rPr>
        <w:t>Балкана</w:t>
      </w:r>
      <w:r w:rsidR="007B6BE3" w:rsidRPr="0087376B">
        <w:rPr>
          <w:rFonts w:ascii="Arial" w:hAnsi="Arial" w:cs="Arial"/>
        </w:rPr>
        <w:t xml:space="preserve"> </w:t>
      </w:r>
      <w:r>
        <w:rPr>
          <w:rFonts w:ascii="Arial" w:hAnsi="Arial" w:cs="Arial"/>
        </w:rPr>
        <w:t>су</w:t>
      </w:r>
      <w:r w:rsidR="007B6BE3" w:rsidRPr="0087376B">
        <w:rPr>
          <w:rFonts w:ascii="Arial" w:hAnsi="Arial" w:cs="Arial"/>
        </w:rPr>
        <w:t xml:space="preserve"> </w:t>
      </w:r>
      <w:r>
        <w:rPr>
          <w:rFonts w:ascii="Arial" w:hAnsi="Arial" w:cs="Arial"/>
        </w:rPr>
        <w:t>позитивни</w:t>
      </w:r>
      <w:r w:rsidR="007B6BE3" w:rsidRPr="0087376B">
        <w:rPr>
          <w:rFonts w:ascii="Arial" w:hAnsi="Arial" w:cs="Arial"/>
        </w:rPr>
        <w:t xml:space="preserve">, </w:t>
      </w:r>
      <w:r>
        <w:rPr>
          <w:rFonts w:ascii="Arial" w:hAnsi="Arial" w:cs="Arial"/>
        </w:rPr>
        <w:t>под</w:t>
      </w:r>
      <w:r w:rsidR="007B6BE3" w:rsidRPr="0087376B">
        <w:rPr>
          <w:rFonts w:ascii="Arial" w:hAnsi="Arial" w:cs="Arial"/>
        </w:rPr>
        <w:t xml:space="preserve"> </w:t>
      </w:r>
      <w:r>
        <w:rPr>
          <w:rFonts w:ascii="Arial" w:hAnsi="Arial" w:cs="Arial"/>
        </w:rPr>
        <w:t>условом</w:t>
      </w:r>
      <w:r w:rsidR="007B6BE3" w:rsidRPr="0087376B">
        <w:rPr>
          <w:rFonts w:ascii="Arial" w:hAnsi="Arial" w:cs="Arial"/>
        </w:rPr>
        <w:t xml:space="preserve"> </w:t>
      </w:r>
      <w:r>
        <w:rPr>
          <w:rFonts w:ascii="Arial" w:hAnsi="Arial" w:cs="Arial"/>
        </w:rPr>
        <w:t>провођења</w:t>
      </w:r>
      <w:r w:rsidR="007B6BE3" w:rsidRPr="0087376B">
        <w:rPr>
          <w:rFonts w:ascii="Arial" w:hAnsi="Arial" w:cs="Arial"/>
        </w:rPr>
        <w:t xml:space="preserve"> </w:t>
      </w:r>
      <w:r>
        <w:rPr>
          <w:rFonts w:ascii="Arial" w:hAnsi="Arial" w:cs="Arial"/>
        </w:rPr>
        <w:t>структурних</w:t>
      </w:r>
      <w:r w:rsidR="007B6BE3" w:rsidRPr="0087376B">
        <w:rPr>
          <w:rFonts w:ascii="Arial" w:hAnsi="Arial" w:cs="Arial"/>
        </w:rPr>
        <w:t xml:space="preserve"> </w:t>
      </w:r>
      <w:r>
        <w:rPr>
          <w:rFonts w:ascii="Arial" w:hAnsi="Arial" w:cs="Arial"/>
        </w:rPr>
        <w:t>реформи</w:t>
      </w:r>
      <w:r w:rsidR="007B6BE3" w:rsidRPr="0087376B">
        <w:rPr>
          <w:rFonts w:ascii="Arial" w:hAnsi="Arial" w:cs="Arial"/>
        </w:rPr>
        <w:t xml:space="preserve"> </w:t>
      </w:r>
      <w:r>
        <w:rPr>
          <w:rFonts w:ascii="Arial" w:hAnsi="Arial" w:cs="Arial"/>
        </w:rPr>
        <w:t>те</w:t>
      </w:r>
      <w:r w:rsidR="007B6BE3" w:rsidRPr="0087376B">
        <w:rPr>
          <w:rFonts w:ascii="Arial" w:hAnsi="Arial" w:cs="Arial"/>
        </w:rPr>
        <w:t xml:space="preserve"> </w:t>
      </w:r>
      <w:r>
        <w:rPr>
          <w:rFonts w:ascii="Arial" w:hAnsi="Arial" w:cs="Arial"/>
        </w:rPr>
        <w:t>убрзања</w:t>
      </w:r>
      <w:r w:rsidR="007B6BE3" w:rsidRPr="0087376B">
        <w:rPr>
          <w:rFonts w:ascii="Arial" w:hAnsi="Arial" w:cs="Arial"/>
        </w:rPr>
        <w:t xml:space="preserve"> </w:t>
      </w:r>
      <w:r>
        <w:rPr>
          <w:rFonts w:ascii="Arial" w:hAnsi="Arial" w:cs="Arial"/>
        </w:rPr>
        <w:t>процеса</w:t>
      </w:r>
      <w:r w:rsidR="007B6BE3" w:rsidRPr="0087376B">
        <w:rPr>
          <w:rFonts w:ascii="Arial" w:hAnsi="Arial" w:cs="Arial"/>
        </w:rPr>
        <w:t xml:space="preserve"> </w:t>
      </w:r>
      <w:r>
        <w:rPr>
          <w:rFonts w:ascii="Arial" w:hAnsi="Arial" w:cs="Arial"/>
        </w:rPr>
        <w:t>зелене</w:t>
      </w:r>
      <w:r w:rsidR="007B6BE3" w:rsidRPr="0087376B">
        <w:rPr>
          <w:rFonts w:ascii="Arial" w:hAnsi="Arial" w:cs="Arial"/>
        </w:rPr>
        <w:t xml:space="preserve"> </w:t>
      </w:r>
      <w:r>
        <w:rPr>
          <w:rFonts w:ascii="Arial" w:hAnsi="Arial" w:cs="Arial"/>
        </w:rPr>
        <w:t>транзиције</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улагања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област</w:t>
      </w:r>
      <w:r w:rsidR="007B6BE3" w:rsidRPr="0087376B">
        <w:rPr>
          <w:rFonts w:ascii="Arial" w:hAnsi="Arial" w:cs="Arial"/>
        </w:rPr>
        <w:t xml:space="preserve"> </w:t>
      </w:r>
      <w:r>
        <w:rPr>
          <w:rFonts w:ascii="Arial" w:hAnsi="Arial" w:cs="Arial"/>
        </w:rPr>
        <w:t>енергетске</w:t>
      </w:r>
      <w:r w:rsidR="007B6BE3" w:rsidRPr="0087376B">
        <w:rPr>
          <w:rFonts w:ascii="Arial" w:hAnsi="Arial" w:cs="Arial"/>
        </w:rPr>
        <w:t xml:space="preserve"> </w:t>
      </w:r>
      <w:r>
        <w:rPr>
          <w:rFonts w:ascii="Arial" w:hAnsi="Arial" w:cs="Arial"/>
        </w:rPr>
        <w:t>ефикасности</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складу</w:t>
      </w:r>
      <w:r w:rsidR="007B6BE3" w:rsidRPr="0087376B">
        <w:rPr>
          <w:rFonts w:ascii="Arial" w:hAnsi="Arial" w:cs="Arial"/>
        </w:rPr>
        <w:t xml:space="preserve"> </w:t>
      </w:r>
      <w:r>
        <w:rPr>
          <w:rFonts w:ascii="Arial" w:hAnsi="Arial" w:cs="Arial"/>
        </w:rPr>
        <w:t>са</w:t>
      </w:r>
      <w:r w:rsidR="007B6BE3" w:rsidRPr="0087376B">
        <w:rPr>
          <w:rFonts w:ascii="Arial" w:hAnsi="Arial" w:cs="Arial"/>
        </w:rPr>
        <w:t xml:space="preserve"> </w:t>
      </w:r>
      <w:r>
        <w:rPr>
          <w:rFonts w:ascii="Arial" w:hAnsi="Arial" w:cs="Arial"/>
        </w:rPr>
        <w:t>Зеленом</w:t>
      </w:r>
      <w:r w:rsidR="007B6BE3" w:rsidRPr="0087376B">
        <w:rPr>
          <w:rFonts w:ascii="Arial" w:hAnsi="Arial" w:cs="Arial"/>
        </w:rPr>
        <w:t xml:space="preserve"> </w:t>
      </w:r>
      <w:r>
        <w:rPr>
          <w:rFonts w:ascii="Arial" w:hAnsi="Arial" w:cs="Arial"/>
        </w:rPr>
        <w:t>агендом</w:t>
      </w:r>
      <w:r w:rsidR="007B6BE3" w:rsidRPr="0087376B">
        <w:rPr>
          <w:rFonts w:ascii="Arial" w:hAnsi="Arial" w:cs="Arial"/>
        </w:rPr>
        <w:t xml:space="preserve"> </w:t>
      </w:r>
      <w:r>
        <w:rPr>
          <w:rFonts w:ascii="Arial" w:hAnsi="Arial" w:cs="Arial"/>
        </w:rPr>
        <w:t>за</w:t>
      </w:r>
      <w:r w:rsidR="007B6BE3" w:rsidRPr="0087376B">
        <w:rPr>
          <w:rFonts w:ascii="Arial" w:hAnsi="Arial" w:cs="Arial"/>
        </w:rPr>
        <w:t xml:space="preserve"> </w:t>
      </w:r>
      <w:r>
        <w:rPr>
          <w:rFonts w:ascii="Arial" w:hAnsi="Arial" w:cs="Arial"/>
        </w:rPr>
        <w:t>Западни</w:t>
      </w:r>
      <w:r w:rsidR="007B6BE3" w:rsidRPr="0087376B">
        <w:rPr>
          <w:rFonts w:ascii="Arial" w:hAnsi="Arial" w:cs="Arial"/>
        </w:rPr>
        <w:t xml:space="preserve"> </w:t>
      </w:r>
      <w:r>
        <w:rPr>
          <w:rFonts w:ascii="Arial" w:hAnsi="Arial" w:cs="Arial"/>
        </w:rPr>
        <w:t>Балкан</w:t>
      </w:r>
      <w:r w:rsidR="007B6BE3" w:rsidRPr="0087376B">
        <w:rPr>
          <w:rFonts w:ascii="Arial" w:hAnsi="Arial" w:cs="Arial"/>
        </w:rPr>
        <w:t xml:space="preserve">. </w:t>
      </w:r>
    </w:p>
    <w:p w14:paraId="0A9A1A16" w14:textId="77777777" w:rsidR="007B6BE3" w:rsidRPr="0087376B" w:rsidRDefault="005B20F8" w:rsidP="007B6BE3">
      <w:pPr>
        <w:ind w:firstLine="420"/>
        <w:jc w:val="both"/>
        <w:rPr>
          <w:rFonts w:ascii="Arial" w:hAnsi="Arial" w:cs="Arial"/>
        </w:rPr>
      </w:pPr>
      <w:r>
        <w:rPr>
          <w:rFonts w:ascii="Arial" w:hAnsi="Arial" w:cs="Arial"/>
        </w:rPr>
        <w:t>Унаточ</w:t>
      </w:r>
      <w:r w:rsidR="007B6BE3" w:rsidRPr="0087376B">
        <w:rPr>
          <w:rFonts w:ascii="Arial" w:hAnsi="Arial" w:cs="Arial"/>
        </w:rPr>
        <w:t xml:space="preserve"> </w:t>
      </w:r>
      <w:r>
        <w:rPr>
          <w:rFonts w:ascii="Arial" w:hAnsi="Arial" w:cs="Arial"/>
        </w:rPr>
        <w:t>наведеном</w:t>
      </w:r>
      <w:r w:rsidR="009D7230">
        <w:rPr>
          <w:rFonts w:ascii="Arial" w:hAnsi="Arial" w:cs="Arial"/>
        </w:rPr>
        <w:t>,</w:t>
      </w:r>
      <w:r w:rsidR="007B6BE3" w:rsidRPr="0087376B">
        <w:rPr>
          <w:rFonts w:ascii="Arial" w:hAnsi="Arial" w:cs="Arial"/>
        </w:rPr>
        <w:t xml:space="preserve"> </w:t>
      </w:r>
      <w:r>
        <w:rPr>
          <w:rFonts w:ascii="Arial" w:hAnsi="Arial" w:cs="Arial"/>
        </w:rPr>
        <w:t>раст</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Босни</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Херцеговини</w:t>
      </w:r>
      <w:r w:rsidR="007B6BE3" w:rsidRPr="0087376B">
        <w:rPr>
          <w:rFonts w:ascii="Arial" w:hAnsi="Arial" w:cs="Arial"/>
        </w:rPr>
        <w:t xml:space="preserve"> </w:t>
      </w:r>
      <w:r>
        <w:rPr>
          <w:rFonts w:ascii="Arial" w:hAnsi="Arial" w:cs="Arial"/>
        </w:rPr>
        <w:t>показао</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виши</w:t>
      </w:r>
      <w:r w:rsidR="007B6BE3" w:rsidRPr="0087376B">
        <w:rPr>
          <w:rFonts w:ascii="Arial" w:hAnsi="Arial" w:cs="Arial"/>
        </w:rPr>
        <w:t xml:space="preserve"> </w:t>
      </w:r>
      <w:r>
        <w:rPr>
          <w:rFonts w:ascii="Arial" w:hAnsi="Arial" w:cs="Arial"/>
        </w:rPr>
        <w:t>од</w:t>
      </w:r>
      <w:r w:rsidR="007B6BE3" w:rsidRPr="0087376B">
        <w:rPr>
          <w:rFonts w:ascii="Arial" w:hAnsi="Arial" w:cs="Arial"/>
        </w:rPr>
        <w:t xml:space="preserve"> </w:t>
      </w:r>
      <w:r>
        <w:rPr>
          <w:rFonts w:ascii="Arial" w:hAnsi="Arial" w:cs="Arial"/>
        </w:rPr>
        <w:t>очекиваног</w:t>
      </w:r>
      <w:r w:rsidR="007B6BE3" w:rsidRPr="0087376B">
        <w:rPr>
          <w:rFonts w:ascii="Arial" w:hAnsi="Arial" w:cs="Arial"/>
        </w:rPr>
        <w:t xml:space="preserve"> </w:t>
      </w:r>
      <w:r>
        <w:rPr>
          <w:rFonts w:ascii="Arial" w:hAnsi="Arial" w:cs="Arial"/>
        </w:rPr>
        <w:t>па</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према</w:t>
      </w:r>
      <w:r w:rsidR="007B6BE3" w:rsidRPr="0087376B">
        <w:rPr>
          <w:rFonts w:ascii="Arial" w:hAnsi="Arial" w:cs="Arial"/>
        </w:rPr>
        <w:t xml:space="preserve"> </w:t>
      </w:r>
      <w:r>
        <w:rPr>
          <w:rFonts w:ascii="Arial" w:hAnsi="Arial" w:cs="Arial"/>
        </w:rPr>
        <w:t>првим</w:t>
      </w:r>
      <w:r w:rsidR="007B6BE3" w:rsidRPr="0087376B">
        <w:rPr>
          <w:rFonts w:ascii="Arial" w:hAnsi="Arial" w:cs="Arial"/>
        </w:rPr>
        <w:t xml:space="preserve"> </w:t>
      </w:r>
      <w:r>
        <w:rPr>
          <w:rFonts w:ascii="Arial" w:hAnsi="Arial" w:cs="Arial"/>
        </w:rPr>
        <w:t>процјенама</w:t>
      </w:r>
      <w:r w:rsidR="007B6BE3" w:rsidRPr="0087376B">
        <w:rPr>
          <w:rFonts w:ascii="Arial" w:hAnsi="Arial" w:cs="Arial"/>
        </w:rPr>
        <w:t xml:space="preserve"> </w:t>
      </w:r>
      <w:r>
        <w:rPr>
          <w:rFonts w:ascii="Arial" w:hAnsi="Arial" w:cs="Arial"/>
        </w:rPr>
        <w:t>Агенције</w:t>
      </w:r>
      <w:r w:rsidR="007B6BE3" w:rsidRPr="0087376B">
        <w:rPr>
          <w:rFonts w:ascii="Arial" w:hAnsi="Arial" w:cs="Arial"/>
        </w:rPr>
        <w:t xml:space="preserve"> </w:t>
      </w:r>
      <w:r>
        <w:rPr>
          <w:rFonts w:ascii="Arial" w:hAnsi="Arial" w:cs="Arial"/>
        </w:rPr>
        <w:t>за</w:t>
      </w:r>
      <w:r w:rsidR="007B6BE3" w:rsidRPr="0087376B">
        <w:rPr>
          <w:rFonts w:ascii="Arial" w:hAnsi="Arial" w:cs="Arial"/>
        </w:rPr>
        <w:t xml:space="preserve"> </w:t>
      </w:r>
      <w:r>
        <w:rPr>
          <w:rFonts w:ascii="Arial" w:hAnsi="Arial" w:cs="Arial"/>
        </w:rPr>
        <w:t>статистику</w:t>
      </w:r>
      <w:r w:rsidR="007B6BE3" w:rsidRPr="0087376B">
        <w:rPr>
          <w:rStyle w:val="FootnoteReference"/>
          <w:rFonts w:ascii="Arial" w:hAnsi="Arial" w:cs="Arial"/>
        </w:rPr>
        <w:footnoteReference w:id="5"/>
      </w:r>
      <w:r w:rsidR="007B6BE3" w:rsidRPr="0087376B">
        <w:rPr>
          <w:rFonts w:ascii="Arial" w:hAnsi="Arial" w:cs="Arial"/>
        </w:rPr>
        <w:t xml:space="preserve">, </w:t>
      </w:r>
      <w:r>
        <w:rPr>
          <w:rFonts w:ascii="Arial" w:hAnsi="Arial" w:cs="Arial"/>
        </w:rPr>
        <w:t>Босна</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Херцеговина</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2022. </w:t>
      </w:r>
      <w:r>
        <w:rPr>
          <w:rFonts w:ascii="Arial" w:hAnsi="Arial" w:cs="Arial"/>
        </w:rPr>
        <w:t>години</w:t>
      </w:r>
      <w:r w:rsidR="007B6BE3" w:rsidRPr="0087376B">
        <w:rPr>
          <w:rFonts w:ascii="Arial" w:hAnsi="Arial" w:cs="Arial"/>
        </w:rPr>
        <w:t xml:space="preserve"> </w:t>
      </w:r>
      <w:r>
        <w:rPr>
          <w:rFonts w:ascii="Arial" w:hAnsi="Arial" w:cs="Arial"/>
        </w:rPr>
        <w:t>остварила</w:t>
      </w:r>
      <w:r w:rsidR="007B6BE3" w:rsidRPr="0087376B">
        <w:rPr>
          <w:rFonts w:ascii="Arial" w:hAnsi="Arial" w:cs="Arial"/>
        </w:rPr>
        <w:t xml:space="preserve"> </w:t>
      </w:r>
      <w:r>
        <w:rPr>
          <w:rFonts w:ascii="Arial" w:hAnsi="Arial" w:cs="Arial"/>
        </w:rPr>
        <w:t>реални</w:t>
      </w:r>
      <w:r w:rsidR="007B6BE3" w:rsidRPr="0087376B">
        <w:rPr>
          <w:rFonts w:ascii="Arial" w:hAnsi="Arial" w:cs="Arial"/>
        </w:rPr>
        <w:t xml:space="preserve"> </w:t>
      </w:r>
      <w:r>
        <w:rPr>
          <w:rFonts w:ascii="Arial" w:hAnsi="Arial" w:cs="Arial"/>
        </w:rPr>
        <w:t>БДП</w:t>
      </w:r>
      <w:r w:rsidR="007B6BE3" w:rsidRPr="0087376B">
        <w:rPr>
          <w:rFonts w:ascii="Arial" w:hAnsi="Arial" w:cs="Arial"/>
        </w:rPr>
        <w:t xml:space="preserve"> </w:t>
      </w:r>
      <w:r>
        <w:rPr>
          <w:rFonts w:ascii="Arial" w:hAnsi="Arial" w:cs="Arial"/>
        </w:rPr>
        <w:t>према</w:t>
      </w:r>
      <w:r w:rsidR="007B6BE3" w:rsidRPr="0087376B">
        <w:rPr>
          <w:rFonts w:ascii="Arial" w:hAnsi="Arial" w:cs="Arial"/>
        </w:rPr>
        <w:t xml:space="preserve"> </w:t>
      </w:r>
      <w:r>
        <w:rPr>
          <w:rFonts w:ascii="Arial" w:hAnsi="Arial" w:cs="Arial"/>
        </w:rPr>
        <w:t>расходовном</w:t>
      </w:r>
      <w:r w:rsidR="007B6BE3" w:rsidRPr="0087376B">
        <w:rPr>
          <w:rFonts w:ascii="Arial" w:hAnsi="Arial" w:cs="Arial"/>
        </w:rPr>
        <w:t xml:space="preserve"> </w:t>
      </w:r>
      <w:r>
        <w:rPr>
          <w:rFonts w:ascii="Arial" w:hAnsi="Arial" w:cs="Arial"/>
        </w:rPr>
        <w:t>приступу</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висини</w:t>
      </w:r>
      <w:r w:rsidR="007B6BE3" w:rsidRPr="0087376B">
        <w:rPr>
          <w:rFonts w:ascii="Arial" w:hAnsi="Arial" w:cs="Arial"/>
        </w:rPr>
        <w:t xml:space="preserve"> </w:t>
      </w:r>
      <w:r>
        <w:rPr>
          <w:rFonts w:ascii="Arial" w:hAnsi="Arial" w:cs="Arial"/>
        </w:rPr>
        <w:t>од</w:t>
      </w:r>
      <w:r w:rsidR="007B6BE3" w:rsidRPr="0087376B">
        <w:rPr>
          <w:rFonts w:ascii="Arial" w:hAnsi="Arial" w:cs="Arial"/>
        </w:rPr>
        <w:t xml:space="preserve"> 37,5 </w:t>
      </w:r>
      <w:r>
        <w:rPr>
          <w:rFonts w:ascii="Arial" w:hAnsi="Arial" w:cs="Arial"/>
        </w:rPr>
        <w:t>млрд</w:t>
      </w:r>
      <w:r w:rsidR="007B6BE3" w:rsidRPr="0087376B">
        <w:rPr>
          <w:rFonts w:ascii="Arial" w:hAnsi="Arial" w:cs="Arial"/>
        </w:rPr>
        <w:t xml:space="preserve">. </w:t>
      </w:r>
      <w:r>
        <w:rPr>
          <w:rFonts w:ascii="Arial" w:hAnsi="Arial" w:cs="Arial"/>
        </w:rPr>
        <w:t>КМ</w:t>
      </w:r>
      <w:r w:rsidR="007B6BE3" w:rsidRPr="0087376B">
        <w:rPr>
          <w:rFonts w:ascii="Arial" w:hAnsi="Arial" w:cs="Arial"/>
        </w:rPr>
        <w:t xml:space="preserve">, </w:t>
      </w:r>
      <w:r>
        <w:rPr>
          <w:rFonts w:ascii="Arial" w:hAnsi="Arial" w:cs="Arial"/>
        </w:rPr>
        <w:t>односно</w:t>
      </w:r>
      <w:r w:rsidR="007B6BE3" w:rsidRPr="0087376B">
        <w:rPr>
          <w:rFonts w:ascii="Arial" w:hAnsi="Arial" w:cs="Arial"/>
        </w:rPr>
        <w:t xml:space="preserve"> </w:t>
      </w:r>
      <w:r>
        <w:rPr>
          <w:rFonts w:ascii="Arial" w:hAnsi="Arial" w:cs="Arial"/>
        </w:rPr>
        <w:t>реални</w:t>
      </w:r>
      <w:r w:rsidR="007B6BE3" w:rsidRPr="0087376B">
        <w:rPr>
          <w:rFonts w:ascii="Arial" w:hAnsi="Arial" w:cs="Arial"/>
        </w:rPr>
        <w:t xml:space="preserve"> </w:t>
      </w:r>
      <w:r>
        <w:rPr>
          <w:rFonts w:ascii="Arial" w:hAnsi="Arial" w:cs="Arial"/>
        </w:rPr>
        <w:t>раст</w:t>
      </w:r>
      <w:r w:rsidR="007B6BE3" w:rsidRPr="0087376B">
        <w:rPr>
          <w:rFonts w:ascii="Arial" w:hAnsi="Arial" w:cs="Arial"/>
        </w:rPr>
        <w:t xml:space="preserve"> </w:t>
      </w:r>
      <w:r>
        <w:rPr>
          <w:rFonts w:ascii="Arial" w:hAnsi="Arial" w:cs="Arial"/>
        </w:rPr>
        <w:t>од</w:t>
      </w:r>
      <w:r w:rsidR="007B6BE3">
        <w:rPr>
          <w:rFonts w:ascii="Arial" w:hAnsi="Arial" w:cs="Arial"/>
        </w:rPr>
        <w:t xml:space="preserve"> 4%. </w:t>
      </w:r>
      <w:r>
        <w:rPr>
          <w:rFonts w:ascii="Arial" w:hAnsi="Arial" w:cs="Arial"/>
        </w:rPr>
        <w:t>Анализа</w:t>
      </w:r>
      <w:r w:rsidR="007B6BE3">
        <w:rPr>
          <w:rFonts w:ascii="Arial" w:hAnsi="Arial" w:cs="Arial"/>
        </w:rPr>
        <w:t xml:space="preserve"> </w:t>
      </w:r>
      <w:r>
        <w:rPr>
          <w:rFonts w:ascii="Arial" w:hAnsi="Arial" w:cs="Arial"/>
        </w:rPr>
        <w:t>компоненти</w:t>
      </w:r>
      <w:r w:rsidR="007B6BE3">
        <w:rPr>
          <w:rFonts w:ascii="Arial" w:hAnsi="Arial" w:cs="Arial"/>
        </w:rPr>
        <w:t xml:space="preserve"> </w:t>
      </w:r>
      <w:r>
        <w:rPr>
          <w:rFonts w:ascii="Arial" w:hAnsi="Arial" w:cs="Arial"/>
        </w:rPr>
        <w:t>БДП</w:t>
      </w:r>
      <w:r w:rsidR="007B6BE3">
        <w:rPr>
          <w:rFonts w:ascii="Arial" w:hAnsi="Arial" w:cs="Arial"/>
        </w:rPr>
        <w:t>-</w:t>
      </w:r>
      <w:r>
        <w:rPr>
          <w:rFonts w:ascii="Arial" w:hAnsi="Arial" w:cs="Arial"/>
        </w:rPr>
        <w:t>а</w:t>
      </w:r>
      <w:r w:rsidR="007B6BE3" w:rsidRPr="0087376B">
        <w:rPr>
          <w:rFonts w:ascii="Arial" w:hAnsi="Arial" w:cs="Arial"/>
        </w:rPr>
        <w:t xml:space="preserve"> </w:t>
      </w:r>
      <w:r>
        <w:rPr>
          <w:rFonts w:ascii="Arial" w:hAnsi="Arial" w:cs="Arial"/>
        </w:rPr>
        <w:t>указује</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знатан</w:t>
      </w:r>
      <w:r w:rsidR="007B6BE3" w:rsidRPr="0087376B">
        <w:rPr>
          <w:rFonts w:ascii="Arial" w:hAnsi="Arial" w:cs="Arial"/>
        </w:rPr>
        <w:t xml:space="preserve"> </w:t>
      </w:r>
      <w:r>
        <w:rPr>
          <w:rFonts w:ascii="Arial" w:hAnsi="Arial" w:cs="Arial"/>
        </w:rPr>
        <w:t>раст</w:t>
      </w:r>
      <w:r w:rsidR="007B6BE3" w:rsidRPr="0087376B">
        <w:rPr>
          <w:rFonts w:ascii="Arial" w:hAnsi="Arial" w:cs="Arial"/>
        </w:rPr>
        <w:t xml:space="preserve"> </w:t>
      </w:r>
      <w:r>
        <w:rPr>
          <w:rFonts w:ascii="Arial" w:hAnsi="Arial" w:cs="Arial"/>
        </w:rPr>
        <w:t>домаће</w:t>
      </w:r>
      <w:r w:rsidR="007B6BE3" w:rsidRPr="0087376B">
        <w:rPr>
          <w:rFonts w:ascii="Arial" w:hAnsi="Arial" w:cs="Arial"/>
        </w:rPr>
        <w:t xml:space="preserve"> </w:t>
      </w:r>
      <w:r>
        <w:rPr>
          <w:rFonts w:ascii="Arial" w:hAnsi="Arial" w:cs="Arial"/>
        </w:rPr>
        <w:t>потрошње</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годишњем</w:t>
      </w:r>
      <w:r w:rsidR="007B6BE3" w:rsidRPr="0087376B">
        <w:rPr>
          <w:rFonts w:ascii="Arial" w:hAnsi="Arial" w:cs="Arial"/>
        </w:rPr>
        <w:t xml:space="preserve"> </w:t>
      </w:r>
      <w:r>
        <w:rPr>
          <w:rFonts w:ascii="Arial" w:hAnsi="Arial" w:cs="Arial"/>
        </w:rPr>
        <w:t>нивоу</w:t>
      </w:r>
      <w:r w:rsidR="007B6BE3" w:rsidRPr="0087376B">
        <w:rPr>
          <w:rFonts w:ascii="Arial" w:hAnsi="Arial" w:cs="Arial"/>
        </w:rPr>
        <w:t xml:space="preserve"> </w:t>
      </w:r>
      <w:r>
        <w:rPr>
          <w:rFonts w:ascii="Arial" w:hAnsi="Arial" w:cs="Arial"/>
        </w:rPr>
        <w:t>од</w:t>
      </w:r>
      <w:r w:rsidR="007B6BE3" w:rsidRPr="0087376B">
        <w:rPr>
          <w:rFonts w:ascii="Arial" w:hAnsi="Arial" w:cs="Arial"/>
        </w:rPr>
        <w:t xml:space="preserve"> 4,9%, </w:t>
      </w:r>
      <w:r>
        <w:rPr>
          <w:rFonts w:ascii="Arial" w:hAnsi="Arial" w:cs="Arial"/>
        </w:rPr>
        <w:t>док</w:t>
      </w:r>
      <w:r w:rsidR="007B6BE3" w:rsidRPr="0087376B">
        <w:rPr>
          <w:rFonts w:ascii="Arial" w:hAnsi="Arial" w:cs="Arial"/>
        </w:rPr>
        <w:t xml:space="preserve"> </w:t>
      </w:r>
      <w:r>
        <w:rPr>
          <w:rFonts w:ascii="Arial" w:hAnsi="Arial" w:cs="Arial"/>
        </w:rPr>
        <w:t>раст</w:t>
      </w:r>
      <w:r w:rsidR="007B6BE3" w:rsidRPr="0087376B">
        <w:rPr>
          <w:rFonts w:ascii="Arial" w:hAnsi="Arial" w:cs="Arial"/>
        </w:rPr>
        <w:t xml:space="preserve"> </w:t>
      </w:r>
      <w:r>
        <w:rPr>
          <w:rFonts w:ascii="Arial" w:hAnsi="Arial" w:cs="Arial"/>
        </w:rPr>
        <w:t>бруто</w:t>
      </w:r>
      <w:r w:rsidR="007B6BE3" w:rsidRPr="0087376B">
        <w:rPr>
          <w:rFonts w:ascii="Arial" w:hAnsi="Arial" w:cs="Arial"/>
        </w:rPr>
        <w:t xml:space="preserve"> </w:t>
      </w:r>
      <w:r>
        <w:rPr>
          <w:rFonts w:ascii="Arial" w:hAnsi="Arial" w:cs="Arial"/>
        </w:rPr>
        <w:t>инвестиција</w:t>
      </w:r>
      <w:r w:rsidR="007B6BE3" w:rsidRPr="0087376B">
        <w:rPr>
          <w:rFonts w:ascii="Arial" w:hAnsi="Arial" w:cs="Arial"/>
        </w:rPr>
        <w:t xml:space="preserve"> </w:t>
      </w:r>
      <w:r>
        <w:rPr>
          <w:rFonts w:ascii="Arial" w:hAnsi="Arial" w:cs="Arial"/>
        </w:rPr>
        <w:t>исказује</w:t>
      </w:r>
      <w:r w:rsidR="007B6BE3" w:rsidRPr="0087376B">
        <w:rPr>
          <w:rFonts w:ascii="Arial" w:hAnsi="Arial" w:cs="Arial"/>
        </w:rPr>
        <w:t xml:space="preserve"> </w:t>
      </w:r>
      <w:r>
        <w:rPr>
          <w:rFonts w:ascii="Arial" w:hAnsi="Arial" w:cs="Arial"/>
        </w:rPr>
        <w:t>тенденцију</w:t>
      </w:r>
      <w:r w:rsidR="007B6BE3" w:rsidRPr="0087376B">
        <w:rPr>
          <w:rFonts w:ascii="Arial" w:hAnsi="Arial" w:cs="Arial"/>
        </w:rPr>
        <w:t xml:space="preserve"> </w:t>
      </w:r>
      <w:r>
        <w:rPr>
          <w:rFonts w:ascii="Arial" w:hAnsi="Arial" w:cs="Arial"/>
        </w:rPr>
        <w:t>успоравања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односу</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раст</w:t>
      </w:r>
      <w:r w:rsidR="007B6BE3" w:rsidRPr="0087376B">
        <w:rPr>
          <w:rFonts w:ascii="Arial" w:hAnsi="Arial" w:cs="Arial"/>
        </w:rPr>
        <w:t xml:space="preserve"> </w:t>
      </w:r>
      <w:r>
        <w:rPr>
          <w:rFonts w:ascii="Arial" w:hAnsi="Arial" w:cs="Arial"/>
        </w:rPr>
        <w:t>од</w:t>
      </w:r>
      <w:r w:rsidR="007B6BE3" w:rsidRPr="0087376B">
        <w:rPr>
          <w:rFonts w:ascii="Arial" w:hAnsi="Arial" w:cs="Arial"/>
        </w:rPr>
        <w:t xml:space="preserve"> </w:t>
      </w:r>
      <w:r>
        <w:rPr>
          <w:rFonts w:ascii="Arial" w:hAnsi="Arial" w:cs="Arial"/>
        </w:rPr>
        <w:t>прошле</w:t>
      </w:r>
      <w:r w:rsidR="007B6BE3" w:rsidRPr="0087376B">
        <w:rPr>
          <w:rFonts w:ascii="Arial" w:hAnsi="Arial" w:cs="Arial"/>
        </w:rPr>
        <w:t xml:space="preserve"> </w:t>
      </w:r>
      <w:r>
        <w:rPr>
          <w:rFonts w:ascii="Arial" w:hAnsi="Arial" w:cs="Arial"/>
        </w:rPr>
        <w:t>године</w:t>
      </w:r>
      <w:r w:rsidR="007B6BE3" w:rsidRPr="0087376B">
        <w:rPr>
          <w:rFonts w:ascii="Arial" w:hAnsi="Arial" w:cs="Arial"/>
        </w:rPr>
        <w:t xml:space="preserve">. </w:t>
      </w:r>
    </w:p>
    <w:p w14:paraId="54E76A46" w14:textId="77777777" w:rsidR="007B6BE3" w:rsidRPr="0087376B" w:rsidRDefault="005B20F8" w:rsidP="007B6BE3">
      <w:pPr>
        <w:ind w:firstLine="420"/>
        <w:jc w:val="both"/>
        <w:rPr>
          <w:rFonts w:ascii="Arial" w:hAnsi="Arial" w:cs="Arial"/>
        </w:rPr>
      </w:pPr>
      <w:r>
        <w:rPr>
          <w:rFonts w:ascii="Arial" w:hAnsi="Arial" w:cs="Arial"/>
        </w:rPr>
        <w:t>Према</w:t>
      </w:r>
      <w:r w:rsidR="007B6BE3" w:rsidRPr="0087376B">
        <w:rPr>
          <w:rFonts w:ascii="Arial" w:hAnsi="Arial" w:cs="Arial"/>
        </w:rPr>
        <w:t xml:space="preserve"> </w:t>
      </w:r>
      <w:r>
        <w:rPr>
          <w:rFonts w:ascii="Arial" w:hAnsi="Arial" w:cs="Arial"/>
        </w:rPr>
        <w:t>пројекцијама</w:t>
      </w:r>
      <w:r w:rsidR="007B6BE3" w:rsidRPr="0087376B">
        <w:rPr>
          <w:rFonts w:ascii="Arial" w:hAnsi="Arial" w:cs="Arial"/>
        </w:rPr>
        <w:t xml:space="preserve"> </w:t>
      </w:r>
      <w:r>
        <w:rPr>
          <w:rFonts w:ascii="Arial" w:hAnsi="Arial" w:cs="Arial"/>
        </w:rPr>
        <w:t>Свјетске</w:t>
      </w:r>
      <w:r w:rsidR="007B6BE3" w:rsidRPr="0087376B">
        <w:rPr>
          <w:rFonts w:ascii="Arial" w:hAnsi="Arial" w:cs="Arial"/>
        </w:rPr>
        <w:t xml:space="preserve"> </w:t>
      </w:r>
      <w:r>
        <w:rPr>
          <w:rFonts w:ascii="Arial" w:hAnsi="Arial" w:cs="Arial"/>
        </w:rPr>
        <w:t>банке</w:t>
      </w:r>
      <w:r w:rsidR="007B6BE3" w:rsidRPr="0087376B">
        <w:rPr>
          <w:rStyle w:val="FootnoteReference"/>
          <w:rFonts w:ascii="Arial" w:hAnsi="Arial" w:cs="Arial"/>
        </w:rPr>
        <w:footnoteReference w:id="6"/>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Босни</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Херцеговини</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текућој</w:t>
      </w:r>
      <w:r w:rsidR="007B6BE3" w:rsidRPr="0087376B">
        <w:rPr>
          <w:rFonts w:ascii="Arial" w:hAnsi="Arial" w:cs="Arial"/>
        </w:rPr>
        <w:t xml:space="preserve"> </w:t>
      </w:r>
      <w:r>
        <w:rPr>
          <w:rFonts w:ascii="Arial" w:hAnsi="Arial" w:cs="Arial"/>
        </w:rPr>
        <w:t>години</w:t>
      </w:r>
      <w:r w:rsidR="007B6BE3" w:rsidRPr="0087376B">
        <w:rPr>
          <w:rFonts w:ascii="Arial" w:hAnsi="Arial" w:cs="Arial"/>
        </w:rPr>
        <w:t xml:space="preserve"> </w:t>
      </w:r>
      <w:r>
        <w:rPr>
          <w:rFonts w:ascii="Arial" w:hAnsi="Arial" w:cs="Arial"/>
        </w:rPr>
        <w:t>очекује</w:t>
      </w:r>
      <w:r w:rsidR="007B6BE3" w:rsidRPr="0087376B">
        <w:rPr>
          <w:rFonts w:ascii="Arial" w:hAnsi="Arial" w:cs="Arial"/>
        </w:rPr>
        <w:t xml:space="preserve"> </w:t>
      </w:r>
      <w:r>
        <w:rPr>
          <w:rFonts w:ascii="Arial" w:hAnsi="Arial" w:cs="Arial"/>
        </w:rPr>
        <w:t>нижи</w:t>
      </w:r>
      <w:r w:rsidR="007B6BE3" w:rsidRPr="0087376B">
        <w:rPr>
          <w:rFonts w:ascii="Arial" w:hAnsi="Arial" w:cs="Arial"/>
        </w:rPr>
        <w:t xml:space="preserve"> </w:t>
      </w:r>
      <w:r>
        <w:rPr>
          <w:rFonts w:ascii="Arial" w:hAnsi="Arial" w:cs="Arial"/>
        </w:rPr>
        <w:t>раст</w:t>
      </w:r>
      <w:r w:rsidR="007B6BE3" w:rsidRPr="0087376B">
        <w:rPr>
          <w:rFonts w:ascii="Arial" w:hAnsi="Arial" w:cs="Arial"/>
        </w:rPr>
        <w:t xml:space="preserve"> </w:t>
      </w:r>
      <w:r>
        <w:rPr>
          <w:rFonts w:ascii="Arial" w:hAnsi="Arial" w:cs="Arial"/>
        </w:rPr>
        <w:t>приватне</w:t>
      </w:r>
      <w:r w:rsidR="007B6BE3" w:rsidRPr="0087376B">
        <w:rPr>
          <w:rFonts w:ascii="Arial" w:hAnsi="Arial" w:cs="Arial"/>
        </w:rPr>
        <w:t xml:space="preserve"> </w:t>
      </w:r>
      <w:r>
        <w:rPr>
          <w:rFonts w:ascii="Arial" w:hAnsi="Arial" w:cs="Arial"/>
        </w:rPr>
        <w:t>потрошње</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знатно</w:t>
      </w:r>
      <w:r w:rsidR="007B6BE3" w:rsidRPr="0087376B">
        <w:rPr>
          <w:rFonts w:ascii="Arial" w:hAnsi="Arial" w:cs="Arial"/>
        </w:rPr>
        <w:t xml:space="preserve"> </w:t>
      </w:r>
      <w:r>
        <w:rPr>
          <w:rFonts w:ascii="Arial" w:hAnsi="Arial" w:cs="Arial"/>
        </w:rPr>
        <w:t>успоравање</w:t>
      </w:r>
      <w:r w:rsidR="007B6BE3" w:rsidRPr="0087376B">
        <w:rPr>
          <w:rFonts w:ascii="Arial" w:hAnsi="Arial" w:cs="Arial"/>
        </w:rPr>
        <w:t xml:space="preserve"> </w:t>
      </w:r>
      <w:r>
        <w:rPr>
          <w:rFonts w:ascii="Arial" w:hAnsi="Arial" w:cs="Arial"/>
        </w:rPr>
        <w:t>раста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односу</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вишегодишњи</w:t>
      </w:r>
      <w:r w:rsidR="007B6BE3" w:rsidRPr="0087376B">
        <w:rPr>
          <w:rFonts w:ascii="Arial" w:hAnsi="Arial" w:cs="Arial"/>
        </w:rPr>
        <w:t xml:space="preserve"> </w:t>
      </w:r>
      <w:r>
        <w:rPr>
          <w:rFonts w:ascii="Arial" w:hAnsi="Arial" w:cs="Arial"/>
        </w:rPr>
        <w:t>просјек</w:t>
      </w:r>
      <w:r w:rsidR="007B6BE3" w:rsidRPr="0087376B">
        <w:rPr>
          <w:rFonts w:ascii="Arial" w:hAnsi="Arial" w:cs="Arial"/>
        </w:rPr>
        <w:t xml:space="preserve"> </w:t>
      </w:r>
      <w:r>
        <w:rPr>
          <w:rFonts w:ascii="Arial" w:hAnsi="Arial" w:cs="Arial"/>
        </w:rPr>
        <w:t>са</w:t>
      </w:r>
      <w:r w:rsidR="007B6BE3" w:rsidRPr="0087376B">
        <w:rPr>
          <w:rFonts w:ascii="Arial" w:hAnsi="Arial" w:cs="Arial"/>
        </w:rPr>
        <w:t xml:space="preserve"> </w:t>
      </w:r>
      <w:r>
        <w:rPr>
          <w:rFonts w:ascii="Arial" w:hAnsi="Arial" w:cs="Arial"/>
        </w:rPr>
        <w:t>стопом</w:t>
      </w:r>
      <w:r w:rsidR="007B6BE3" w:rsidRPr="0087376B">
        <w:rPr>
          <w:rFonts w:ascii="Arial" w:hAnsi="Arial" w:cs="Arial"/>
        </w:rPr>
        <w:t xml:space="preserve"> </w:t>
      </w:r>
      <w:r>
        <w:rPr>
          <w:rFonts w:ascii="Arial" w:hAnsi="Arial" w:cs="Arial"/>
        </w:rPr>
        <w:t>од</w:t>
      </w:r>
      <w:r w:rsidR="007B6BE3" w:rsidRPr="0087376B">
        <w:rPr>
          <w:rFonts w:ascii="Arial" w:hAnsi="Arial" w:cs="Arial"/>
        </w:rPr>
        <w:t xml:space="preserve"> 2,5%. </w:t>
      </w:r>
      <w:r>
        <w:rPr>
          <w:rFonts w:ascii="Arial" w:hAnsi="Arial" w:cs="Arial"/>
        </w:rPr>
        <w:t>Оваква</w:t>
      </w:r>
      <w:r w:rsidR="007B6BE3" w:rsidRPr="0087376B">
        <w:rPr>
          <w:rFonts w:ascii="Arial" w:hAnsi="Arial" w:cs="Arial"/>
        </w:rPr>
        <w:t xml:space="preserve"> </w:t>
      </w:r>
      <w:r>
        <w:rPr>
          <w:rFonts w:ascii="Arial" w:hAnsi="Arial" w:cs="Arial"/>
        </w:rPr>
        <w:t>процјена</w:t>
      </w:r>
      <w:r w:rsidR="007B6BE3" w:rsidRPr="0087376B">
        <w:rPr>
          <w:rFonts w:ascii="Arial" w:hAnsi="Arial" w:cs="Arial"/>
        </w:rPr>
        <w:t xml:space="preserve">, </w:t>
      </w:r>
      <w:r>
        <w:rPr>
          <w:rFonts w:ascii="Arial" w:hAnsi="Arial" w:cs="Arial"/>
        </w:rPr>
        <w:t>између</w:t>
      </w:r>
      <w:r w:rsidR="007B6BE3" w:rsidRPr="0087376B">
        <w:rPr>
          <w:rFonts w:ascii="Arial" w:hAnsi="Arial" w:cs="Arial"/>
        </w:rPr>
        <w:t xml:space="preserve"> </w:t>
      </w:r>
      <w:r>
        <w:rPr>
          <w:rFonts w:ascii="Arial" w:hAnsi="Arial" w:cs="Arial"/>
        </w:rPr>
        <w:t>осталог</w:t>
      </w:r>
      <w:r w:rsidR="007B6BE3" w:rsidRPr="0087376B">
        <w:rPr>
          <w:rFonts w:ascii="Arial" w:hAnsi="Arial" w:cs="Arial"/>
        </w:rPr>
        <w:t xml:space="preserve"> </w:t>
      </w:r>
      <w:r>
        <w:rPr>
          <w:rFonts w:ascii="Arial" w:hAnsi="Arial" w:cs="Arial"/>
        </w:rPr>
        <w:t>резултат</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очекиваног</w:t>
      </w:r>
      <w:r w:rsidR="007B6BE3" w:rsidRPr="0087376B">
        <w:rPr>
          <w:rFonts w:ascii="Arial" w:hAnsi="Arial" w:cs="Arial"/>
        </w:rPr>
        <w:t xml:space="preserve"> </w:t>
      </w:r>
      <w:r>
        <w:rPr>
          <w:rFonts w:ascii="Arial" w:hAnsi="Arial" w:cs="Arial"/>
        </w:rPr>
        <w:t>скромног</w:t>
      </w:r>
      <w:r w:rsidR="007B6BE3" w:rsidRPr="0087376B">
        <w:rPr>
          <w:rFonts w:ascii="Arial" w:hAnsi="Arial" w:cs="Arial"/>
        </w:rPr>
        <w:t xml:space="preserve"> </w:t>
      </w:r>
      <w:r>
        <w:rPr>
          <w:rFonts w:ascii="Arial" w:hAnsi="Arial" w:cs="Arial"/>
        </w:rPr>
        <w:t>раста</w:t>
      </w:r>
      <w:r w:rsidR="007B6BE3" w:rsidRPr="0087376B">
        <w:rPr>
          <w:rFonts w:ascii="Arial" w:hAnsi="Arial" w:cs="Arial"/>
        </w:rPr>
        <w:t xml:space="preserve"> </w:t>
      </w:r>
      <w:r>
        <w:rPr>
          <w:rFonts w:ascii="Arial" w:hAnsi="Arial" w:cs="Arial"/>
        </w:rPr>
        <w:t>извоза</w:t>
      </w:r>
      <w:r w:rsidR="007B6BE3" w:rsidRPr="0087376B">
        <w:rPr>
          <w:rFonts w:ascii="Arial" w:hAnsi="Arial" w:cs="Arial"/>
        </w:rPr>
        <w:t xml:space="preserve"> </w:t>
      </w:r>
      <w:r>
        <w:rPr>
          <w:rFonts w:ascii="Arial" w:hAnsi="Arial" w:cs="Arial"/>
        </w:rPr>
        <w:t>због</w:t>
      </w:r>
      <w:r w:rsidR="007B6BE3" w:rsidRPr="0087376B">
        <w:rPr>
          <w:rFonts w:ascii="Arial" w:hAnsi="Arial" w:cs="Arial"/>
        </w:rPr>
        <w:t xml:space="preserve"> </w:t>
      </w:r>
      <w:r>
        <w:rPr>
          <w:rFonts w:ascii="Arial" w:hAnsi="Arial" w:cs="Arial"/>
        </w:rPr>
        <w:t>ниског</w:t>
      </w:r>
      <w:r w:rsidR="007B6BE3" w:rsidRPr="0087376B">
        <w:rPr>
          <w:rFonts w:ascii="Arial" w:hAnsi="Arial" w:cs="Arial"/>
        </w:rPr>
        <w:t xml:space="preserve"> </w:t>
      </w:r>
      <w:r>
        <w:rPr>
          <w:rFonts w:ascii="Arial" w:hAnsi="Arial" w:cs="Arial"/>
        </w:rPr>
        <w:t>раста</w:t>
      </w:r>
      <w:r w:rsidR="007B6BE3" w:rsidRPr="0087376B">
        <w:rPr>
          <w:rFonts w:ascii="Arial" w:hAnsi="Arial" w:cs="Arial"/>
        </w:rPr>
        <w:t xml:space="preserve"> </w:t>
      </w:r>
      <w:r>
        <w:rPr>
          <w:rFonts w:ascii="Arial" w:hAnsi="Arial" w:cs="Arial"/>
        </w:rPr>
        <w:t>главних</w:t>
      </w:r>
      <w:r w:rsidR="007B6BE3" w:rsidRPr="0087376B">
        <w:rPr>
          <w:rFonts w:ascii="Arial" w:hAnsi="Arial" w:cs="Arial"/>
        </w:rPr>
        <w:t xml:space="preserve"> </w:t>
      </w:r>
      <w:r>
        <w:rPr>
          <w:rFonts w:ascii="Arial" w:hAnsi="Arial" w:cs="Arial"/>
        </w:rPr>
        <w:t>извозних</w:t>
      </w:r>
      <w:r w:rsidR="007B6BE3" w:rsidRPr="0087376B">
        <w:rPr>
          <w:rFonts w:ascii="Arial" w:hAnsi="Arial" w:cs="Arial"/>
        </w:rPr>
        <w:t xml:space="preserve"> </w:t>
      </w:r>
      <w:r>
        <w:rPr>
          <w:rFonts w:ascii="Arial" w:hAnsi="Arial" w:cs="Arial"/>
        </w:rPr>
        <w:t>тржишта</w:t>
      </w:r>
      <w:r w:rsidR="007B6BE3" w:rsidRPr="0087376B">
        <w:rPr>
          <w:rFonts w:ascii="Arial" w:hAnsi="Arial" w:cs="Arial"/>
        </w:rPr>
        <w:t xml:space="preserve"> </w:t>
      </w:r>
      <w:r>
        <w:rPr>
          <w:rFonts w:ascii="Arial" w:hAnsi="Arial" w:cs="Arial"/>
        </w:rPr>
        <w:t>Босне</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Херцеговине</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ЕУ</w:t>
      </w:r>
      <w:r w:rsidR="007B6BE3" w:rsidRPr="0087376B">
        <w:rPr>
          <w:rFonts w:ascii="Arial" w:hAnsi="Arial" w:cs="Arial"/>
        </w:rPr>
        <w:t xml:space="preserve">. </w:t>
      </w:r>
      <w:r>
        <w:rPr>
          <w:rFonts w:ascii="Arial" w:hAnsi="Arial" w:cs="Arial"/>
        </w:rPr>
        <w:t>Пројекције</w:t>
      </w:r>
      <w:r w:rsidR="007B6BE3" w:rsidRPr="0087376B">
        <w:rPr>
          <w:rFonts w:ascii="Arial" w:hAnsi="Arial" w:cs="Arial"/>
        </w:rPr>
        <w:t xml:space="preserve"> </w:t>
      </w:r>
      <w:r>
        <w:rPr>
          <w:rFonts w:ascii="Arial" w:hAnsi="Arial" w:cs="Arial"/>
        </w:rPr>
        <w:t>су</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за</w:t>
      </w:r>
      <w:r w:rsidR="007B6BE3" w:rsidRPr="0087376B">
        <w:rPr>
          <w:rFonts w:ascii="Arial" w:hAnsi="Arial" w:cs="Arial"/>
        </w:rPr>
        <w:t xml:space="preserve"> </w:t>
      </w:r>
      <w:r>
        <w:rPr>
          <w:rFonts w:ascii="Arial" w:hAnsi="Arial" w:cs="Arial"/>
        </w:rPr>
        <w:t>наредни</w:t>
      </w:r>
      <w:r w:rsidR="007B6BE3" w:rsidRPr="0087376B">
        <w:rPr>
          <w:rFonts w:ascii="Arial" w:hAnsi="Arial" w:cs="Arial"/>
        </w:rPr>
        <w:t xml:space="preserve"> </w:t>
      </w:r>
      <w:r>
        <w:rPr>
          <w:rFonts w:ascii="Arial" w:hAnsi="Arial" w:cs="Arial"/>
        </w:rPr>
        <w:t>средњорочни</w:t>
      </w:r>
      <w:r w:rsidR="007B6BE3" w:rsidRPr="0087376B">
        <w:rPr>
          <w:rFonts w:ascii="Arial" w:hAnsi="Arial" w:cs="Arial"/>
        </w:rPr>
        <w:t xml:space="preserve"> </w:t>
      </w:r>
      <w:r>
        <w:rPr>
          <w:rFonts w:ascii="Arial" w:hAnsi="Arial" w:cs="Arial"/>
        </w:rPr>
        <w:t>период</w:t>
      </w:r>
      <w:r w:rsidR="007B6BE3" w:rsidRPr="0087376B">
        <w:rPr>
          <w:rFonts w:ascii="Arial" w:hAnsi="Arial" w:cs="Arial"/>
        </w:rPr>
        <w:t xml:space="preserve"> </w:t>
      </w:r>
      <w:r>
        <w:rPr>
          <w:rFonts w:ascii="Arial" w:hAnsi="Arial" w:cs="Arial"/>
        </w:rPr>
        <w:t>врло</w:t>
      </w:r>
      <w:r w:rsidR="007B6BE3" w:rsidRPr="0087376B">
        <w:rPr>
          <w:rFonts w:ascii="Arial" w:hAnsi="Arial" w:cs="Arial"/>
        </w:rPr>
        <w:t xml:space="preserve"> </w:t>
      </w:r>
      <w:r>
        <w:rPr>
          <w:rFonts w:ascii="Arial" w:hAnsi="Arial" w:cs="Arial"/>
        </w:rPr>
        <w:t>скромне</w:t>
      </w:r>
      <w:r w:rsidR="007B6BE3" w:rsidRPr="0087376B">
        <w:rPr>
          <w:rFonts w:ascii="Arial" w:hAnsi="Arial" w:cs="Arial"/>
        </w:rPr>
        <w:t xml:space="preserve"> </w:t>
      </w:r>
      <w:r>
        <w:rPr>
          <w:rFonts w:ascii="Arial" w:hAnsi="Arial" w:cs="Arial"/>
        </w:rPr>
        <w:t>те</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Свјетска</w:t>
      </w:r>
      <w:r w:rsidR="007B6BE3" w:rsidRPr="0087376B">
        <w:rPr>
          <w:rFonts w:ascii="Arial" w:hAnsi="Arial" w:cs="Arial"/>
        </w:rPr>
        <w:t xml:space="preserve"> </w:t>
      </w:r>
      <w:r>
        <w:rPr>
          <w:rFonts w:ascii="Arial" w:hAnsi="Arial" w:cs="Arial"/>
        </w:rPr>
        <w:t>банка</w:t>
      </w:r>
      <w:r w:rsidR="007B6BE3" w:rsidRPr="0087376B">
        <w:rPr>
          <w:rFonts w:ascii="Arial" w:hAnsi="Arial" w:cs="Arial"/>
        </w:rPr>
        <w:t xml:space="preserve"> </w:t>
      </w:r>
      <w:r>
        <w:rPr>
          <w:rFonts w:ascii="Arial" w:hAnsi="Arial" w:cs="Arial"/>
        </w:rPr>
        <w:t>пројицирала</w:t>
      </w:r>
      <w:r w:rsidR="007B6BE3" w:rsidRPr="0087376B">
        <w:rPr>
          <w:rFonts w:ascii="Arial" w:hAnsi="Arial" w:cs="Arial"/>
        </w:rPr>
        <w:t xml:space="preserve"> </w:t>
      </w:r>
      <w:r>
        <w:rPr>
          <w:rFonts w:ascii="Arial" w:hAnsi="Arial" w:cs="Arial"/>
        </w:rPr>
        <w:t>раст</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БиХ</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2024. </w:t>
      </w:r>
      <w:r>
        <w:rPr>
          <w:rFonts w:ascii="Arial" w:hAnsi="Arial" w:cs="Arial"/>
        </w:rPr>
        <w:t>години</w:t>
      </w:r>
      <w:r w:rsidR="007B6BE3" w:rsidRPr="0087376B">
        <w:rPr>
          <w:rFonts w:ascii="Arial" w:hAnsi="Arial" w:cs="Arial"/>
        </w:rPr>
        <w:t xml:space="preserve"> 3%, </w:t>
      </w:r>
      <w:r>
        <w:rPr>
          <w:rFonts w:ascii="Arial" w:hAnsi="Arial" w:cs="Arial"/>
        </w:rPr>
        <w:t>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2025. 3,5%. </w:t>
      </w:r>
    </w:p>
    <w:p w14:paraId="4CE4E6AE" w14:textId="77777777" w:rsidR="007B6BE3" w:rsidRPr="0087376B" w:rsidRDefault="005B20F8" w:rsidP="00625E9C">
      <w:pPr>
        <w:ind w:firstLine="420"/>
        <w:jc w:val="both"/>
        <w:rPr>
          <w:rFonts w:ascii="Arial" w:hAnsi="Arial" w:cs="Arial"/>
        </w:rPr>
      </w:pPr>
      <w:r>
        <w:rPr>
          <w:rFonts w:ascii="Arial" w:hAnsi="Arial" w:cs="Arial"/>
        </w:rPr>
        <w:t>Пројекције</w:t>
      </w:r>
      <w:r w:rsidR="007B6BE3">
        <w:rPr>
          <w:rFonts w:ascii="Arial" w:hAnsi="Arial" w:cs="Arial"/>
        </w:rPr>
        <w:t xml:space="preserve"> </w:t>
      </w:r>
      <w:r>
        <w:rPr>
          <w:rFonts w:ascii="Arial" w:hAnsi="Arial" w:cs="Arial"/>
        </w:rPr>
        <w:t>раста</w:t>
      </w:r>
      <w:r w:rsidR="007B6BE3">
        <w:rPr>
          <w:rFonts w:ascii="Arial" w:hAnsi="Arial" w:cs="Arial"/>
        </w:rPr>
        <w:t xml:space="preserve"> </w:t>
      </w:r>
      <w:r>
        <w:rPr>
          <w:rFonts w:ascii="Arial" w:hAnsi="Arial" w:cs="Arial"/>
        </w:rPr>
        <w:t>БДП</w:t>
      </w:r>
      <w:r w:rsidR="007B6BE3">
        <w:rPr>
          <w:rFonts w:ascii="Arial" w:hAnsi="Arial" w:cs="Arial"/>
        </w:rPr>
        <w:t>-</w:t>
      </w:r>
      <w:r>
        <w:rPr>
          <w:rFonts w:ascii="Arial" w:hAnsi="Arial" w:cs="Arial"/>
        </w:rPr>
        <w:t>а</w:t>
      </w:r>
      <w:r w:rsidR="007B6BE3" w:rsidRPr="0087376B">
        <w:rPr>
          <w:rFonts w:ascii="Arial" w:hAnsi="Arial" w:cs="Arial"/>
        </w:rPr>
        <w:t xml:space="preserve"> </w:t>
      </w:r>
      <w:r>
        <w:rPr>
          <w:rFonts w:ascii="Arial" w:hAnsi="Arial" w:cs="Arial"/>
        </w:rPr>
        <w:t>које</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сачинило</w:t>
      </w:r>
      <w:r w:rsidR="007B6BE3" w:rsidRPr="0087376B">
        <w:rPr>
          <w:rFonts w:ascii="Arial" w:hAnsi="Arial" w:cs="Arial"/>
        </w:rPr>
        <w:t xml:space="preserve"> </w:t>
      </w:r>
      <w:r>
        <w:rPr>
          <w:rFonts w:ascii="Arial" w:hAnsi="Arial" w:cs="Arial"/>
        </w:rPr>
        <w:t>Федерално</w:t>
      </w:r>
      <w:r w:rsidR="007B6BE3" w:rsidRPr="0087376B">
        <w:rPr>
          <w:rFonts w:ascii="Arial" w:hAnsi="Arial" w:cs="Arial"/>
        </w:rPr>
        <w:t xml:space="preserve"> </w:t>
      </w:r>
      <w:r>
        <w:rPr>
          <w:rFonts w:ascii="Arial" w:hAnsi="Arial" w:cs="Arial"/>
        </w:rPr>
        <w:t>министарство</w:t>
      </w:r>
      <w:r w:rsidR="007B6BE3" w:rsidRPr="0087376B">
        <w:rPr>
          <w:rFonts w:ascii="Arial" w:hAnsi="Arial" w:cs="Arial"/>
        </w:rPr>
        <w:t xml:space="preserve"> </w:t>
      </w:r>
      <w:r>
        <w:rPr>
          <w:rFonts w:ascii="Arial" w:hAnsi="Arial" w:cs="Arial"/>
        </w:rPr>
        <w:t>финансија</w:t>
      </w:r>
      <w:r w:rsidR="007B6BE3" w:rsidRPr="0087376B">
        <w:rPr>
          <w:rFonts w:ascii="Arial" w:hAnsi="Arial" w:cs="Arial"/>
        </w:rPr>
        <w:t xml:space="preserve"> </w:t>
      </w:r>
      <w:r>
        <w:rPr>
          <w:rFonts w:ascii="Arial" w:hAnsi="Arial" w:cs="Arial"/>
        </w:rPr>
        <w:t>темеље</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пројекцијама</w:t>
      </w:r>
      <w:r w:rsidR="007B6BE3" w:rsidRPr="0087376B">
        <w:rPr>
          <w:rFonts w:ascii="Arial" w:hAnsi="Arial" w:cs="Arial"/>
        </w:rPr>
        <w:t xml:space="preserve"> </w:t>
      </w:r>
      <w:r>
        <w:rPr>
          <w:rFonts w:ascii="Arial" w:hAnsi="Arial" w:cs="Arial"/>
        </w:rPr>
        <w:t>Дирекције</w:t>
      </w:r>
      <w:r w:rsidR="007B6BE3" w:rsidRPr="0087376B">
        <w:rPr>
          <w:rFonts w:ascii="Arial" w:hAnsi="Arial" w:cs="Arial"/>
        </w:rPr>
        <w:t xml:space="preserve"> </w:t>
      </w:r>
      <w:r>
        <w:rPr>
          <w:rFonts w:ascii="Arial" w:hAnsi="Arial" w:cs="Arial"/>
        </w:rPr>
        <w:t>за</w:t>
      </w:r>
      <w:r w:rsidR="007B6BE3" w:rsidRPr="0087376B">
        <w:rPr>
          <w:rFonts w:ascii="Arial" w:hAnsi="Arial" w:cs="Arial"/>
        </w:rPr>
        <w:t xml:space="preserve"> </w:t>
      </w:r>
      <w:r>
        <w:rPr>
          <w:rFonts w:ascii="Arial" w:hAnsi="Arial" w:cs="Arial"/>
        </w:rPr>
        <w:t>економско</w:t>
      </w:r>
      <w:r w:rsidR="007B6BE3" w:rsidRPr="0087376B">
        <w:rPr>
          <w:rFonts w:ascii="Arial" w:hAnsi="Arial" w:cs="Arial"/>
        </w:rPr>
        <w:t xml:space="preserve"> </w:t>
      </w:r>
      <w:r>
        <w:rPr>
          <w:rFonts w:ascii="Arial" w:hAnsi="Arial" w:cs="Arial"/>
        </w:rPr>
        <w:t>планирање</w:t>
      </w:r>
      <w:r w:rsidR="007B6BE3" w:rsidRPr="0087376B">
        <w:rPr>
          <w:rFonts w:ascii="Arial" w:hAnsi="Arial" w:cs="Arial"/>
        </w:rPr>
        <w:t xml:space="preserve"> </w:t>
      </w:r>
      <w:r>
        <w:rPr>
          <w:rFonts w:ascii="Arial" w:hAnsi="Arial" w:cs="Arial"/>
        </w:rPr>
        <w:t>при</w:t>
      </w:r>
      <w:r w:rsidR="007B6BE3" w:rsidRPr="0087376B">
        <w:rPr>
          <w:rFonts w:ascii="Arial" w:hAnsi="Arial" w:cs="Arial"/>
        </w:rPr>
        <w:t xml:space="preserve"> </w:t>
      </w:r>
      <w:r>
        <w:rPr>
          <w:rFonts w:ascii="Arial" w:hAnsi="Arial" w:cs="Arial"/>
        </w:rPr>
        <w:t>Вијећу</w:t>
      </w:r>
      <w:r w:rsidR="007B6BE3" w:rsidRPr="0087376B">
        <w:rPr>
          <w:rFonts w:ascii="Arial" w:hAnsi="Arial" w:cs="Arial"/>
        </w:rPr>
        <w:t xml:space="preserve"> </w:t>
      </w:r>
      <w:r>
        <w:rPr>
          <w:rFonts w:ascii="Arial" w:hAnsi="Arial" w:cs="Arial"/>
        </w:rPr>
        <w:t>министара</w:t>
      </w:r>
      <w:r w:rsidR="007B6BE3" w:rsidRPr="0087376B">
        <w:rPr>
          <w:rFonts w:ascii="Arial" w:hAnsi="Arial" w:cs="Arial"/>
        </w:rPr>
        <w:t xml:space="preserve"> </w:t>
      </w:r>
      <w:r>
        <w:rPr>
          <w:rFonts w:ascii="Arial" w:hAnsi="Arial" w:cs="Arial"/>
        </w:rPr>
        <w:t>БиХ</w:t>
      </w:r>
      <w:r w:rsidR="007B6BE3" w:rsidRPr="0087376B">
        <w:rPr>
          <w:rFonts w:ascii="Arial" w:hAnsi="Arial" w:cs="Arial"/>
        </w:rPr>
        <w:t xml:space="preserve"> </w:t>
      </w:r>
      <w:r>
        <w:rPr>
          <w:rFonts w:ascii="Arial" w:hAnsi="Arial" w:cs="Arial"/>
        </w:rPr>
        <w:t>из</w:t>
      </w:r>
      <w:r w:rsidR="007B6BE3" w:rsidRPr="0087376B">
        <w:rPr>
          <w:rFonts w:ascii="Arial" w:hAnsi="Arial" w:cs="Arial"/>
        </w:rPr>
        <w:t xml:space="preserve"> </w:t>
      </w:r>
      <w:r>
        <w:rPr>
          <w:rFonts w:ascii="Arial" w:hAnsi="Arial" w:cs="Arial"/>
        </w:rPr>
        <w:t>марта</w:t>
      </w:r>
      <w:r w:rsidR="007B6BE3" w:rsidRPr="0087376B">
        <w:rPr>
          <w:rFonts w:ascii="Arial" w:hAnsi="Arial" w:cs="Arial"/>
        </w:rPr>
        <w:t xml:space="preserve"> </w:t>
      </w:r>
      <w:r w:rsidR="007B6BE3" w:rsidRPr="0087376B">
        <w:rPr>
          <w:rFonts w:ascii="Arial" w:hAnsi="Arial" w:cs="Arial"/>
        </w:rPr>
        <w:lastRenderedPageBreak/>
        <w:t xml:space="preserve">2023. </w:t>
      </w:r>
      <w:r>
        <w:rPr>
          <w:rFonts w:ascii="Arial" w:hAnsi="Arial" w:cs="Arial"/>
        </w:rPr>
        <w:t>године</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пројекцијама</w:t>
      </w:r>
      <w:r w:rsidR="007B6BE3" w:rsidRPr="0087376B">
        <w:rPr>
          <w:rFonts w:ascii="Arial" w:hAnsi="Arial" w:cs="Arial"/>
        </w:rPr>
        <w:t xml:space="preserve"> </w:t>
      </w:r>
      <w:r>
        <w:rPr>
          <w:rFonts w:ascii="Arial" w:hAnsi="Arial" w:cs="Arial"/>
        </w:rPr>
        <w:t>међународних</w:t>
      </w:r>
      <w:r w:rsidR="007B6BE3" w:rsidRPr="0087376B">
        <w:rPr>
          <w:rFonts w:ascii="Arial" w:hAnsi="Arial" w:cs="Arial"/>
        </w:rPr>
        <w:t xml:space="preserve"> </w:t>
      </w:r>
      <w:r>
        <w:rPr>
          <w:rFonts w:ascii="Arial" w:hAnsi="Arial" w:cs="Arial"/>
        </w:rPr>
        <w:t>институција</w:t>
      </w:r>
      <w:r w:rsidR="007B6BE3" w:rsidRPr="0087376B">
        <w:rPr>
          <w:rFonts w:ascii="Arial" w:hAnsi="Arial" w:cs="Arial"/>
        </w:rPr>
        <w:t xml:space="preserve"> (</w:t>
      </w:r>
      <w:r>
        <w:rPr>
          <w:rFonts w:ascii="Arial" w:hAnsi="Arial" w:cs="Arial"/>
        </w:rPr>
        <w:t>ММФ</w:t>
      </w:r>
      <w:r w:rsidR="007B6BE3" w:rsidRPr="0087376B">
        <w:rPr>
          <w:rFonts w:ascii="Arial" w:hAnsi="Arial" w:cs="Arial"/>
        </w:rPr>
        <w:t>-</w:t>
      </w:r>
      <w:r>
        <w:rPr>
          <w:rFonts w:ascii="Arial" w:hAnsi="Arial" w:cs="Arial"/>
        </w:rPr>
        <w:t>а</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Свјетске</w:t>
      </w:r>
      <w:r w:rsidR="007B6BE3" w:rsidRPr="0087376B">
        <w:rPr>
          <w:rFonts w:ascii="Arial" w:hAnsi="Arial" w:cs="Arial"/>
        </w:rPr>
        <w:t xml:space="preserve"> </w:t>
      </w:r>
      <w:r>
        <w:rPr>
          <w:rFonts w:ascii="Arial" w:hAnsi="Arial" w:cs="Arial"/>
        </w:rPr>
        <w:t>банке</w:t>
      </w:r>
      <w:r w:rsidR="007B6BE3" w:rsidRPr="0087376B">
        <w:rPr>
          <w:rFonts w:ascii="Arial" w:hAnsi="Arial" w:cs="Arial"/>
        </w:rPr>
        <w:t xml:space="preserve"> </w:t>
      </w:r>
      <w:r>
        <w:rPr>
          <w:rFonts w:ascii="Arial" w:hAnsi="Arial" w:cs="Arial"/>
        </w:rPr>
        <w:t>из</w:t>
      </w:r>
      <w:r w:rsidR="007B6BE3" w:rsidRPr="0087376B">
        <w:rPr>
          <w:rFonts w:ascii="Arial" w:hAnsi="Arial" w:cs="Arial"/>
        </w:rPr>
        <w:t xml:space="preserve"> </w:t>
      </w:r>
      <w:r>
        <w:rPr>
          <w:rFonts w:ascii="Arial" w:hAnsi="Arial" w:cs="Arial"/>
        </w:rPr>
        <w:t>априла</w:t>
      </w:r>
      <w:r w:rsidR="007B6BE3" w:rsidRPr="0087376B">
        <w:rPr>
          <w:rFonts w:ascii="Arial" w:hAnsi="Arial" w:cs="Arial"/>
        </w:rPr>
        <w:t xml:space="preserve">, </w:t>
      </w:r>
      <w:r>
        <w:rPr>
          <w:rFonts w:ascii="Arial" w:hAnsi="Arial" w:cs="Arial"/>
        </w:rPr>
        <w:t>Европске</w:t>
      </w:r>
      <w:r w:rsidR="007B6BE3">
        <w:rPr>
          <w:rFonts w:ascii="Arial" w:hAnsi="Arial" w:cs="Arial"/>
        </w:rPr>
        <w:t xml:space="preserve"> </w:t>
      </w:r>
      <w:r>
        <w:rPr>
          <w:rFonts w:ascii="Arial" w:hAnsi="Arial" w:cs="Arial"/>
        </w:rPr>
        <w:t>комисије</w:t>
      </w:r>
      <w:r w:rsidR="007B6BE3">
        <w:rPr>
          <w:rFonts w:ascii="Arial" w:hAnsi="Arial" w:cs="Arial"/>
        </w:rPr>
        <w:t xml:space="preserve"> </w:t>
      </w:r>
      <w:r>
        <w:rPr>
          <w:rFonts w:ascii="Arial" w:hAnsi="Arial" w:cs="Arial"/>
        </w:rPr>
        <w:t>из</w:t>
      </w:r>
      <w:r w:rsidR="007B6BE3">
        <w:rPr>
          <w:rFonts w:ascii="Arial" w:hAnsi="Arial" w:cs="Arial"/>
        </w:rPr>
        <w:t xml:space="preserve"> </w:t>
      </w:r>
      <w:r>
        <w:rPr>
          <w:rFonts w:ascii="Arial" w:hAnsi="Arial" w:cs="Arial"/>
        </w:rPr>
        <w:t>фебруара</w:t>
      </w:r>
      <w:r w:rsidR="007B6BE3">
        <w:rPr>
          <w:rFonts w:ascii="Arial" w:hAnsi="Arial" w:cs="Arial"/>
        </w:rPr>
        <w:t xml:space="preserve"> 2023. </w:t>
      </w:r>
      <w:r>
        <w:rPr>
          <w:rFonts w:ascii="Arial" w:hAnsi="Arial" w:cs="Arial"/>
        </w:rPr>
        <w:t>године</w:t>
      </w:r>
      <w:r w:rsidR="00625E9C">
        <w:rPr>
          <w:rFonts w:ascii="Arial" w:hAnsi="Arial" w:cs="Arial"/>
        </w:rPr>
        <w:t xml:space="preserve">) </w:t>
      </w:r>
    </w:p>
    <w:p w14:paraId="04728698" w14:textId="77777777" w:rsidR="007B6BE3" w:rsidRPr="0087376B" w:rsidRDefault="005B20F8" w:rsidP="007B6BE3">
      <w:pPr>
        <w:ind w:firstLine="420"/>
        <w:jc w:val="both"/>
        <w:rPr>
          <w:rFonts w:ascii="Arial" w:hAnsi="Arial" w:cs="Arial"/>
        </w:rPr>
      </w:pPr>
      <w:r>
        <w:rPr>
          <w:rFonts w:ascii="Arial" w:hAnsi="Arial" w:cs="Arial"/>
        </w:rPr>
        <w:t>Табела</w:t>
      </w:r>
      <w:r w:rsidR="007B6BE3" w:rsidRPr="0087376B">
        <w:rPr>
          <w:rFonts w:ascii="Arial" w:hAnsi="Arial" w:cs="Arial"/>
        </w:rPr>
        <w:t xml:space="preserve"> 6. </w:t>
      </w:r>
      <w:r>
        <w:rPr>
          <w:rFonts w:ascii="Arial" w:hAnsi="Arial" w:cs="Arial"/>
        </w:rPr>
        <w:t>Номинални</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реални</w:t>
      </w:r>
      <w:r w:rsidR="007B6BE3" w:rsidRPr="0087376B">
        <w:rPr>
          <w:rFonts w:ascii="Arial" w:hAnsi="Arial" w:cs="Arial"/>
        </w:rPr>
        <w:t xml:space="preserve"> </w:t>
      </w:r>
      <w:r>
        <w:rPr>
          <w:rFonts w:ascii="Arial" w:hAnsi="Arial" w:cs="Arial"/>
        </w:rPr>
        <w:t>БДП</w:t>
      </w:r>
      <w:r w:rsidR="007B6BE3" w:rsidRPr="0087376B">
        <w:rPr>
          <w:rFonts w:ascii="Arial" w:hAnsi="Arial" w:cs="Arial"/>
        </w:rPr>
        <w:t>-</w:t>
      </w:r>
      <w:r>
        <w:rPr>
          <w:rFonts w:ascii="Arial" w:hAnsi="Arial" w:cs="Arial"/>
        </w:rPr>
        <w:t>а</w:t>
      </w:r>
      <w:r w:rsidR="007B6BE3" w:rsidRPr="0087376B">
        <w:rPr>
          <w:rFonts w:ascii="Arial" w:hAnsi="Arial" w:cs="Arial"/>
        </w:rPr>
        <w:t xml:space="preserve"> </w:t>
      </w:r>
      <w:r>
        <w:rPr>
          <w:rFonts w:ascii="Arial" w:hAnsi="Arial" w:cs="Arial"/>
        </w:rPr>
        <w:t>ФБиХ</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стопа</w:t>
      </w:r>
      <w:r w:rsidR="007B6BE3" w:rsidRPr="0087376B">
        <w:rPr>
          <w:rFonts w:ascii="Arial" w:hAnsi="Arial" w:cs="Arial"/>
        </w:rPr>
        <w:t xml:space="preserve"> </w:t>
      </w:r>
      <w:r>
        <w:rPr>
          <w:rFonts w:ascii="Arial" w:hAnsi="Arial" w:cs="Arial"/>
        </w:rPr>
        <w:t>раста</w:t>
      </w:r>
      <w:r w:rsidR="007B6BE3" w:rsidRPr="0087376B">
        <w:rPr>
          <w:rFonts w:ascii="Arial" w:hAnsi="Arial" w:cs="Arial"/>
        </w:rPr>
        <w:t xml:space="preserve"> </w:t>
      </w:r>
      <w:r>
        <w:rPr>
          <w:rFonts w:ascii="Arial" w:hAnsi="Arial" w:cs="Arial"/>
        </w:rPr>
        <w:t>за</w:t>
      </w:r>
      <w:r w:rsidR="007B6BE3" w:rsidRPr="0087376B">
        <w:rPr>
          <w:rFonts w:ascii="Arial" w:hAnsi="Arial" w:cs="Arial"/>
        </w:rPr>
        <w:t xml:space="preserve"> </w:t>
      </w:r>
      <w:r>
        <w:rPr>
          <w:rFonts w:ascii="Arial" w:hAnsi="Arial" w:cs="Arial"/>
        </w:rPr>
        <w:t>раздобље</w:t>
      </w:r>
      <w:r w:rsidR="007B6BE3" w:rsidRPr="0087376B">
        <w:rPr>
          <w:rFonts w:ascii="Arial" w:hAnsi="Arial" w:cs="Arial"/>
        </w:rPr>
        <w:t xml:space="preserve"> 2022. – 2026. </w:t>
      </w:r>
      <w:r>
        <w:rPr>
          <w:rFonts w:ascii="Arial" w:hAnsi="Arial" w:cs="Arial"/>
        </w:rPr>
        <w:t>год</w:t>
      </w:r>
      <w:r w:rsidR="007B6BE3" w:rsidRPr="0087376B">
        <w:rPr>
          <w:rFonts w:ascii="Arial" w:hAnsi="Arial" w:cs="Arial"/>
        </w:rPr>
        <w:t>.</w:t>
      </w:r>
    </w:p>
    <w:tbl>
      <w:tblPr>
        <w:tblStyle w:val="GridTable4-Accent113"/>
        <w:tblW w:w="9078" w:type="dxa"/>
        <w:tblLook w:val="04A0" w:firstRow="1" w:lastRow="0" w:firstColumn="1" w:lastColumn="0" w:noHBand="0" w:noVBand="1"/>
      </w:tblPr>
      <w:tblGrid>
        <w:gridCol w:w="2420"/>
        <w:gridCol w:w="1331"/>
        <w:gridCol w:w="1331"/>
        <w:gridCol w:w="1331"/>
        <w:gridCol w:w="1332"/>
        <w:gridCol w:w="1333"/>
      </w:tblGrid>
      <w:tr w:rsidR="007B6BE3" w:rsidRPr="0087376B" w14:paraId="0B0FABA3" w14:textId="77777777" w:rsidTr="007B6BE3">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420" w:type="dxa"/>
            <w:vMerge w:val="restart"/>
          </w:tcPr>
          <w:p w14:paraId="38A21F7B" w14:textId="77777777" w:rsidR="007B6BE3" w:rsidRPr="0087376B" w:rsidRDefault="007B6BE3" w:rsidP="007B6BE3">
            <w:pPr>
              <w:jc w:val="center"/>
              <w:rPr>
                <w:rFonts w:ascii="Arial" w:eastAsia="Times New Roman" w:hAnsi="Arial" w:cs="Arial"/>
                <w:b w:val="0"/>
                <w:bCs w:val="0"/>
                <w:sz w:val="20"/>
                <w:szCs w:val="20"/>
                <w:lang w:eastAsia="bs-Latn-BA"/>
              </w:rPr>
            </w:pPr>
          </w:p>
          <w:p w14:paraId="3E9E763E" w14:textId="77777777" w:rsidR="007B6BE3" w:rsidRPr="0087376B" w:rsidRDefault="005B20F8" w:rsidP="007B6BE3">
            <w:pPr>
              <w:jc w:val="center"/>
              <w:rPr>
                <w:rFonts w:ascii="Arial" w:eastAsia="Times New Roman" w:hAnsi="Arial" w:cs="Arial"/>
                <w:b w:val="0"/>
                <w:bCs w:val="0"/>
                <w:sz w:val="20"/>
                <w:szCs w:val="20"/>
                <w:lang w:eastAsia="bs-Latn-BA"/>
              </w:rPr>
            </w:pPr>
            <w:r>
              <w:rPr>
                <w:rFonts w:ascii="Arial" w:eastAsia="Times New Roman" w:hAnsi="Arial" w:cs="Arial"/>
                <w:b w:val="0"/>
                <w:color w:val="auto"/>
                <w:sz w:val="20"/>
                <w:szCs w:val="20"/>
                <w:lang w:eastAsia="bs-Latn-BA"/>
              </w:rPr>
              <w:t>Индикатор</w:t>
            </w:r>
          </w:p>
        </w:tc>
        <w:tc>
          <w:tcPr>
            <w:tcW w:w="2662" w:type="dxa"/>
            <w:gridSpan w:val="2"/>
          </w:tcPr>
          <w:p w14:paraId="602B0A14" w14:textId="77777777" w:rsidR="007B6BE3" w:rsidRPr="0087376B" w:rsidRDefault="005B20F8" w:rsidP="007B6BE3">
            <w:pPr>
              <w:tabs>
                <w:tab w:val="left" w:pos="6521"/>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Pr>
                <w:rFonts w:ascii="Arial" w:eastAsia="Times New Roman" w:hAnsi="Arial" w:cs="Arial"/>
                <w:b w:val="0"/>
                <w:color w:val="auto"/>
                <w:sz w:val="20"/>
                <w:szCs w:val="20"/>
                <w:lang w:eastAsia="bs-Latn-BA"/>
              </w:rPr>
              <w:t>Процјена</w:t>
            </w:r>
          </w:p>
        </w:tc>
        <w:tc>
          <w:tcPr>
            <w:tcW w:w="3996" w:type="dxa"/>
            <w:gridSpan w:val="3"/>
          </w:tcPr>
          <w:p w14:paraId="6E2E8E22" w14:textId="77777777" w:rsidR="007B6BE3" w:rsidRPr="0087376B" w:rsidRDefault="005B20F8" w:rsidP="007B6BE3">
            <w:pPr>
              <w:tabs>
                <w:tab w:val="left" w:pos="6521"/>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Pr>
                <w:rFonts w:ascii="Arial" w:hAnsi="Arial" w:cs="Arial"/>
                <w:b w:val="0"/>
                <w:color w:val="auto"/>
                <w:sz w:val="20"/>
                <w:szCs w:val="20"/>
              </w:rPr>
              <w:t>Пројекције</w:t>
            </w:r>
          </w:p>
        </w:tc>
      </w:tr>
      <w:tr w:rsidR="007B6BE3" w:rsidRPr="0087376B" w14:paraId="3BF5A7CB" w14:textId="77777777" w:rsidTr="007B6BE3">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420" w:type="dxa"/>
            <w:vMerge/>
          </w:tcPr>
          <w:p w14:paraId="7338344C" w14:textId="77777777" w:rsidR="007B6BE3" w:rsidRPr="0087376B" w:rsidRDefault="007B6BE3" w:rsidP="007B6BE3">
            <w:pPr>
              <w:jc w:val="center"/>
              <w:rPr>
                <w:rFonts w:ascii="Arial" w:eastAsia="Times New Roman" w:hAnsi="Arial" w:cs="Arial"/>
                <w:b w:val="0"/>
                <w:bCs w:val="0"/>
                <w:sz w:val="20"/>
                <w:szCs w:val="20"/>
                <w:lang w:eastAsia="bs-Latn-BA"/>
              </w:rPr>
            </w:pPr>
          </w:p>
        </w:tc>
        <w:tc>
          <w:tcPr>
            <w:tcW w:w="1331" w:type="dxa"/>
            <w:shd w:val="clear" w:color="auto" w:fill="9CC2E5" w:themeFill="accent1" w:themeFillTint="99"/>
          </w:tcPr>
          <w:p w14:paraId="4E3B4EA1"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bs-Latn-BA"/>
              </w:rPr>
            </w:pPr>
            <w:r w:rsidRPr="0087376B">
              <w:rPr>
                <w:rFonts w:ascii="Arial" w:eastAsia="Times New Roman" w:hAnsi="Arial" w:cs="Arial"/>
                <w:bCs/>
                <w:sz w:val="20"/>
                <w:szCs w:val="20"/>
                <w:lang w:eastAsia="bs-Latn-BA"/>
              </w:rPr>
              <w:t>2022.</w:t>
            </w:r>
          </w:p>
        </w:tc>
        <w:tc>
          <w:tcPr>
            <w:tcW w:w="1331" w:type="dxa"/>
            <w:shd w:val="clear" w:color="auto" w:fill="9CC2E5" w:themeFill="accent1" w:themeFillTint="99"/>
          </w:tcPr>
          <w:p w14:paraId="54445C9D"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bs-Latn-BA"/>
              </w:rPr>
            </w:pPr>
            <w:r w:rsidRPr="0087376B">
              <w:rPr>
                <w:rFonts w:ascii="Arial" w:eastAsia="Times New Roman" w:hAnsi="Arial" w:cs="Arial"/>
                <w:bCs/>
                <w:sz w:val="20"/>
                <w:szCs w:val="20"/>
                <w:lang w:eastAsia="bs-Latn-BA"/>
              </w:rPr>
              <w:t>2023.</w:t>
            </w:r>
          </w:p>
        </w:tc>
        <w:tc>
          <w:tcPr>
            <w:tcW w:w="1331" w:type="dxa"/>
            <w:shd w:val="clear" w:color="auto" w:fill="9CC2E5" w:themeFill="accent1" w:themeFillTint="99"/>
          </w:tcPr>
          <w:p w14:paraId="5DA1E2FA"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bs-Latn-BA"/>
              </w:rPr>
            </w:pPr>
            <w:r w:rsidRPr="0087376B">
              <w:rPr>
                <w:rFonts w:ascii="Arial" w:eastAsia="Times New Roman" w:hAnsi="Arial" w:cs="Arial"/>
                <w:bCs/>
                <w:sz w:val="20"/>
                <w:szCs w:val="20"/>
                <w:lang w:eastAsia="bs-Latn-BA"/>
              </w:rPr>
              <w:t>2024.</w:t>
            </w:r>
          </w:p>
        </w:tc>
        <w:tc>
          <w:tcPr>
            <w:tcW w:w="1332" w:type="dxa"/>
            <w:shd w:val="clear" w:color="auto" w:fill="9CC2E5" w:themeFill="accent1" w:themeFillTint="99"/>
          </w:tcPr>
          <w:p w14:paraId="268D78E6"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bs-Latn-BA"/>
              </w:rPr>
            </w:pPr>
            <w:r w:rsidRPr="0087376B">
              <w:rPr>
                <w:rFonts w:ascii="Arial" w:eastAsia="Times New Roman" w:hAnsi="Arial" w:cs="Arial"/>
                <w:bCs/>
                <w:sz w:val="20"/>
                <w:szCs w:val="20"/>
                <w:lang w:eastAsia="bs-Latn-BA"/>
              </w:rPr>
              <w:t>2025.</w:t>
            </w:r>
          </w:p>
        </w:tc>
        <w:tc>
          <w:tcPr>
            <w:tcW w:w="1333" w:type="dxa"/>
            <w:shd w:val="clear" w:color="auto" w:fill="9CC2E5" w:themeFill="accent1" w:themeFillTint="99"/>
          </w:tcPr>
          <w:p w14:paraId="1C63CE7F"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bs-Latn-BA"/>
              </w:rPr>
            </w:pPr>
            <w:r w:rsidRPr="0087376B">
              <w:rPr>
                <w:rFonts w:ascii="Arial" w:eastAsia="Times New Roman" w:hAnsi="Arial" w:cs="Arial"/>
                <w:bCs/>
                <w:sz w:val="20"/>
                <w:szCs w:val="20"/>
                <w:lang w:eastAsia="bs-Latn-BA"/>
              </w:rPr>
              <w:t>2026.</w:t>
            </w:r>
          </w:p>
        </w:tc>
      </w:tr>
      <w:tr w:rsidR="007B6BE3" w:rsidRPr="0087376B" w14:paraId="4AA48386" w14:textId="77777777" w:rsidTr="00823BBC">
        <w:trPr>
          <w:trHeight w:val="604"/>
        </w:trPr>
        <w:tc>
          <w:tcPr>
            <w:cnfStyle w:val="001000000000" w:firstRow="0" w:lastRow="0" w:firstColumn="1" w:lastColumn="0" w:oddVBand="0" w:evenVBand="0" w:oddHBand="0" w:evenHBand="0" w:firstRowFirstColumn="0" w:firstRowLastColumn="0" w:lastRowFirstColumn="0" w:lastRowLastColumn="0"/>
            <w:tcW w:w="2420" w:type="dxa"/>
            <w:vAlign w:val="center"/>
          </w:tcPr>
          <w:p w14:paraId="5A32DF6D" w14:textId="77777777" w:rsidR="007B6BE3" w:rsidRPr="0087376B" w:rsidRDefault="005B20F8" w:rsidP="007B6BE3">
            <w:pPr>
              <w:rPr>
                <w:rFonts w:ascii="Arial" w:eastAsia="Times New Roman" w:hAnsi="Arial" w:cs="Arial"/>
                <w:b w:val="0"/>
                <w:color w:val="000000"/>
                <w:sz w:val="20"/>
                <w:szCs w:val="20"/>
                <w:lang w:eastAsia="bs-Latn-BA"/>
              </w:rPr>
            </w:pPr>
            <w:r>
              <w:rPr>
                <w:rFonts w:ascii="Arial" w:eastAsia="Times New Roman" w:hAnsi="Arial" w:cs="Arial"/>
                <w:b w:val="0"/>
                <w:color w:val="000000"/>
                <w:sz w:val="20"/>
                <w:szCs w:val="20"/>
                <w:lang w:eastAsia="bs-Latn-BA"/>
              </w:rPr>
              <w:t>Номинални</w:t>
            </w:r>
            <w:r w:rsidR="007B6BE3" w:rsidRPr="0087376B">
              <w:rPr>
                <w:rFonts w:ascii="Arial" w:eastAsia="Times New Roman" w:hAnsi="Arial" w:cs="Arial"/>
                <w:b w:val="0"/>
                <w:color w:val="000000"/>
                <w:sz w:val="20"/>
                <w:szCs w:val="20"/>
                <w:lang w:eastAsia="bs-Latn-BA"/>
              </w:rPr>
              <w:t xml:space="preserve"> </w:t>
            </w:r>
            <w:r>
              <w:rPr>
                <w:rFonts w:ascii="Arial" w:eastAsia="Times New Roman" w:hAnsi="Arial" w:cs="Arial"/>
                <w:b w:val="0"/>
                <w:color w:val="000000"/>
                <w:sz w:val="20"/>
                <w:szCs w:val="20"/>
                <w:lang w:eastAsia="bs-Latn-BA"/>
              </w:rPr>
              <w:t>БДП</w:t>
            </w:r>
            <w:r w:rsidR="007B6BE3" w:rsidRPr="0087376B">
              <w:rPr>
                <w:rFonts w:ascii="Arial" w:eastAsia="Times New Roman" w:hAnsi="Arial" w:cs="Arial"/>
                <w:b w:val="0"/>
                <w:color w:val="000000"/>
                <w:sz w:val="20"/>
                <w:szCs w:val="20"/>
                <w:lang w:eastAsia="bs-Latn-BA"/>
              </w:rPr>
              <w:t xml:space="preserve"> </w:t>
            </w:r>
            <w:r>
              <w:rPr>
                <w:rFonts w:ascii="Arial" w:eastAsia="Times New Roman" w:hAnsi="Arial" w:cs="Arial"/>
                <w:b w:val="0"/>
                <w:color w:val="000000"/>
                <w:sz w:val="20"/>
                <w:szCs w:val="20"/>
                <w:lang w:eastAsia="bs-Latn-BA"/>
              </w:rPr>
              <w:t>у</w:t>
            </w:r>
            <w:r w:rsidR="007B6BE3" w:rsidRPr="0087376B">
              <w:rPr>
                <w:rFonts w:ascii="Arial" w:eastAsia="Times New Roman" w:hAnsi="Arial" w:cs="Arial"/>
                <w:b w:val="0"/>
                <w:color w:val="000000"/>
                <w:sz w:val="20"/>
                <w:szCs w:val="20"/>
                <w:lang w:eastAsia="bs-Latn-BA"/>
              </w:rPr>
              <w:t xml:space="preserve"> </w:t>
            </w:r>
            <w:r>
              <w:rPr>
                <w:rFonts w:ascii="Arial" w:eastAsia="Times New Roman" w:hAnsi="Arial" w:cs="Arial"/>
                <w:b w:val="0"/>
                <w:color w:val="000000"/>
                <w:sz w:val="20"/>
                <w:szCs w:val="20"/>
                <w:lang w:eastAsia="bs-Latn-BA"/>
              </w:rPr>
              <w:t>мил</w:t>
            </w:r>
            <w:r w:rsidR="007B6BE3" w:rsidRPr="0087376B">
              <w:rPr>
                <w:rFonts w:ascii="Arial" w:eastAsia="Times New Roman" w:hAnsi="Arial" w:cs="Arial"/>
                <w:b w:val="0"/>
                <w:color w:val="000000"/>
                <w:sz w:val="20"/>
                <w:szCs w:val="20"/>
                <w:lang w:eastAsia="bs-Latn-BA"/>
              </w:rPr>
              <w:t xml:space="preserve">. </w:t>
            </w:r>
            <w:r>
              <w:rPr>
                <w:rFonts w:ascii="Arial" w:eastAsia="Times New Roman" w:hAnsi="Arial" w:cs="Arial"/>
                <w:b w:val="0"/>
                <w:color w:val="000000"/>
                <w:sz w:val="20"/>
                <w:szCs w:val="20"/>
                <w:lang w:eastAsia="bs-Latn-BA"/>
              </w:rPr>
              <w:t>КМ</w:t>
            </w:r>
          </w:p>
        </w:tc>
        <w:tc>
          <w:tcPr>
            <w:tcW w:w="1331" w:type="dxa"/>
            <w:vAlign w:val="center"/>
          </w:tcPr>
          <w:p w14:paraId="6CB239C7" w14:textId="77777777" w:rsidR="007B6BE3" w:rsidRPr="0087376B" w:rsidRDefault="007B6BE3" w:rsidP="007B6BE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29.681</w:t>
            </w:r>
          </w:p>
        </w:tc>
        <w:tc>
          <w:tcPr>
            <w:tcW w:w="1331" w:type="dxa"/>
            <w:vAlign w:val="center"/>
          </w:tcPr>
          <w:p w14:paraId="0C5F77B0" w14:textId="77777777" w:rsidR="007B6BE3" w:rsidRPr="0087376B" w:rsidRDefault="007B6BE3" w:rsidP="007B6BE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31.689</w:t>
            </w:r>
          </w:p>
        </w:tc>
        <w:tc>
          <w:tcPr>
            <w:tcW w:w="1331" w:type="dxa"/>
            <w:vAlign w:val="center"/>
          </w:tcPr>
          <w:p w14:paraId="457F6019" w14:textId="77777777" w:rsidR="007B6BE3" w:rsidRPr="0087376B" w:rsidRDefault="007B6BE3" w:rsidP="007B6BE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33.400</w:t>
            </w:r>
          </w:p>
        </w:tc>
        <w:tc>
          <w:tcPr>
            <w:tcW w:w="1332" w:type="dxa"/>
            <w:vAlign w:val="center"/>
          </w:tcPr>
          <w:p w14:paraId="42966BA9" w14:textId="77777777" w:rsidR="007B6BE3" w:rsidRPr="0087376B" w:rsidRDefault="007B6BE3" w:rsidP="007B6BE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35.365</w:t>
            </w:r>
          </w:p>
        </w:tc>
        <w:tc>
          <w:tcPr>
            <w:tcW w:w="1333" w:type="dxa"/>
            <w:vAlign w:val="center"/>
          </w:tcPr>
          <w:p w14:paraId="1FACFE4D" w14:textId="77777777" w:rsidR="007B6BE3" w:rsidRPr="0087376B" w:rsidRDefault="007B6BE3" w:rsidP="007B6BE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37.408</w:t>
            </w:r>
          </w:p>
        </w:tc>
      </w:tr>
      <w:tr w:rsidR="007B6BE3" w:rsidRPr="0087376B" w14:paraId="2D8F1FC4" w14:textId="77777777" w:rsidTr="007B6BE3">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420" w:type="dxa"/>
          </w:tcPr>
          <w:p w14:paraId="24568452" w14:textId="77777777" w:rsidR="007B6BE3" w:rsidRPr="0087376B" w:rsidRDefault="005B20F8" w:rsidP="007B6BE3">
            <w:pPr>
              <w:rPr>
                <w:rFonts w:ascii="Arial" w:eastAsia="Times New Roman" w:hAnsi="Arial" w:cs="Arial"/>
                <w:b w:val="0"/>
                <w:color w:val="000000"/>
                <w:sz w:val="20"/>
                <w:szCs w:val="20"/>
                <w:lang w:eastAsia="bs-Latn-BA"/>
              </w:rPr>
            </w:pPr>
            <w:r>
              <w:rPr>
                <w:rFonts w:ascii="Arial" w:eastAsia="Times New Roman" w:hAnsi="Arial" w:cs="Arial"/>
                <w:b w:val="0"/>
                <w:color w:val="000000"/>
                <w:sz w:val="20"/>
                <w:szCs w:val="20"/>
                <w:lang w:eastAsia="bs-Latn-BA"/>
              </w:rPr>
              <w:t>Номинални</w:t>
            </w:r>
            <w:r w:rsidR="007B6BE3" w:rsidRPr="0087376B">
              <w:rPr>
                <w:rFonts w:ascii="Arial" w:eastAsia="Times New Roman" w:hAnsi="Arial" w:cs="Arial"/>
                <w:b w:val="0"/>
                <w:color w:val="000000"/>
                <w:sz w:val="20"/>
                <w:szCs w:val="20"/>
                <w:lang w:eastAsia="bs-Latn-BA"/>
              </w:rPr>
              <w:t xml:space="preserve"> </w:t>
            </w:r>
            <w:r>
              <w:rPr>
                <w:rFonts w:ascii="Arial" w:eastAsia="Times New Roman" w:hAnsi="Arial" w:cs="Arial"/>
                <w:b w:val="0"/>
                <w:color w:val="000000"/>
                <w:sz w:val="20"/>
                <w:szCs w:val="20"/>
                <w:lang w:eastAsia="bs-Latn-BA"/>
              </w:rPr>
              <w:t>раст</w:t>
            </w:r>
            <w:r w:rsidR="007B6BE3" w:rsidRPr="0087376B">
              <w:rPr>
                <w:rFonts w:ascii="Arial" w:eastAsia="Times New Roman" w:hAnsi="Arial" w:cs="Arial"/>
                <w:b w:val="0"/>
                <w:color w:val="000000"/>
                <w:sz w:val="20"/>
                <w:szCs w:val="20"/>
                <w:lang w:eastAsia="bs-Latn-BA"/>
              </w:rPr>
              <w:t xml:space="preserve"> </w:t>
            </w:r>
            <w:r>
              <w:rPr>
                <w:rFonts w:ascii="Arial" w:eastAsia="Times New Roman" w:hAnsi="Arial" w:cs="Arial"/>
                <w:b w:val="0"/>
                <w:color w:val="000000"/>
                <w:sz w:val="20"/>
                <w:szCs w:val="20"/>
                <w:lang w:eastAsia="bs-Latn-BA"/>
              </w:rPr>
              <w:t>у</w:t>
            </w:r>
            <w:r w:rsidR="007B6BE3" w:rsidRPr="0087376B">
              <w:rPr>
                <w:rFonts w:ascii="Arial" w:eastAsia="Times New Roman" w:hAnsi="Arial" w:cs="Arial"/>
                <w:b w:val="0"/>
                <w:color w:val="000000"/>
                <w:sz w:val="20"/>
                <w:szCs w:val="20"/>
                <w:lang w:eastAsia="bs-Latn-BA"/>
              </w:rPr>
              <w:t xml:space="preserve"> %</w:t>
            </w:r>
          </w:p>
        </w:tc>
        <w:tc>
          <w:tcPr>
            <w:tcW w:w="1331" w:type="dxa"/>
          </w:tcPr>
          <w:p w14:paraId="261F130F"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17,6%</w:t>
            </w:r>
          </w:p>
        </w:tc>
        <w:tc>
          <w:tcPr>
            <w:tcW w:w="1331" w:type="dxa"/>
          </w:tcPr>
          <w:p w14:paraId="112AF50D"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6,8%</w:t>
            </w:r>
          </w:p>
        </w:tc>
        <w:tc>
          <w:tcPr>
            <w:tcW w:w="1331" w:type="dxa"/>
          </w:tcPr>
          <w:p w14:paraId="3807BBF4"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5,4%</w:t>
            </w:r>
          </w:p>
        </w:tc>
        <w:tc>
          <w:tcPr>
            <w:tcW w:w="1332" w:type="dxa"/>
          </w:tcPr>
          <w:p w14:paraId="1BC25D61"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5,9%</w:t>
            </w:r>
          </w:p>
        </w:tc>
        <w:tc>
          <w:tcPr>
            <w:tcW w:w="1333" w:type="dxa"/>
          </w:tcPr>
          <w:p w14:paraId="0A850EA2"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5,8%</w:t>
            </w:r>
          </w:p>
        </w:tc>
      </w:tr>
      <w:tr w:rsidR="007B6BE3" w:rsidRPr="0087376B" w14:paraId="41539675" w14:textId="77777777" w:rsidTr="007B6BE3">
        <w:trPr>
          <w:trHeight w:val="244"/>
        </w:trPr>
        <w:tc>
          <w:tcPr>
            <w:cnfStyle w:val="001000000000" w:firstRow="0" w:lastRow="0" w:firstColumn="1" w:lastColumn="0" w:oddVBand="0" w:evenVBand="0" w:oddHBand="0" w:evenHBand="0" w:firstRowFirstColumn="0" w:firstRowLastColumn="0" w:lastRowFirstColumn="0" w:lastRowLastColumn="0"/>
            <w:tcW w:w="2420" w:type="dxa"/>
          </w:tcPr>
          <w:p w14:paraId="66C25D8B" w14:textId="77777777" w:rsidR="007B6BE3" w:rsidRPr="0087376B" w:rsidRDefault="005B20F8" w:rsidP="007B6BE3">
            <w:pPr>
              <w:rPr>
                <w:rFonts w:ascii="Arial" w:eastAsia="Times New Roman" w:hAnsi="Arial" w:cs="Arial"/>
                <w:b w:val="0"/>
                <w:color w:val="000000"/>
                <w:sz w:val="20"/>
                <w:szCs w:val="20"/>
                <w:lang w:eastAsia="bs-Latn-BA"/>
              </w:rPr>
            </w:pPr>
            <w:r>
              <w:rPr>
                <w:rFonts w:ascii="Arial" w:eastAsia="Times New Roman" w:hAnsi="Arial" w:cs="Arial"/>
                <w:b w:val="0"/>
                <w:color w:val="000000"/>
                <w:sz w:val="20"/>
                <w:szCs w:val="20"/>
                <w:lang w:eastAsia="bs-Latn-BA"/>
              </w:rPr>
              <w:t>Реални</w:t>
            </w:r>
            <w:r w:rsidR="007B6BE3" w:rsidRPr="0087376B">
              <w:rPr>
                <w:rFonts w:ascii="Arial" w:eastAsia="Times New Roman" w:hAnsi="Arial" w:cs="Arial"/>
                <w:b w:val="0"/>
                <w:color w:val="000000"/>
                <w:sz w:val="20"/>
                <w:szCs w:val="20"/>
                <w:lang w:eastAsia="bs-Latn-BA"/>
              </w:rPr>
              <w:t xml:space="preserve"> </w:t>
            </w:r>
            <w:r>
              <w:rPr>
                <w:rFonts w:ascii="Arial" w:eastAsia="Times New Roman" w:hAnsi="Arial" w:cs="Arial"/>
                <w:b w:val="0"/>
                <w:color w:val="000000"/>
                <w:sz w:val="20"/>
                <w:szCs w:val="20"/>
                <w:lang w:eastAsia="bs-Latn-BA"/>
              </w:rPr>
              <w:t>БДП</w:t>
            </w:r>
            <w:r w:rsidR="007B6BE3" w:rsidRPr="0087376B">
              <w:rPr>
                <w:rFonts w:ascii="Arial" w:eastAsia="Times New Roman" w:hAnsi="Arial" w:cs="Arial"/>
                <w:b w:val="0"/>
                <w:color w:val="000000"/>
                <w:sz w:val="20"/>
                <w:szCs w:val="20"/>
                <w:lang w:eastAsia="bs-Latn-BA"/>
              </w:rPr>
              <w:t xml:space="preserve"> </w:t>
            </w:r>
            <w:r>
              <w:rPr>
                <w:rFonts w:ascii="Arial" w:eastAsia="Times New Roman" w:hAnsi="Arial" w:cs="Arial"/>
                <w:b w:val="0"/>
                <w:color w:val="000000"/>
                <w:sz w:val="20"/>
                <w:szCs w:val="20"/>
                <w:lang w:eastAsia="bs-Latn-BA"/>
              </w:rPr>
              <w:t>у</w:t>
            </w:r>
            <w:r w:rsidR="007B6BE3" w:rsidRPr="0087376B">
              <w:rPr>
                <w:rFonts w:ascii="Arial" w:eastAsia="Times New Roman" w:hAnsi="Arial" w:cs="Arial"/>
                <w:b w:val="0"/>
                <w:color w:val="000000"/>
                <w:sz w:val="20"/>
                <w:szCs w:val="20"/>
                <w:lang w:eastAsia="bs-Latn-BA"/>
              </w:rPr>
              <w:t xml:space="preserve"> </w:t>
            </w:r>
            <w:r>
              <w:rPr>
                <w:rFonts w:ascii="Arial" w:eastAsia="Times New Roman" w:hAnsi="Arial" w:cs="Arial"/>
                <w:b w:val="0"/>
                <w:color w:val="000000"/>
                <w:sz w:val="20"/>
                <w:szCs w:val="20"/>
                <w:lang w:eastAsia="bs-Latn-BA"/>
              </w:rPr>
              <w:t>мил</w:t>
            </w:r>
            <w:r w:rsidR="007B6BE3" w:rsidRPr="0087376B">
              <w:rPr>
                <w:rFonts w:ascii="Arial" w:eastAsia="Times New Roman" w:hAnsi="Arial" w:cs="Arial"/>
                <w:b w:val="0"/>
                <w:color w:val="000000"/>
                <w:sz w:val="20"/>
                <w:szCs w:val="20"/>
                <w:lang w:eastAsia="bs-Latn-BA"/>
              </w:rPr>
              <w:t xml:space="preserve">. </w:t>
            </w:r>
            <w:r>
              <w:rPr>
                <w:rFonts w:ascii="Arial" w:eastAsia="Times New Roman" w:hAnsi="Arial" w:cs="Arial"/>
                <w:b w:val="0"/>
                <w:color w:val="000000"/>
                <w:sz w:val="20"/>
                <w:szCs w:val="20"/>
                <w:lang w:eastAsia="bs-Latn-BA"/>
              </w:rPr>
              <w:t>КМ</w:t>
            </w:r>
          </w:p>
        </w:tc>
        <w:tc>
          <w:tcPr>
            <w:tcW w:w="1331" w:type="dxa"/>
          </w:tcPr>
          <w:p w14:paraId="498B984E" w14:textId="77777777" w:rsidR="007B6BE3" w:rsidRPr="0087376B" w:rsidRDefault="007B6BE3" w:rsidP="007B6BE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26.201</w:t>
            </w:r>
          </w:p>
        </w:tc>
        <w:tc>
          <w:tcPr>
            <w:tcW w:w="1331" w:type="dxa"/>
          </w:tcPr>
          <w:p w14:paraId="0B5EB704" w14:textId="77777777" w:rsidR="007B6BE3" w:rsidRPr="0087376B" w:rsidRDefault="007B6BE3" w:rsidP="007B6BE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30.353</w:t>
            </w:r>
          </w:p>
        </w:tc>
        <w:tc>
          <w:tcPr>
            <w:tcW w:w="1331" w:type="dxa"/>
          </w:tcPr>
          <w:p w14:paraId="4B9FBD4A" w14:textId="77777777" w:rsidR="007B6BE3" w:rsidRPr="0087376B" w:rsidRDefault="007B6BE3" w:rsidP="007B6BE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32.650</w:t>
            </w:r>
          </w:p>
        </w:tc>
        <w:tc>
          <w:tcPr>
            <w:tcW w:w="1332" w:type="dxa"/>
          </w:tcPr>
          <w:p w14:paraId="4A2D997F" w14:textId="77777777" w:rsidR="007B6BE3" w:rsidRPr="0087376B" w:rsidRDefault="007B6BE3" w:rsidP="007B6BE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34.502</w:t>
            </w:r>
          </w:p>
        </w:tc>
        <w:tc>
          <w:tcPr>
            <w:tcW w:w="1333" w:type="dxa"/>
          </w:tcPr>
          <w:p w14:paraId="52668044" w14:textId="77777777" w:rsidR="007B6BE3" w:rsidRPr="0087376B" w:rsidRDefault="007B6BE3" w:rsidP="007B6BE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36.602</w:t>
            </w:r>
          </w:p>
        </w:tc>
      </w:tr>
      <w:tr w:rsidR="007B6BE3" w:rsidRPr="0087376B" w14:paraId="24C7D695" w14:textId="77777777" w:rsidTr="00FA0BC6">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2420" w:type="dxa"/>
          </w:tcPr>
          <w:p w14:paraId="3EBFD39B" w14:textId="77777777" w:rsidR="007B6BE3" w:rsidRPr="0087376B" w:rsidRDefault="005B20F8" w:rsidP="007B6BE3">
            <w:pPr>
              <w:rPr>
                <w:rFonts w:ascii="Arial" w:eastAsia="Times New Roman" w:hAnsi="Arial" w:cs="Arial"/>
                <w:b w:val="0"/>
                <w:color w:val="000000"/>
                <w:sz w:val="20"/>
                <w:szCs w:val="20"/>
                <w:lang w:eastAsia="bs-Latn-BA"/>
              </w:rPr>
            </w:pPr>
            <w:r>
              <w:rPr>
                <w:rFonts w:ascii="Arial" w:eastAsia="Times New Roman" w:hAnsi="Arial" w:cs="Arial"/>
                <w:b w:val="0"/>
                <w:color w:val="000000"/>
                <w:sz w:val="20"/>
                <w:szCs w:val="20"/>
                <w:lang w:eastAsia="bs-Latn-BA"/>
              </w:rPr>
              <w:t>Реални</w:t>
            </w:r>
            <w:r w:rsidR="007B6BE3" w:rsidRPr="0087376B">
              <w:rPr>
                <w:rFonts w:ascii="Arial" w:eastAsia="Times New Roman" w:hAnsi="Arial" w:cs="Arial"/>
                <w:b w:val="0"/>
                <w:color w:val="000000"/>
                <w:sz w:val="20"/>
                <w:szCs w:val="20"/>
                <w:lang w:eastAsia="bs-Latn-BA"/>
              </w:rPr>
              <w:t xml:space="preserve"> </w:t>
            </w:r>
            <w:r>
              <w:rPr>
                <w:rFonts w:ascii="Arial" w:eastAsia="Times New Roman" w:hAnsi="Arial" w:cs="Arial"/>
                <w:b w:val="0"/>
                <w:color w:val="000000"/>
                <w:sz w:val="20"/>
                <w:szCs w:val="20"/>
                <w:lang w:eastAsia="bs-Latn-BA"/>
              </w:rPr>
              <w:t>раст</w:t>
            </w:r>
            <w:r w:rsidR="007B6BE3" w:rsidRPr="0087376B">
              <w:rPr>
                <w:rFonts w:ascii="Arial" w:eastAsia="Times New Roman" w:hAnsi="Arial" w:cs="Arial"/>
                <w:b w:val="0"/>
                <w:color w:val="000000"/>
                <w:sz w:val="20"/>
                <w:szCs w:val="20"/>
                <w:lang w:eastAsia="bs-Latn-BA"/>
              </w:rPr>
              <w:t xml:space="preserve"> </w:t>
            </w:r>
            <w:r>
              <w:rPr>
                <w:rFonts w:ascii="Arial" w:eastAsia="Times New Roman" w:hAnsi="Arial" w:cs="Arial"/>
                <w:b w:val="0"/>
                <w:color w:val="000000"/>
                <w:sz w:val="20"/>
                <w:szCs w:val="20"/>
                <w:lang w:eastAsia="bs-Latn-BA"/>
              </w:rPr>
              <w:t>у</w:t>
            </w:r>
            <w:r w:rsidR="007B6BE3" w:rsidRPr="0087376B">
              <w:rPr>
                <w:rFonts w:ascii="Arial" w:eastAsia="Times New Roman" w:hAnsi="Arial" w:cs="Arial"/>
                <w:b w:val="0"/>
                <w:color w:val="000000"/>
                <w:sz w:val="20"/>
                <w:szCs w:val="20"/>
                <w:lang w:eastAsia="bs-Latn-BA"/>
              </w:rPr>
              <w:t xml:space="preserve"> %</w:t>
            </w:r>
          </w:p>
        </w:tc>
        <w:tc>
          <w:tcPr>
            <w:tcW w:w="1331" w:type="dxa"/>
          </w:tcPr>
          <w:p w14:paraId="6025B7A0"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3,9%</w:t>
            </w:r>
          </w:p>
        </w:tc>
        <w:tc>
          <w:tcPr>
            <w:tcW w:w="1331" w:type="dxa"/>
          </w:tcPr>
          <w:p w14:paraId="2202588F"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2,3%</w:t>
            </w:r>
          </w:p>
        </w:tc>
        <w:tc>
          <w:tcPr>
            <w:tcW w:w="1331" w:type="dxa"/>
          </w:tcPr>
          <w:p w14:paraId="4F0C1AD9"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3,0%</w:t>
            </w:r>
          </w:p>
        </w:tc>
        <w:tc>
          <w:tcPr>
            <w:tcW w:w="1332" w:type="dxa"/>
          </w:tcPr>
          <w:p w14:paraId="1E6ED9D1"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3,3%</w:t>
            </w:r>
          </w:p>
        </w:tc>
        <w:tc>
          <w:tcPr>
            <w:tcW w:w="1333" w:type="dxa"/>
          </w:tcPr>
          <w:p w14:paraId="1DA6D862" w14:textId="77777777" w:rsidR="007B6BE3" w:rsidRPr="0087376B" w:rsidRDefault="007B6BE3" w:rsidP="007B6B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3,5%</w:t>
            </w:r>
          </w:p>
        </w:tc>
      </w:tr>
    </w:tbl>
    <w:p w14:paraId="217FE7B3" w14:textId="77777777" w:rsidR="007B6BE3" w:rsidRPr="0087376B" w:rsidRDefault="007B6BE3" w:rsidP="007B6BE3">
      <w:pPr>
        <w:ind w:firstLine="420"/>
        <w:jc w:val="both"/>
        <w:rPr>
          <w:rFonts w:ascii="Arial" w:hAnsi="Arial" w:cs="Arial"/>
        </w:rPr>
      </w:pPr>
    </w:p>
    <w:p w14:paraId="42E88223" w14:textId="77777777" w:rsidR="007B6BE3" w:rsidRPr="0087376B" w:rsidRDefault="005B20F8" w:rsidP="007B6BE3">
      <w:pPr>
        <w:ind w:firstLine="420"/>
        <w:jc w:val="both"/>
        <w:rPr>
          <w:rFonts w:ascii="Arial" w:hAnsi="Arial" w:cs="Arial"/>
        </w:rPr>
      </w:pPr>
      <w:r>
        <w:rPr>
          <w:rFonts w:ascii="Arial" w:hAnsi="Arial" w:cs="Arial"/>
        </w:rPr>
        <w:t>Унаточ</w:t>
      </w:r>
      <w:r w:rsidR="007B6BE3" w:rsidRPr="0087376B">
        <w:rPr>
          <w:rFonts w:ascii="Arial" w:hAnsi="Arial" w:cs="Arial"/>
        </w:rPr>
        <w:t xml:space="preserve"> </w:t>
      </w:r>
      <w:r>
        <w:rPr>
          <w:rFonts w:ascii="Arial" w:hAnsi="Arial" w:cs="Arial"/>
        </w:rPr>
        <w:t>неповољној</w:t>
      </w:r>
      <w:r w:rsidR="007B6BE3" w:rsidRPr="0087376B">
        <w:rPr>
          <w:rFonts w:ascii="Arial" w:hAnsi="Arial" w:cs="Arial"/>
        </w:rPr>
        <w:t xml:space="preserve"> </w:t>
      </w:r>
      <w:r>
        <w:rPr>
          <w:rFonts w:ascii="Arial" w:hAnsi="Arial" w:cs="Arial"/>
        </w:rPr>
        <w:t>ситуацији</w:t>
      </w:r>
      <w:r w:rsidR="007B6BE3" w:rsidRPr="0087376B">
        <w:rPr>
          <w:rFonts w:ascii="Arial" w:hAnsi="Arial" w:cs="Arial"/>
        </w:rPr>
        <w:t xml:space="preserve"> </w:t>
      </w:r>
      <w:r>
        <w:rPr>
          <w:rFonts w:ascii="Arial" w:hAnsi="Arial" w:cs="Arial"/>
        </w:rPr>
        <w:t>главних</w:t>
      </w:r>
      <w:r w:rsidR="007B6BE3" w:rsidRPr="0087376B">
        <w:rPr>
          <w:rFonts w:ascii="Arial" w:hAnsi="Arial" w:cs="Arial"/>
        </w:rPr>
        <w:t xml:space="preserve"> </w:t>
      </w:r>
      <w:r>
        <w:rPr>
          <w:rFonts w:ascii="Arial" w:hAnsi="Arial" w:cs="Arial"/>
        </w:rPr>
        <w:t>спољнотрговинских</w:t>
      </w:r>
      <w:r w:rsidR="007B6BE3" w:rsidRPr="0087376B">
        <w:rPr>
          <w:rFonts w:ascii="Arial" w:hAnsi="Arial" w:cs="Arial"/>
        </w:rPr>
        <w:t xml:space="preserve"> </w:t>
      </w:r>
      <w:r>
        <w:rPr>
          <w:rFonts w:ascii="Arial" w:hAnsi="Arial" w:cs="Arial"/>
        </w:rPr>
        <w:t>партнера</w:t>
      </w:r>
      <w:r w:rsidR="007B6BE3" w:rsidRPr="0087376B">
        <w:rPr>
          <w:rFonts w:ascii="Arial" w:hAnsi="Arial" w:cs="Arial"/>
        </w:rPr>
        <w:t xml:space="preserve"> </w:t>
      </w:r>
      <w:r>
        <w:rPr>
          <w:rFonts w:ascii="Arial" w:hAnsi="Arial" w:cs="Arial"/>
        </w:rPr>
        <w:t>Федерација</w:t>
      </w:r>
      <w:r w:rsidR="007B6BE3" w:rsidRPr="0087376B">
        <w:rPr>
          <w:rFonts w:ascii="Arial" w:hAnsi="Arial" w:cs="Arial"/>
        </w:rPr>
        <w:t xml:space="preserve"> </w:t>
      </w:r>
      <w:r>
        <w:rPr>
          <w:rFonts w:ascii="Arial" w:hAnsi="Arial" w:cs="Arial"/>
        </w:rPr>
        <w:t>БиХ</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остварила</w:t>
      </w:r>
      <w:r w:rsidR="007B6BE3" w:rsidRPr="0087376B">
        <w:rPr>
          <w:rFonts w:ascii="Arial" w:hAnsi="Arial" w:cs="Arial"/>
        </w:rPr>
        <w:t xml:space="preserve"> </w:t>
      </w:r>
      <w:r>
        <w:rPr>
          <w:rFonts w:ascii="Arial" w:hAnsi="Arial" w:cs="Arial"/>
        </w:rPr>
        <w:t>реални</w:t>
      </w:r>
      <w:r w:rsidR="007B6BE3" w:rsidRPr="0087376B">
        <w:rPr>
          <w:rFonts w:ascii="Arial" w:hAnsi="Arial" w:cs="Arial"/>
        </w:rPr>
        <w:t xml:space="preserve"> </w:t>
      </w:r>
      <w:r>
        <w:rPr>
          <w:rFonts w:ascii="Arial" w:hAnsi="Arial" w:cs="Arial"/>
        </w:rPr>
        <w:t>раст</w:t>
      </w:r>
      <w:r w:rsidR="007B6BE3" w:rsidRPr="0087376B">
        <w:rPr>
          <w:rFonts w:ascii="Arial" w:hAnsi="Arial" w:cs="Arial"/>
        </w:rPr>
        <w:t xml:space="preserve"> </w:t>
      </w:r>
      <w:r>
        <w:rPr>
          <w:rFonts w:ascii="Arial" w:hAnsi="Arial" w:cs="Arial"/>
        </w:rPr>
        <w:t>БДП</w:t>
      </w:r>
      <w:r w:rsidR="007B6BE3">
        <w:rPr>
          <w:rFonts w:ascii="Arial" w:hAnsi="Arial" w:cs="Arial"/>
        </w:rPr>
        <w:t>-</w:t>
      </w:r>
      <w:r>
        <w:rPr>
          <w:rFonts w:ascii="Arial" w:hAnsi="Arial" w:cs="Arial"/>
        </w:rPr>
        <w:t>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2022. </w:t>
      </w:r>
      <w:r>
        <w:rPr>
          <w:rFonts w:ascii="Arial" w:hAnsi="Arial" w:cs="Arial"/>
        </w:rPr>
        <w:t>години</w:t>
      </w:r>
      <w:r w:rsidR="007B6BE3" w:rsidRPr="0087376B">
        <w:rPr>
          <w:rFonts w:ascii="Arial" w:hAnsi="Arial" w:cs="Arial"/>
        </w:rPr>
        <w:t xml:space="preserve"> </w:t>
      </w:r>
      <w:r>
        <w:rPr>
          <w:rFonts w:ascii="Arial" w:hAnsi="Arial" w:cs="Arial"/>
        </w:rPr>
        <w:t>од</w:t>
      </w:r>
      <w:r w:rsidR="007B6BE3" w:rsidRPr="0087376B">
        <w:rPr>
          <w:rFonts w:ascii="Arial" w:hAnsi="Arial" w:cs="Arial"/>
        </w:rPr>
        <w:t xml:space="preserve"> 3,9% </w:t>
      </w:r>
      <w:r>
        <w:rPr>
          <w:rFonts w:ascii="Arial" w:hAnsi="Arial" w:cs="Arial"/>
        </w:rPr>
        <w:t>што</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више</w:t>
      </w:r>
      <w:r w:rsidR="007B6BE3" w:rsidRPr="0087376B">
        <w:rPr>
          <w:rFonts w:ascii="Arial" w:hAnsi="Arial" w:cs="Arial"/>
        </w:rPr>
        <w:t xml:space="preserve"> </w:t>
      </w:r>
      <w:r>
        <w:rPr>
          <w:rFonts w:ascii="Arial" w:hAnsi="Arial" w:cs="Arial"/>
        </w:rPr>
        <w:t>од</w:t>
      </w:r>
      <w:r w:rsidR="007B6BE3" w:rsidRPr="0087376B">
        <w:rPr>
          <w:rFonts w:ascii="Arial" w:hAnsi="Arial" w:cs="Arial"/>
        </w:rPr>
        <w:t xml:space="preserve"> </w:t>
      </w:r>
      <w:r>
        <w:rPr>
          <w:rFonts w:ascii="Arial" w:hAnsi="Arial" w:cs="Arial"/>
        </w:rPr>
        <w:t>пројицираног</w:t>
      </w:r>
      <w:r w:rsidR="007B6BE3" w:rsidRPr="0087376B">
        <w:rPr>
          <w:rFonts w:ascii="Arial" w:hAnsi="Arial" w:cs="Arial"/>
        </w:rPr>
        <w:t xml:space="preserve">. </w:t>
      </w:r>
      <w:r>
        <w:rPr>
          <w:rFonts w:ascii="Arial" w:hAnsi="Arial" w:cs="Arial"/>
        </w:rPr>
        <w:t>Приватна</w:t>
      </w:r>
      <w:r w:rsidR="007B6BE3" w:rsidRPr="0087376B">
        <w:rPr>
          <w:rFonts w:ascii="Arial" w:hAnsi="Arial" w:cs="Arial"/>
        </w:rPr>
        <w:t xml:space="preserve"> </w:t>
      </w:r>
      <w:r>
        <w:rPr>
          <w:rFonts w:ascii="Arial" w:hAnsi="Arial" w:cs="Arial"/>
        </w:rPr>
        <w:t>потрошња</w:t>
      </w:r>
      <w:r w:rsidR="007B6BE3" w:rsidRPr="0087376B">
        <w:rPr>
          <w:rFonts w:ascii="Arial" w:hAnsi="Arial" w:cs="Arial"/>
        </w:rPr>
        <w:t xml:space="preserve"> </w:t>
      </w:r>
      <w:r>
        <w:rPr>
          <w:rFonts w:ascii="Arial" w:hAnsi="Arial" w:cs="Arial"/>
        </w:rPr>
        <w:t>као</w:t>
      </w:r>
      <w:r w:rsidR="007B6BE3" w:rsidRPr="0087376B">
        <w:rPr>
          <w:rFonts w:ascii="Arial" w:hAnsi="Arial" w:cs="Arial"/>
        </w:rPr>
        <w:t xml:space="preserve">  </w:t>
      </w:r>
      <w:r>
        <w:rPr>
          <w:rFonts w:ascii="Arial" w:hAnsi="Arial" w:cs="Arial"/>
        </w:rPr>
        <w:t>главна</w:t>
      </w:r>
      <w:r w:rsidR="007B6BE3" w:rsidRPr="0087376B">
        <w:rPr>
          <w:rFonts w:ascii="Arial" w:hAnsi="Arial" w:cs="Arial"/>
        </w:rPr>
        <w:t xml:space="preserve"> </w:t>
      </w:r>
      <w:r>
        <w:rPr>
          <w:rFonts w:ascii="Arial" w:hAnsi="Arial" w:cs="Arial"/>
        </w:rPr>
        <w:t>значајка</w:t>
      </w:r>
      <w:r w:rsidR="007B6BE3" w:rsidRPr="0087376B">
        <w:rPr>
          <w:rFonts w:ascii="Arial" w:hAnsi="Arial" w:cs="Arial"/>
        </w:rPr>
        <w:t xml:space="preserve"> </w:t>
      </w:r>
      <w:r>
        <w:rPr>
          <w:rFonts w:ascii="Arial" w:hAnsi="Arial" w:cs="Arial"/>
        </w:rPr>
        <w:t>раста</w:t>
      </w:r>
      <w:r w:rsidR="007B6BE3" w:rsidRPr="0087376B">
        <w:rPr>
          <w:rFonts w:ascii="Arial" w:hAnsi="Arial" w:cs="Arial"/>
        </w:rPr>
        <w:t xml:space="preserve"> </w:t>
      </w:r>
      <w:r>
        <w:rPr>
          <w:rFonts w:ascii="Arial" w:hAnsi="Arial" w:cs="Arial"/>
        </w:rPr>
        <w:t>привреде</w:t>
      </w:r>
      <w:r w:rsidR="007B6BE3" w:rsidRPr="0087376B">
        <w:rPr>
          <w:rFonts w:ascii="Arial" w:hAnsi="Arial" w:cs="Arial"/>
        </w:rPr>
        <w:t xml:space="preserve"> </w:t>
      </w:r>
      <w:r>
        <w:rPr>
          <w:rFonts w:ascii="Arial" w:hAnsi="Arial" w:cs="Arial"/>
        </w:rPr>
        <w:t>Федерације</w:t>
      </w:r>
      <w:r w:rsidR="007B6BE3" w:rsidRPr="0087376B">
        <w:rPr>
          <w:rFonts w:ascii="Arial" w:hAnsi="Arial" w:cs="Arial"/>
        </w:rPr>
        <w:t xml:space="preserve"> </w:t>
      </w:r>
      <w:r>
        <w:rPr>
          <w:rFonts w:ascii="Arial" w:hAnsi="Arial" w:cs="Arial"/>
        </w:rPr>
        <w:t>БиХ</w:t>
      </w:r>
      <w:r w:rsidR="007B6BE3" w:rsidRPr="0087376B">
        <w:rPr>
          <w:rFonts w:ascii="Arial" w:hAnsi="Arial" w:cs="Arial"/>
        </w:rPr>
        <w:t xml:space="preserve"> </w:t>
      </w:r>
      <w:r>
        <w:rPr>
          <w:rFonts w:ascii="Arial" w:hAnsi="Arial" w:cs="Arial"/>
        </w:rPr>
        <w:t>би</w:t>
      </w:r>
      <w:r w:rsidR="007B6BE3" w:rsidRPr="0087376B">
        <w:rPr>
          <w:rFonts w:ascii="Arial" w:hAnsi="Arial" w:cs="Arial"/>
        </w:rPr>
        <w:t xml:space="preserve"> </w:t>
      </w:r>
      <w:r>
        <w:rPr>
          <w:rFonts w:ascii="Arial" w:hAnsi="Arial" w:cs="Arial"/>
        </w:rPr>
        <w:t>могла</w:t>
      </w:r>
      <w:r w:rsidR="007B6BE3" w:rsidRPr="0087376B">
        <w:rPr>
          <w:rFonts w:ascii="Arial" w:hAnsi="Arial" w:cs="Arial"/>
        </w:rPr>
        <w:t xml:space="preserve"> </w:t>
      </w:r>
      <w:r>
        <w:rPr>
          <w:rFonts w:ascii="Arial" w:hAnsi="Arial" w:cs="Arial"/>
        </w:rPr>
        <w:t>имати</w:t>
      </w:r>
      <w:r w:rsidR="007B6BE3" w:rsidRPr="0087376B">
        <w:rPr>
          <w:rFonts w:ascii="Arial" w:hAnsi="Arial" w:cs="Arial"/>
        </w:rPr>
        <w:t xml:space="preserve"> </w:t>
      </w:r>
      <w:r>
        <w:rPr>
          <w:rFonts w:ascii="Arial" w:hAnsi="Arial" w:cs="Arial"/>
        </w:rPr>
        <w:t>нешто</w:t>
      </w:r>
      <w:r w:rsidR="007B6BE3" w:rsidRPr="0087376B">
        <w:rPr>
          <w:rFonts w:ascii="Arial" w:hAnsi="Arial" w:cs="Arial"/>
        </w:rPr>
        <w:t xml:space="preserve"> </w:t>
      </w:r>
      <w:r>
        <w:rPr>
          <w:rFonts w:ascii="Arial" w:hAnsi="Arial" w:cs="Arial"/>
        </w:rPr>
        <w:t>мањи</w:t>
      </w:r>
      <w:r w:rsidR="007B6BE3" w:rsidRPr="0087376B">
        <w:rPr>
          <w:rFonts w:ascii="Arial" w:hAnsi="Arial" w:cs="Arial"/>
        </w:rPr>
        <w:t xml:space="preserve"> </w:t>
      </w:r>
      <w:r>
        <w:rPr>
          <w:rFonts w:ascii="Arial" w:hAnsi="Arial" w:cs="Arial"/>
        </w:rPr>
        <w:t>значај</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односу</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претходне</w:t>
      </w:r>
      <w:r w:rsidR="007B6BE3" w:rsidRPr="0087376B">
        <w:rPr>
          <w:rFonts w:ascii="Arial" w:hAnsi="Arial" w:cs="Arial"/>
        </w:rPr>
        <w:t xml:space="preserve"> </w:t>
      </w:r>
      <w:r>
        <w:rPr>
          <w:rFonts w:ascii="Arial" w:hAnsi="Arial" w:cs="Arial"/>
        </w:rPr>
        <w:t>године</w:t>
      </w:r>
      <w:r w:rsidR="007B6BE3" w:rsidRPr="0087376B">
        <w:rPr>
          <w:rFonts w:ascii="Arial" w:hAnsi="Arial" w:cs="Arial"/>
        </w:rPr>
        <w:t xml:space="preserve">. </w:t>
      </w:r>
      <w:r>
        <w:rPr>
          <w:rFonts w:ascii="Arial" w:hAnsi="Arial" w:cs="Arial"/>
        </w:rPr>
        <w:t>Допринос</w:t>
      </w:r>
      <w:r w:rsidR="007B6BE3" w:rsidRPr="0087376B">
        <w:rPr>
          <w:rFonts w:ascii="Arial" w:hAnsi="Arial" w:cs="Arial"/>
        </w:rPr>
        <w:t xml:space="preserve"> </w:t>
      </w:r>
      <w:r>
        <w:rPr>
          <w:rFonts w:ascii="Arial" w:hAnsi="Arial" w:cs="Arial"/>
        </w:rPr>
        <w:t>приватне</w:t>
      </w:r>
      <w:r w:rsidR="007B6BE3" w:rsidRPr="0087376B">
        <w:rPr>
          <w:rFonts w:ascii="Arial" w:hAnsi="Arial" w:cs="Arial"/>
        </w:rPr>
        <w:t xml:space="preserve"> </w:t>
      </w:r>
      <w:r>
        <w:rPr>
          <w:rFonts w:ascii="Arial" w:hAnsi="Arial" w:cs="Arial"/>
        </w:rPr>
        <w:t>потрошње</w:t>
      </w:r>
      <w:r w:rsidR="007B6BE3" w:rsidRPr="0087376B">
        <w:rPr>
          <w:rFonts w:ascii="Arial" w:hAnsi="Arial" w:cs="Arial"/>
        </w:rPr>
        <w:t xml:space="preserve"> </w:t>
      </w:r>
      <w:r>
        <w:rPr>
          <w:rFonts w:ascii="Arial" w:hAnsi="Arial" w:cs="Arial"/>
        </w:rPr>
        <w:t>под</w:t>
      </w:r>
      <w:r w:rsidR="007B6BE3" w:rsidRPr="0087376B">
        <w:rPr>
          <w:rFonts w:ascii="Arial" w:hAnsi="Arial" w:cs="Arial"/>
        </w:rPr>
        <w:t xml:space="preserve"> </w:t>
      </w:r>
      <w:r>
        <w:rPr>
          <w:rFonts w:ascii="Arial" w:hAnsi="Arial" w:cs="Arial"/>
        </w:rPr>
        <w:t>утицајем</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терета</w:t>
      </w:r>
      <w:r w:rsidR="007B6BE3" w:rsidRPr="0087376B">
        <w:rPr>
          <w:rFonts w:ascii="Arial" w:hAnsi="Arial" w:cs="Arial"/>
        </w:rPr>
        <w:t xml:space="preserve"> </w:t>
      </w:r>
      <w:r>
        <w:rPr>
          <w:rFonts w:ascii="Arial" w:hAnsi="Arial" w:cs="Arial"/>
        </w:rPr>
        <w:t>инфлације</w:t>
      </w:r>
      <w:r w:rsidR="007B6BE3" w:rsidRPr="0087376B">
        <w:rPr>
          <w:rFonts w:ascii="Arial" w:hAnsi="Arial" w:cs="Arial"/>
        </w:rPr>
        <w:t xml:space="preserve"> </w:t>
      </w:r>
      <w:r>
        <w:rPr>
          <w:rFonts w:ascii="Arial" w:hAnsi="Arial" w:cs="Arial"/>
        </w:rPr>
        <w:t>те</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пројицира</w:t>
      </w:r>
      <w:r w:rsidR="007B6BE3" w:rsidRPr="0087376B">
        <w:rPr>
          <w:rFonts w:ascii="Arial" w:hAnsi="Arial" w:cs="Arial"/>
        </w:rPr>
        <w:t xml:space="preserve"> </w:t>
      </w:r>
      <w:r>
        <w:rPr>
          <w:rFonts w:ascii="Arial" w:hAnsi="Arial" w:cs="Arial"/>
        </w:rPr>
        <w:t>мањи</w:t>
      </w:r>
      <w:r w:rsidR="007B6BE3" w:rsidRPr="0087376B">
        <w:rPr>
          <w:rFonts w:ascii="Arial" w:hAnsi="Arial" w:cs="Arial"/>
        </w:rPr>
        <w:t xml:space="preserve"> </w:t>
      </w:r>
      <w:r>
        <w:rPr>
          <w:rFonts w:ascii="Arial" w:hAnsi="Arial" w:cs="Arial"/>
        </w:rPr>
        <w:t>утицај</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раст</w:t>
      </w:r>
      <w:r w:rsidR="007B6BE3" w:rsidRPr="0087376B">
        <w:rPr>
          <w:rFonts w:ascii="Arial" w:hAnsi="Arial" w:cs="Arial"/>
        </w:rPr>
        <w:t xml:space="preserve"> </w:t>
      </w:r>
      <w:r>
        <w:rPr>
          <w:rFonts w:ascii="Arial" w:hAnsi="Arial" w:cs="Arial"/>
        </w:rPr>
        <w:t>реалног</w:t>
      </w:r>
      <w:r w:rsidR="007B6BE3" w:rsidRPr="0087376B">
        <w:rPr>
          <w:rFonts w:ascii="Arial" w:hAnsi="Arial" w:cs="Arial"/>
        </w:rPr>
        <w:t xml:space="preserve"> </w:t>
      </w:r>
      <w:r>
        <w:rPr>
          <w:rFonts w:ascii="Arial" w:hAnsi="Arial" w:cs="Arial"/>
        </w:rPr>
        <w:t>БДП</w:t>
      </w:r>
      <w:r w:rsidR="007B6BE3">
        <w:rPr>
          <w:rFonts w:ascii="Arial" w:hAnsi="Arial" w:cs="Arial"/>
        </w:rPr>
        <w:t>-</w:t>
      </w:r>
      <w:r>
        <w:rPr>
          <w:rFonts w:ascii="Arial" w:hAnsi="Arial" w:cs="Arial"/>
        </w:rPr>
        <w:t>а</w:t>
      </w:r>
      <w:r w:rsidR="007B6BE3" w:rsidRPr="0087376B">
        <w:rPr>
          <w:rFonts w:ascii="Arial" w:hAnsi="Arial" w:cs="Arial"/>
        </w:rPr>
        <w:t xml:space="preserve">. </w:t>
      </w:r>
      <w:r>
        <w:rPr>
          <w:rFonts w:ascii="Arial" w:hAnsi="Arial" w:cs="Arial"/>
        </w:rPr>
        <w:t>Но</w:t>
      </w:r>
      <w:r w:rsidR="007B6BE3" w:rsidRPr="0087376B">
        <w:rPr>
          <w:rFonts w:ascii="Arial" w:hAnsi="Arial" w:cs="Arial"/>
        </w:rPr>
        <w:t xml:space="preserve">, </w:t>
      </w:r>
      <w:r>
        <w:rPr>
          <w:rFonts w:ascii="Arial" w:hAnsi="Arial" w:cs="Arial"/>
        </w:rPr>
        <w:t>циљ</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током</w:t>
      </w:r>
      <w:r w:rsidR="007B6BE3" w:rsidRPr="0087376B">
        <w:rPr>
          <w:rFonts w:ascii="Arial" w:hAnsi="Arial" w:cs="Arial"/>
        </w:rPr>
        <w:t xml:space="preserve"> </w:t>
      </w:r>
      <w:r>
        <w:rPr>
          <w:rFonts w:ascii="Arial" w:hAnsi="Arial" w:cs="Arial"/>
        </w:rPr>
        <w:t>наступајућег</w:t>
      </w:r>
      <w:r w:rsidR="007B6BE3" w:rsidRPr="0087376B">
        <w:rPr>
          <w:rFonts w:ascii="Arial" w:hAnsi="Arial" w:cs="Arial"/>
        </w:rPr>
        <w:t xml:space="preserve"> </w:t>
      </w:r>
      <w:r>
        <w:rPr>
          <w:rFonts w:ascii="Arial" w:hAnsi="Arial" w:cs="Arial"/>
        </w:rPr>
        <w:t>периода</w:t>
      </w:r>
      <w:r w:rsidR="007B6BE3" w:rsidRPr="0087376B">
        <w:rPr>
          <w:rFonts w:ascii="Arial" w:hAnsi="Arial" w:cs="Arial"/>
        </w:rPr>
        <w:t xml:space="preserve"> </w:t>
      </w:r>
      <w:r>
        <w:rPr>
          <w:rFonts w:ascii="Arial" w:hAnsi="Arial" w:cs="Arial"/>
        </w:rPr>
        <w:t>ограничити</w:t>
      </w:r>
      <w:r w:rsidR="007B6BE3" w:rsidRPr="0087376B">
        <w:rPr>
          <w:rFonts w:ascii="Arial" w:hAnsi="Arial" w:cs="Arial"/>
        </w:rPr>
        <w:t xml:space="preserve"> </w:t>
      </w:r>
      <w:r>
        <w:rPr>
          <w:rFonts w:ascii="Arial" w:hAnsi="Arial" w:cs="Arial"/>
        </w:rPr>
        <w:t>раст</w:t>
      </w:r>
      <w:r w:rsidR="007B6BE3" w:rsidRPr="0087376B">
        <w:rPr>
          <w:rFonts w:ascii="Arial" w:hAnsi="Arial" w:cs="Arial"/>
        </w:rPr>
        <w:t xml:space="preserve"> </w:t>
      </w:r>
      <w:r>
        <w:rPr>
          <w:rFonts w:ascii="Arial" w:hAnsi="Arial" w:cs="Arial"/>
        </w:rPr>
        <w:t>јавне</w:t>
      </w:r>
      <w:r w:rsidR="007B6BE3" w:rsidRPr="0087376B">
        <w:rPr>
          <w:rFonts w:ascii="Arial" w:hAnsi="Arial" w:cs="Arial"/>
        </w:rPr>
        <w:t xml:space="preserve"> </w:t>
      </w:r>
      <w:r>
        <w:rPr>
          <w:rFonts w:ascii="Arial" w:hAnsi="Arial" w:cs="Arial"/>
        </w:rPr>
        <w:t>потрошње</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преусмјерити</w:t>
      </w:r>
      <w:r w:rsidR="007B6BE3" w:rsidRPr="0087376B">
        <w:rPr>
          <w:rFonts w:ascii="Arial" w:hAnsi="Arial" w:cs="Arial"/>
        </w:rPr>
        <w:t xml:space="preserve"> </w:t>
      </w:r>
      <w:r>
        <w:rPr>
          <w:rFonts w:ascii="Arial" w:hAnsi="Arial" w:cs="Arial"/>
        </w:rPr>
        <w:t>средстава</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инвестициону</w:t>
      </w:r>
      <w:r w:rsidR="007B6BE3" w:rsidRPr="0087376B">
        <w:rPr>
          <w:rFonts w:ascii="Arial" w:hAnsi="Arial" w:cs="Arial"/>
        </w:rPr>
        <w:t xml:space="preserve"> </w:t>
      </w:r>
      <w:r>
        <w:rPr>
          <w:rFonts w:ascii="Arial" w:hAnsi="Arial" w:cs="Arial"/>
        </w:rPr>
        <w:t>потрошњу</w:t>
      </w:r>
      <w:r w:rsidR="007B6BE3" w:rsidRPr="0087376B">
        <w:rPr>
          <w:rFonts w:ascii="Arial" w:hAnsi="Arial" w:cs="Arial"/>
        </w:rPr>
        <w:t xml:space="preserve">, </w:t>
      </w:r>
      <w:r>
        <w:rPr>
          <w:rFonts w:ascii="Arial" w:hAnsi="Arial" w:cs="Arial"/>
        </w:rPr>
        <w:t>те</w:t>
      </w:r>
      <w:r w:rsidR="007B6BE3" w:rsidRPr="0087376B">
        <w:rPr>
          <w:rFonts w:ascii="Arial" w:hAnsi="Arial" w:cs="Arial"/>
        </w:rPr>
        <w:t xml:space="preserve"> </w:t>
      </w:r>
      <w:r>
        <w:rPr>
          <w:rFonts w:ascii="Arial" w:hAnsi="Arial" w:cs="Arial"/>
        </w:rPr>
        <w:t>би</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стога</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структура</w:t>
      </w:r>
      <w:r w:rsidR="007B6BE3" w:rsidRPr="0087376B">
        <w:rPr>
          <w:rFonts w:ascii="Arial" w:hAnsi="Arial" w:cs="Arial"/>
        </w:rPr>
        <w:t xml:space="preserve"> </w:t>
      </w:r>
      <w:r>
        <w:rPr>
          <w:rFonts w:ascii="Arial" w:hAnsi="Arial" w:cs="Arial"/>
        </w:rPr>
        <w:t>раста</w:t>
      </w:r>
      <w:r w:rsidR="007B6BE3" w:rsidRPr="0087376B">
        <w:rPr>
          <w:rFonts w:ascii="Arial" w:hAnsi="Arial" w:cs="Arial"/>
        </w:rPr>
        <w:t xml:space="preserve"> </w:t>
      </w:r>
      <w:r>
        <w:rPr>
          <w:rFonts w:ascii="Arial" w:hAnsi="Arial" w:cs="Arial"/>
        </w:rPr>
        <w:t>будућег</w:t>
      </w:r>
      <w:r w:rsidR="007B6BE3" w:rsidRPr="0087376B">
        <w:rPr>
          <w:rFonts w:ascii="Arial" w:hAnsi="Arial" w:cs="Arial"/>
        </w:rPr>
        <w:t xml:space="preserve"> </w:t>
      </w:r>
      <w:r>
        <w:rPr>
          <w:rFonts w:ascii="Arial" w:hAnsi="Arial" w:cs="Arial"/>
        </w:rPr>
        <w:t>БДП</w:t>
      </w:r>
      <w:r w:rsidR="007B6BE3">
        <w:rPr>
          <w:rFonts w:ascii="Arial" w:hAnsi="Arial" w:cs="Arial"/>
        </w:rPr>
        <w:t>-</w:t>
      </w:r>
      <w:r>
        <w:rPr>
          <w:rFonts w:ascii="Arial" w:hAnsi="Arial" w:cs="Arial"/>
        </w:rPr>
        <w:t>а</w:t>
      </w:r>
      <w:r w:rsidR="007B6BE3" w:rsidRPr="0087376B">
        <w:rPr>
          <w:rFonts w:ascii="Arial" w:hAnsi="Arial" w:cs="Arial"/>
        </w:rPr>
        <w:t xml:space="preserve"> </w:t>
      </w:r>
      <w:r>
        <w:rPr>
          <w:rFonts w:ascii="Arial" w:hAnsi="Arial" w:cs="Arial"/>
        </w:rPr>
        <w:t>могла</w:t>
      </w:r>
      <w:r w:rsidR="007B6BE3" w:rsidRPr="0087376B">
        <w:rPr>
          <w:rFonts w:ascii="Arial" w:hAnsi="Arial" w:cs="Arial"/>
        </w:rPr>
        <w:t xml:space="preserve"> </w:t>
      </w:r>
      <w:r>
        <w:rPr>
          <w:rFonts w:ascii="Arial" w:hAnsi="Arial" w:cs="Arial"/>
        </w:rPr>
        <w:t>промијенити</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том</w:t>
      </w:r>
      <w:r w:rsidR="007B6BE3" w:rsidRPr="0087376B">
        <w:rPr>
          <w:rFonts w:ascii="Arial" w:hAnsi="Arial" w:cs="Arial"/>
        </w:rPr>
        <w:t xml:space="preserve"> </w:t>
      </w:r>
      <w:r>
        <w:rPr>
          <w:rFonts w:ascii="Arial" w:hAnsi="Arial" w:cs="Arial"/>
        </w:rPr>
        <w:t>случају</w:t>
      </w:r>
      <w:r w:rsidR="007B6BE3" w:rsidRPr="0087376B">
        <w:rPr>
          <w:rFonts w:ascii="Arial" w:hAnsi="Arial" w:cs="Arial"/>
        </w:rPr>
        <w:t xml:space="preserve"> </w:t>
      </w:r>
      <w:r>
        <w:rPr>
          <w:rFonts w:ascii="Arial" w:hAnsi="Arial" w:cs="Arial"/>
        </w:rPr>
        <w:t>инвестиције</w:t>
      </w:r>
      <w:r w:rsidR="007B6BE3" w:rsidRPr="0087376B">
        <w:rPr>
          <w:rFonts w:ascii="Arial" w:hAnsi="Arial" w:cs="Arial"/>
        </w:rPr>
        <w:t xml:space="preserve"> </w:t>
      </w:r>
      <w:r>
        <w:rPr>
          <w:rFonts w:ascii="Arial" w:hAnsi="Arial" w:cs="Arial"/>
        </w:rPr>
        <w:t>би</w:t>
      </w:r>
      <w:r w:rsidR="007B6BE3" w:rsidRPr="0087376B">
        <w:rPr>
          <w:rFonts w:ascii="Arial" w:hAnsi="Arial" w:cs="Arial"/>
        </w:rPr>
        <w:t xml:space="preserve"> </w:t>
      </w:r>
      <w:r>
        <w:rPr>
          <w:rFonts w:ascii="Arial" w:hAnsi="Arial" w:cs="Arial"/>
        </w:rPr>
        <w:t>уз</w:t>
      </w:r>
      <w:r w:rsidR="007B6BE3" w:rsidRPr="0087376B">
        <w:rPr>
          <w:rFonts w:ascii="Arial" w:hAnsi="Arial" w:cs="Arial"/>
        </w:rPr>
        <w:t xml:space="preserve"> </w:t>
      </w:r>
      <w:r>
        <w:rPr>
          <w:rFonts w:ascii="Arial" w:hAnsi="Arial" w:cs="Arial"/>
        </w:rPr>
        <w:t>унапређење</w:t>
      </w:r>
      <w:r w:rsidR="007B6BE3" w:rsidRPr="0087376B">
        <w:rPr>
          <w:rFonts w:ascii="Arial" w:hAnsi="Arial" w:cs="Arial"/>
        </w:rPr>
        <w:t xml:space="preserve"> </w:t>
      </w:r>
      <w:r>
        <w:rPr>
          <w:rFonts w:ascii="Arial" w:hAnsi="Arial" w:cs="Arial"/>
        </w:rPr>
        <w:t>пословног</w:t>
      </w:r>
      <w:r w:rsidR="007B6BE3" w:rsidRPr="0087376B">
        <w:rPr>
          <w:rFonts w:ascii="Arial" w:hAnsi="Arial" w:cs="Arial"/>
        </w:rPr>
        <w:t xml:space="preserve"> </w:t>
      </w:r>
      <w:r>
        <w:rPr>
          <w:rFonts w:ascii="Arial" w:hAnsi="Arial" w:cs="Arial"/>
        </w:rPr>
        <w:t>амбијента</w:t>
      </w:r>
      <w:r w:rsidR="007B6BE3" w:rsidRPr="0087376B">
        <w:rPr>
          <w:rFonts w:ascii="Arial" w:hAnsi="Arial" w:cs="Arial"/>
        </w:rPr>
        <w:t xml:space="preserve"> </w:t>
      </w:r>
      <w:r>
        <w:rPr>
          <w:rFonts w:ascii="Arial" w:hAnsi="Arial" w:cs="Arial"/>
        </w:rPr>
        <w:t>могле</w:t>
      </w:r>
      <w:r w:rsidR="007B6BE3" w:rsidRPr="0087376B">
        <w:rPr>
          <w:rFonts w:ascii="Arial" w:hAnsi="Arial" w:cs="Arial"/>
        </w:rPr>
        <w:t xml:space="preserve"> </w:t>
      </w:r>
      <w:r>
        <w:rPr>
          <w:rFonts w:ascii="Arial" w:hAnsi="Arial" w:cs="Arial"/>
        </w:rPr>
        <w:t>остварити</w:t>
      </w:r>
      <w:r w:rsidR="007B6BE3" w:rsidRPr="0087376B">
        <w:rPr>
          <w:rFonts w:ascii="Arial" w:hAnsi="Arial" w:cs="Arial"/>
        </w:rPr>
        <w:t xml:space="preserve"> </w:t>
      </w:r>
      <w:r>
        <w:rPr>
          <w:rFonts w:ascii="Arial" w:hAnsi="Arial" w:cs="Arial"/>
        </w:rPr>
        <w:t>значајан</w:t>
      </w:r>
      <w:r w:rsidR="007B6BE3" w:rsidRPr="0087376B">
        <w:rPr>
          <w:rFonts w:ascii="Arial" w:hAnsi="Arial" w:cs="Arial"/>
        </w:rPr>
        <w:t xml:space="preserve"> </w:t>
      </w:r>
      <w:r>
        <w:rPr>
          <w:rFonts w:ascii="Arial" w:hAnsi="Arial" w:cs="Arial"/>
        </w:rPr>
        <w:t>раст</w:t>
      </w:r>
      <w:r w:rsidR="007B6BE3" w:rsidRPr="0087376B">
        <w:rPr>
          <w:rFonts w:ascii="Arial" w:hAnsi="Arial" w:cs="Arial"/>
        </w:rPr>
        <w:t xml:space="preserve">, </w:t>
      </w:r>
      <w:r>
        <w:rPr>
          <w:rFonts w:ascii="Arial" w:hAnsi="Arial" w:cs="Arial"/>
        </w:rPr>
        <w:t>те</w:t>
      </w:r>
      <w:r w:rsidR="007B6BE3" w:rsidRPr="0087376B">
        <w:rPr>
          <w:rFonts w:ascii="Arial" w:hAnsi="Arial" w:cs="Arial"/>
        </w:rPr>
        <w:t xml:space="preserve"> </w:t>
      </w:r>
      <w:r>
        <w:rPr>
          <w:rFonts w:ascii="Arial" w:hAnsi="Arial" w:cs="Arial"/>
        </w:rPr>
        <w:t>дати</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већи</w:t>
      </w:r>
      <w:r w:rsidR="007B6BE3" w:rsidRPr="0087376B">
        <w:rPr>
          <w:rFonts w:ascii="Arial" w:hAnsi="Arial" w:cs="Arial"/>
        </w:rPr>
        <w:t xml:space="preserve"> </w:t>
      </w:r>
      <w:r>
        <w:rPr>
          <w:rFonts w:ascii="Arial" w:hAnsi="Arial" w:cs="Arial"/>
        </w:rPr>
        <w:t>допринос</w:t>
      </w:r>
      <w:r w:rsidR="007B6BE3" w:rsidRPr="0087376B">
        <w:rPr>
          <w:rFonts w:ascii="Arial" w:hAnsi="Arial" w:cs="Arial"/>
        </w:rPr>
        <w:t xml:space="preserve"> </w:t>
      </w:r>
      <w:r>
        <w:rPr>
          <w:rFonts w:ascii="Arial" w:hAnsi="Arial" w:cs="Arial"/>
        </w:rPr>
        <w:t>очекиваном</w:t>
      </w:r>
      <w:r w:rsidR="007B6BE3" w:rsidRPr="0087376B">
        <w:rPr>
          <w:rFonts w:ascii="Arial" w:hAnsi="Arial" w:cs="Arial"/>
        </w:rPr>
        <w:t xml:space="preserve"> </w:t>
      </w:r>
      <w:r>
        <w:rPr>
          <w:rFonts w:ascii="Arial" w:hAnsi="Arial" w:cs="Arial"/>
        </w:rPr>
        <w:t>расту</w:t>
      </w:r>
      <w:r w:rsidR="007B6BE3" w:rsidRPr="0087376B">
        <w:rPr>
          <w:rFonts w:ascii="Arial" w:hAnsi="Arial" w:cs="Arial"/>
        </w:rPr>
        <w:t xml:space="preserve"> </w:t>
      </w:r>
      <w:r>
        <w:rPr>
          <w:rFonts w:ascii="Arial" w:hAnsi="Arial" w:cs="Arial"/>
        </w:rPr>
        <w:t>БДП</w:t>
      </w:r>
      <w:r w:rsidR="007B6BE3">
        <w:rPr>
          <w:rFonts w:ascii="Arial" w:hAnsi="Arial" w:cs="Arial"/>
        </w:rPr>
        <w:t>-</w:t>
      </w:r>
      <w:r>
        <w:rPr>
          <w:rFonts w:ascii="Arial" w:hAnsi="Arial" w:cs="Arial"/>
        </w:rPr>
        <w:t>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средњорочном</w:t>
      </w:r>
      <w:r w:rsidR="007B6BE3" w:rsidRPr="0087376B">
        <w:rPr>
          <w:rFonts w:ascii="Arial" w:hAnsi="Arial" w:cs="Arial"/>
        </w:rPr>
        <w:t xml:space="preserve"> </w:t>
      </w:r>
      <w:r>
        <w:rPr>
          <w:rFonts w:ascii="Arial" w:hAnsi="Arial" w:cs="Arial"/>
        </w:rPr>
        <w:t>раздобљу</w:t>
      </w:r>
      <w:r w:rsidR="007B6BE3" w:rsidRPr="0087376B">
        <w:rPr>
          <w:rFonts w:ascii="Arial" w:hAnsi="Arial" w:cs="Arial"/>
        </w:rPr>
        <w:t xml:space="preserve"> </w:t>
      </w:r>
      <w:r>
        <w:rPr>
          <w:rFonts w:ascii="Arial" w:hAnsi="Arial" w:cs="Arial"/>
        </w:rPr>
        <w:t>очекује</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да</w:t>
      </w:r>
      <w:r w:rsidR="007B6BE3" w:rsidRPr="0087376B">
        <w:rPr>
          <w:rFonts w:ascii="Arial" w:hAnsi="Arial" w:cs="Arial"/>
        </w:rPr>
        <w:t xml:space="preserve"> </w:t>
      </w:r>
      <w:r>
        <w:rPr>
          <w:rFonts w:ascii="Arial" w:hAnsi="Arial" w:cs="Arial"/>
        </w:rPr>
        <w:t>ће</w:t>
      </w:r>
      <w:r w:rsidR="007B6BE3" w:rsidRPr="0087376B">
        <w:rPr>
          <w:rFonts w:ascii="Arial" w:hAnsi="Arial" w:cs="Arial"/>
        </w:rPr>
        <w:t xml:space="preserve"> </w:t>
      </w:r>
      <w:r>
        <w:rPr>
          <w:rFonts w:ascii="Arial" w:hAnsi="Arial" w:cs="Arial"/>
        </w:rPr>
        <w:t>јавне</w:t>
      </w:r>
      <w:r w:rsidR="007B6BE3" w:rsidRPr="0087376B">
        <w:rPr>
          <w:rFonts w:ascii="Arial" w:hAnsi="Arial" w:cs="Arial"/>
        </w:rPr>
        <w:t xml:space="preserve"> </w:t>
      </w:r>
      <w:r>
        <w:rPr>
          <w:rFonts w:ascii="Arial" w:hAnsi="Arial" w:cs="Arial"/>
        </w:rPr>
        <w:t>инвестиције</w:t>
      </w:r>
      <w:r w:rsidR="007B6BE3" w:rsidRPr="0087376B">
        <w:rPr>
          <w:rFonts w:ascii="Arial" w:hAnsi="Arial" w:cs="Arial"/>
        </w:rPr>
        <w:t xml:space="preserve"> </w:t>
      </w:r>
      <w:r>
        <w:rPr>
          <w:rFonts w:ascii="Arial" w:hAnsi="Arial" w:cs="Arial"/>
        </w:rPr>
        <w:t>играти</w:t>
      </w:r>
      <w:r w:rsidR="007B6BE3" w:rsidRPr="0087376B">
        <w:rPr>
          <w:rFonts w:ascii="Arial" w:hAnsi="Arial" w:cs="Arial"/>
        </w:rPr>
        <w:t xml:space="preserve"> </w:t>
      </w:r>
      <w:r>
        <w:rPr>
          <w:rFonts w:ascii="Arial" w:hAnsi="Arial" w:cs="Arial"/>
        </w:rPr>
        <w:t>значајнију</w:t>
      </w:r>
      <w:r w:rsidR="007B6BE3" w:rsidRPr="0087376B">
        <w:rPr>
          <w:rFonts w:ascii="Arial" w:hAnsi="Arial" w:cs="Arial"/>
        </w:rPr>
        <w:t xml:space="preserve"> </w:t>
      </w:r>
      <w:r>
        <w:rPr>
          <w:rFonts w:ascii="Arial" w:hAnsi="Arial" w:cs="Arial"/>
        </w:rPr>
        <w:t>улогу</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подстицању</w:t>
      </w:r>
      <w:r w:rsidR="007B6BE3" w:rsidRPr="0087376B">
        <w:rPr>
          <w:rFonts w:ascii="Arial" w:hAnsi="Arial" w:cs="Arial"/>
        </w:rPr>
        <w:t xml:space="preserve"> </w:t>
      </w:r>
      <w:r>
        <w:rPr>
          <w:rFonts w:ascii="Arial" w:hAnsi="Arial" w:cs="Arial"/>
        </w:rPr>
        <w:t>економског</w:t>
      </w:r>
      <w:r w:rsidR="007B6BE3" w:rsidRPr="0087376B">
        <w:rPr>
          <w:rFonts w:ascii="Arial" w:hAnsi="Arial" w:cs="Arial"/>
        </w:rPr>
        <w:t xml:space="preserve"> </w:t>
      </w:r>
      <w:r>
        <w:rPr>
          <w:rFonts w:ascii="Arial" w:hAnsi="Arial" w:cs="Arial"/>
        </w:rPr>
        <w:t>раста</w:t>
      </w:r>
      <w:r w:rsidR="007B6BE3" w:rsidRPr="0087376B">
        <w:rPr>
          <w:rFonts w:ascii="Arial" w:hAnsi="Arial" w:cs="Arial"/>
        </w:rPr>
        <w:t xml:space="preserve">. </w:t>
      </w:r>
      <w:r>
        <w:rPr>
          <w:rFonts w:ascii="Arial" w:hAnsi="Arial" w:cs="Arial"/>
        </w:rPr>
        <w:t>Изградња</w:t>
      </w:r>
      <w:r w:rsidR="007B6BE3" w:rsidRPr="0087376B">
        <w:rPr>
          <w:rFonts w:ascii="Arial" w:hAnsi="Arial" w:cs="Arial"/>
        </w:rPr>
        <w:t xml:space="preserve"> </w:t>
      </w:r>
      <w:r>
        <w:rPr>
          <w:rFonts w:ascii="Arial" w:hAnsi="Arial" w:cs="Arial"/>
        </w:rPr>
        <w:t>путне</w:t>
      </w:r>
      <w:r w:rsidR="007B6BE3" w:rsidRPr="0087376B">
        <w:rPr>
          <w:rFonts w:ascii="Arial" w:hAnsi="Arial" w:cs="Arial"/>
        </w:rPr>
        <w:t xml:space="preserve"> </w:t>
      </w:r>
      <w:r>
        <w:rPr>
          <w:rFonts w:ascii="Arial" w:hAnsi="Arial" w:cs="Arial"/>
        </w:rPr>
        <w:t>инфраструктуре</w:t>
      </w:r>
      <w:r w:rsidR="007B6BE3" w:rsidRPr="0087376B">
        <w:rPr>
          <w:rFonts w:ascii="Arial" w:hAnsi="Arial" w:cs="Arial"/>
        </w:rPr>
        <w:t xml:space="preserve"> </w:t>
      </w:r>
      <w:r>
        <w:rPr>
          <w:rFonts w:ascii="Arial" w:hAnsi="Arial" w:cs="Arial"/>
        </w:rPr>
        <w:t>те</w:t>
      </w:r>
      <w:r w:rsidR="007B6BE3" w:rsidRPr="0087376B">
        <w:rPr>
          <w:rFonts w:ascii="Arial" w:hAnsi="Arial" w:cs="Arial"/>
        </w:rPr>
        <w:t xml:space="preserve"> </w:t>
      </w:r>
      <w:r>
        <w:rPr>
          <w:rFonts w:ascii="Arial" w:hAnsi="Arial" w:cs="Arial"/>
        </w:rPr>
        <w:t>енергетски</w:t>
      </w:r>
      <w:r w:rsidR="007B6BE3" w:rsidRPr="0087376B">
        <w:rPr>
          <w:rFonts w:ascii="Arial" w:hAnsi="Arial" w:cs="Arial"/>
        </w:rPr>
        <w:t xml:space="preserve"> </w:t>
      </w:r>
      <w:r>
        <w:rPr>
          <w:rFonts w:ascii="Arial" w:hAnsi="Arial" w:cs="Arial"/>
        </w:rPr>
        <w:t>пројекти</w:t>
      </w:r>
      <w:r w:rsidR="009D7230">
        <w:rPr>
          <w:rFonts w:ascii="Arial" w:hAnsi="Arial" w:cs="Arial"/>
        </w:rPr>
        <w:t xml:space="preserve"> </w:t>
      </w:r>
      <w:r>
        <w:rPr>
          <w:rFonts w:ascii="Arial" w:hAnsi="Arial" w:cs="Arial"/>
        </w:rPr>
        <w:t>у</w:t>
      </w:r>
      <w:r w:rsidR="009D7230">
        <w:rPr>
          <w:rFonts w:ascii="Arial" w:hAnsi="Arial" w:cs="Arial"/>
        </w:rPr>
        <w:t xml:space="preserve"> </w:t>
      </w:r>
      <w:r>
        <w:rPr>
          <w:rFonts w:ascii="Arial" w:hAnsi="Arial" w:cs="Arial"/>
        </w:rPr>
        <w:t>средњорочном</w:t>
      </w:r>
      <w:r w:rsidR="009D7230">
        <w:rPr>
          <w:rFonts w:ascii="Arial" w:hAnsi="Arial" w:cs="Arial"/>
        </w:rPr>
        <w:t xml:space="preserve"> </w:t>
      </w:r>
      <w:r>
        <w:rPr>
          <w:rFonts w:ascii="Arial" w:hAnsi="Arial" w:cs="Arial"/>
        </w:rPr>
        <w:t>временском</w:t>
      </w:r>
      <w:r w:rsidR="009D7230">
        <w:rPr>
          <w:rFonts w:ascii="Arial" w:hAnsi="Arial" w:cs="Arial"/>
        </w:rPr>
        <w:t xml:space="preserve"> </w:t>
      </w:r>
      <w:r>
        <w:rPr>
          <w:rFonts w:ascii="Arial" w:hAnsi="Arial" w:cs="Arial"/>
        </w:rPr>
        <w:t>периоду</w:t>
      </w:r>
      <w:r w:rsidR="007B6BE3" w:rsidRPr="0087376B">
        <w:rPr>
          <w:rFonts w:ascii="Arial" w:hAnsi="Arial" w:cs="Arial"/>
        </w:rPr>
        <w:t xml:space="preserve"> </w:t>
      </w:r>
      <w:r>
        <w:rPr>
          <w:rFonts w:ascii="Arial" w:hAnsi="Arial" w:cs="Arial"/>
        </w:rPr>
        <w:t>знатно</w:t>
      </w:r>
      <w:r w:rsidR="007B6BE3" w:rsidRPr="0087376B">
        <w:rPr>
          <w:rFonts w:ascii="Arial" w:hAnsi="Arial" w:cs="Arial"/>
        </w:rPr>
        <w:t xml:space="preserve"> </w:t>
      </w:r>
      <w:r>
        <w:rPr>
          <w:rFonts w:ascii="Arial" w:hAnsi="Arial" w:cs="Arial"/>
        </w:rPr>
        <w:t>би</w:t>
      </w:r>
      <w:r w:rsidR="007B6BE3" w:rsidRPr="0087376B">
        <w:rPr>
          <w:rFonts w:ascii="Arial" w:hAnsi="Arial" w:cs="Arial"/>
        </w:rPr>
        <w:t xml:space="preserve"> </w:t>
      </w:r>
      <w:r>
        <w:rPr>
          <w:rFonts w:ascii="Arial" w:hAnsi="Arial" w:cs="Arial"/>
        </w:rPr>
        <w:t>требали</w:t>
      </w:r>
      <w:r w:rsidR="007B6BE3" w:rsidRPr="0087376B">
        <w:rPr>
          <w:rFonts w:ascii="Arial" w:hAnsi="Arial" w:cs="Arial"/>
        </w:rPr>
        <w:t xml:space="preserve"> </w:t>
      </w:r>
      <w:r>
        <w:rPr>
          <w:rFonts w:ascii="Arial" w:hAnsi="Arial" w:cs="Arial"/>
        </w:rPr>
        <w:t>повећати</w:t>
      </w:r>
      <w:r w:rsidR="007B6BE3" w:rsidRPr="0087376B">
        <w:rPr>
          <w:rFonts w:ascii="Arial" w:hAnsi="Arial" w:cs="Arial"/>
        </w:rPr>
        <w:t xml:space="preserve"> </w:t>
      </w:r>
      <w:r>
        <w:rPr>
          <w:rFonts w:ascii="Arial" w:hAnsi="Arial" w:cs="Arial"/>
        </w:rPr>
        <w:t>учешће</w:t>
      </w:r>
      <w:r w:rsidR="007B6BE3" w:rsidRPr="0087376B">
        <w:rPr>
          <w:rFonts w:ascii="Arial" w:hAnsi="Arial" w:cs="Arial"/>
        </w:rPr>
        <w:t xml:space="preserve"> </w:t>
      </w:r>
      <w:r>
        <w:rPr>
          <w:rFonts w:ascii="Arial" w:hAnsi="Arial" w:cs="Arial"/>
        </w:rPr>
        <w:t>јавних</w:t>
      </w:r>
      <w:r w:rsidR="007B6BE3" w:rsidRPr="0087376B">
        <w:rPr>
          <w:rFonts w:ascii="Arial" w:hAnsi="Arial" w:cs="Arial"/>
        </w:rPr>
        <w:t xml:space="preserve"> </w:t>
      </w:r>
      <w:r>
        <w:rPr>
          <w:rFonts w:ascii="Arial" w:hAnsi="Arial" w:cs="Arial"/>
        </w:rPr>
        <w:t>инвестиција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структури</w:t>
      </w:r>
      <w:r w:rsidR="007B6BE3" w:rsidRPr="0087376B">
        <w:rPr>
          <w:rFonts w:ascii="Arial" w:hAnsi="Arial" w:cs="Arial"/>
        </w:rPr>
        <w:t xml:space="preserve"> </w:t>
      </w:r>
      <w:r>
        <w:rPr>
          <w:rFonts w:ascii="Arial" w:hAnsi="Arial" w:cs="Arial"/>
        </w:rPr>
        <w:t>БДП</w:t>
      </w:r>
      <w:r w:rsidR="007B6BE3">
        <w:rPr>
          <w:rFonts w:ascii="Arial" w:hAnsi="Arial" w:cs="Arial"/>
        </w:rPr>
        <w:t>-</w:t>
      </w:r>
      <w:r>
        <w:rPr>
          <w:rFonts w:ascii="Arial" w:hAnsi="Arial" w:cs="Arial"/>
        </w:rPr>
        <w:t>а</w:t>
      </w:r>
      <w:r w:rsidR="007B6BE3" w:rsidRPr="0087376B">
        <w:rPr>
          <w:rFonts w:ascii="Arial" w:hAnsi="Arial" w:cs="Arial"/>
        </w:rPr>
        <w:t>.</w:t>
      </w:r>
    </w:p>
    <w:p w14:paraId="6CD556D3" w14:textId="77777777" w:rsidR="007B6BE3" w:rsidRPr="0087376B" w:rsidRDefault="005B20F8" w:rsidP="007B6BE3">
      <w:pPr>
        <w:spacing w:after="0"/>
        <w:ind w:firstLine="420"/>
        <w:jc w:val="both"/>
        <w:rPr>
          <w:rFonts w:ascii="Arial" w:hAnsi="Arial" w:cs="Arial"/>
        </w:rPr>
      </w:pPr>
      <w:r>
        <w:rPr>
          <w:rFonts w:ascii="Arial" w:hAnsi="Arial" w:cs="Arial"/>
        </w:rPr>
        <w:t>На</w:t>
      </w:r>
      <w:r w:rsidR="007B6BE3" w:rsidRPr="0087376B">
        <w:rPr>
          <w:rFonts w:ascii="Arial" w:hAnsi="Arial" w:cs="Arial"/>
        </w:rPr>
        <w:t xml:space="preserve"> </w:t>
      </w:r>
      <w:r>
        <w:rPr>
          <w:rFonts w:ascii="Arial" w:hAnsi="Arial" w:cs="Arial"/>
        </w:rPr>
        <w:t>услове</w:t>
      </w:r>
      <w:r w:rsidR="007B6BE3" w:rsidRPr="0087376B">
        <w:rPr>
          <w:rFonts w:ascii="Arial" w:hAnsi="Arial" w:cs="Arial"/>
        </w:rPr>
        <w:t xml:space="preserve"> </w:t>
      </w:r>
      <w:r>
        <w:rPr>
          <w:rFonts w:ascii="Arial" w:hAnsi="Arial" w:cs="Arial"/>
        </w:rPr>
        <w:t>финансирања</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спољном</w:t>
      </w:r>
      <w:r w:rsidR="007B6BE3" w:rsidRPr="0087376B">
        <w:rPr>
          <w:rFonts w:ascii="Arial" w:hAnsi="Arial" w:cs="Arial"/>
        </w:rPr>
        <w:t xml:space="preserve"> </w:t>
      </w:r>
      <w:r>
        <w:rPr>
          <w:rFonts w:ascii="Arial" w:hAnsi="Arial" w:cs="Arial"/>
        </w:rPr>
        <w:t>тржишту</w:t>
      </w:r>
      <w:r w:rsidR="007B6BE3" w:rsidRPr="0087376B">
        <w:rPr>
          <w:rFonts w:ascii="Arial" w:hAnsi="Arial" w:cs="Arial"/>
        </w:rPr>
        <w:t xml:space="preserve"> </w:t>
      </w:r>
      <w:r>
        <w:rPr>
          <w:rFonts w:ascii="Arial" w:hAnsi="Arial" w:cs="Arial"/>
        </w:rPr>
        <w:t>значајно</w:t>
      </w:r>
      <w:r w:rsidR="007B6BE3" w:rsidRPr="0087376B">
        <w:rPr>
          <w:rFonts w:ascii="Arial" w:hAnsi="Arial" w:cs="Arial"/>
        </w:rPr>
        <w:t xml:space="preserve"> </w:t>
      </w:r>
      <w:r>
        <w:rPr>
          <w:rFonts w:ascii="Arial" w:hAnsi="Arial" w:cs="Arial"/>
        </w:rPr>
        <w:t>утиче</w:t>
      </w:r>
      <w:r w:rsidR="007B6BE3" w:rsidRPr="0087376B">
        <w:rPr>
          <w:rFonts w:ascii="Arial" w:hAnsi="Arial" w:cs="Arial"/>
        </w:rPr>
        <w:t xml:space="preserve"> </w:t>
      </w:r>
      <w:r>
        <w:rPr>
          <w:rFonts w:ascii="Arial" w:hAnsi="Arial" w:cs="Arial"/>
        </w:rPr>
        <w:t>глобални</w:t>
      </w:r>
      <w:r w:rsidR="007B6BE3" w:rsidRPr="0087376B">
        <w:rPr>
          <w:rFonts w:ascii="Arial" w:hAnsi="Arial" w:cs="Arial"/>
        </w:rPr>
        <w:t xml:space="preserve"> </w:t>
      </w:r>
      <w:r>
        <w:rPr>
          <w:rFonts w:ascii="Arial" w:hAnsi="Arial" w:cs="Arial"/>
        </w:rPr>
        <w:t>кредитни</w:t>
      </w:r>
      <w:r w:rsidR="007B6BE3" w:rsidRPr="0087376B">
        <w:rPr>
          <w:rFonts w:ascii="Arial" w:hAnsi="Arial" w:cs="Arial"/>
        </w:rPr>
        <w:t xml:space="preserve"> </w:t>
      </w:r>
      <w:r>
        <w:rPr>
          <w:rFonts w:ascii="Arial" w:hAnsi="Arial" w:cs="Arial"/>
        </w:rPr>
        <w:t>рејтинг</w:t>
      </w:r>
      <w:r w:rsidR="007B6BE3" w:rsidRPr="0087376B">
        <w:rPr>
          <w:rFonts w:ascii="Arial" w:hAnsi="Arial" w:cs="Arial"/>
        </w:rPr>
        <w:t xml:space="preserve"> </w:t>
      </w:r>
      <w:r>
        <w:rPr>
          <w:rFonts w:ascii="Arial" w:hAnsi="Arial" w:cs="Arial"/>
        </w:rPr>
        <w:t>државе</w:t>
      </w:r>
      <w:r w:rsidR="007B6BE3" w:rsidRPr="0087376B">
        <w:rPr>
          <w:rFonts w:ascii="Arial" w:hAnsi="Arial" w:cs="Arial"/>
        </w:rPr>
        <w:t xml:space="preserve"> </w:t>
      </w:r>
      <w:r>
        <w:rPr>
          <w:rFonts w:ascii="Arial" w:hAnsi="Arial" w:cs="Arial"/>
        </w:rPr>
        <w:t>приказан</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табели</w:t>
      </w:r>
      <w:r w:rsidR="007B6BE3" w:rsidRPr="0087376B">
        <w:rPr>
          <w:rFonts w:ascii="Arial" w:hAnsi="Arial" w:cs="Arial"/>
        </w:rPr>
        <w:t xml:space="preserve"> </w:t>
      </w:r>
      <w:r>
        <w:rPr>
          <w:rFonts w:ascii="Arial" w:hAnsi="Arial" w:cs="Arial"/>
        </w:rPr>
        <w:t>који</w:t>
      </w:r>
      <w:r w:rsidR="007B6BE3" w:rsidRPr="0087376B">
        <w:rPr>
          <w:rFonts w:ascii="Arial" w:hAnsi="Arial" w:cs="Arial"/>
        </w:rPr>
        <w:t xml:space="preserve"> </w:t>
      </w:r>
      <w:r>
        <w:rPr>
          <w:rFonts w:ascii="Arial" w:hAnsi="Arial" w:cs="Arial"/>
        </w:rPr>
        <w:t>сврстава</w:t>
      </w:r>
      <w:r w:rsidR="007B6BE3" w:rsidRPr="0087376B">
        <w:rPr>
          <w:rFonts w:ascii="Arial" w:hAnsi="Arial" w:cs="Arial"/>
        </w:rPr>
        <w:t xml:space="preserve"> </w:t>
      </w:r>
      <w:r>
        <w:rPr>
          <w:rFonts w:ascii="Arial" w:hAnsi="Arial" w:cs="Arial"/>
        </w:rPr>
        <w:t>Босну</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Херцеговину</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скупину</w:t>
      </w:r>
      <w:r w:rsidR="007B6BE3" w:rsidRPr="0087376B">
        <w:rPr>
          <w:rFonts w:ascii="Arial" w:hAnsi="Arial" w:cs="Arial"/>
        </w:rPr>
        <w:t xml:space="preserve"> </w:t>
      </w:r>
      <w:r>
        <w:rPr>
          <w:rFonts w:ascii="Arial" w:hAnsi="Arial" w:cs="Arial"/>
        </w:rPr>
        <w:t>земаља</w:t>
      </w:r>
      <w:r w:rsidR="007B6BE3" w:rsidRPr="0087376B">
        <w:rPr>
          <w:rFonts w:ascii="Arial" w:hAnsi="Arial" w:cs="Arial"/>
        </w:rPr>
        <w:t xml:space="preserve"> </w:t>
      </w:r>
      <w:r>
        <w:rPr>
          <w:rFonts w:ascii="Arial" w:hAnsi="Arial" w:cs="Arial"/>
        </w:rPr>
        <w:t>с</w:t>
      </w:r>
      <w:r w:rsidR="007B6BE3" w:rsidRPr="0087376B">
        <w:rPr>
          <w:rFonts w:ascii="Arial" w:hAnsi="Arial" w:cs="Arial"/>
        </w:rPr>
        <w:t xml:space="preserve"> </w:t>
      </w:r>
      <w:r>
        <w:rPr>
          <w:rFonts w:ascii="Arial" w:hAnsi="Arial" w:cs="Arial"/>
        </w:rPr>
        <w:t>високим</w:t>
      </w:r>
      <w:r w:rsidR="007B6BE3" w:rsidRPr="0087376B">
        <w:rPr>
          <w:rFonts w:ascii="Arial" w:hAnsi="Arial" w:cs="Arial"/>
        </w:rPr>
        <w:t xml:space="preserve"> </w:t>
      </w:r>
      <w:r>
        <w:rPr>
          <w:rFonts w:ascii="Arial" w:hAnsi="Arial" w:cs="Arial"/>
        </w:rPr>
        <w:t>кредитним</w:t>
      </w:r>
      <w:r w:rsidR="007B6BE3" w:rsidRPr="0087376B">
        <w:rPr>
          <w:rFonts w:ascii="Arial" w:hAnsi="Arial" w:cs="Arial"/>
        </w:rPr>
        <w:t xml:space="preserve"> </w:t>
      </w:r>
      <w:r>
        <w:rPr>
          <w:rFonts w:ascii="Arial" w:hAnsi="Arial" w:cs="Arial"/>
        </w:rPr>
        <w:t>ризиком</w:t>
      </w:r>
      <w:r w:rsidR="007B6BE3" w:rsidRPr="0087376B">
        <w:rPr>
          <w:rFonts w:ascii="Arial" w:hAnsi="Arial" w:cs="Arial"/>
        </w:rPr>
        <w:t xml:space="preserve"> </w:t>
      </w:r>
      <w:r>
        <w:rPr>
          <w:rFonts w:ascii="Arial" w:hAnsi="Arial" w:cs="Arial"/>
        </w:rPr>
        <w:t>иако</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најновија</w:t>
      </w:r>
      <w:r w:rsidR="007B6BE3" w:rsidRPr="0087376B">
        <w:rPr>
          <w:rFonts w:ascii="Arial" w:hAnsi="Arial" w:cs="Arial"/>
        </w:rPr>
        <w:t xml:space="preserve"> </w:t>
      </w:r>
      <w:r>
        <w:rPr>
          <w:rFonts w:ascii="Arial" w:hAnsi="Arial" w:cs="Arial"/>
        </w:rPr>
        <w:t>оцјена</w:t>
      </w:r>
      <w:r w:rsidR="007B6BE3" w:rsidRPr="0087376B">
        <w:rPr>
          <w:rFonts w:ascii="Arial" w:hAnsi="Arial" w:cs="Arial"/>
        </w:rPr>
        <w:t xml:space="preserve"> </w:t>
      </w:r>
      <w:r>
        <w:rPr>
          <w:rFonts w:ascii="Arial" w:hAnsi="Arial" w:cs="Arial"/>
        </w:rPr>
        <w:t>агенције</w:t>
      </w:r>
      <w:r w:rsidR="007B6BE3" w:rsidRPr="0087376B">
        <w:rPr>
          <w:rFonts w:ascii="Arial" w:hAnsi="Arial" w:cs="Arial"/>
        </w:rPr>
        <w:t xml:space="preserve"> </w:t>
      </w:r>
      <w:r w:rsidR="00625E9C" w:rsidRPr="00DB5BBF">
        <w:rPr>
          <w:rFonts w:ascii="Arial" w:hAnsi="Arial" w:cs="Arial"/>
        </w:rPr>
        <w:t xml:space="preserve">Standard &amp; Poor's </w:t>
      </w:r>
      <w:r>
        <w:rPr>
          <w:rFonts w:ascii="Arial" w:hAnsi="Arial" w:cs="Arial"/>
        </w:rPr>
        <w:t>повећала</w:t>
      </w:r>
      <w:r w:rsidR="007B6BE3" w:rsidRPr="0087376B">
        <w:rPr>
          <w:rFonts w:ascii="Arial" w:hAnsi="Arial" w:cs="Arial"/>
        </w:rPr>
        <w:t xml:space="preserve"> </w:t>
      </w:r>
      <w:r>
        <w:rPr>
          <w:rFonts w:ascii="Arial" w:hAnsi="Arial" w:cs="Arial"/>
        </w:rPr>
        <w:t>кредитни</w:t>
      </w:r>
      <w:r w:rsidR="007B6BE3" w:rsidRPr="0087376B">
        <w:rPr>
          <w:rFonts w:ascii="Arial" w:hAnsi="Arial" w:cs="Arial"/>
        </w:rPr>
        <w:t xml:space="preserve"> </w:t>
      </w:r>
      <w:r>
        <w:rPr>
          <w:rFonts w:ascii="Arial" w:hAnsi="Arial" w:cs="Arial"/>
        </w:rPr>
        <w:t>рејтинг</w:t>
      </w:r>
      <w:r w:rsidR="007B6BE3" w:rsidRPr="0087376B">
        <w:rPr>
          <w:rFonts w:ascii="Arial" w:hAnsi="Arial" w:cs="Arial"/>
        </w:rPr>
        <w:t xml:space="preserve"> (</w:t>
      </w:r>
      <w:r>
        <w:rPr>
          <w:rFonts w:ascii="Arial" w:hAnsi="Arial" w:cs="Arial"/>
        </w:rPr>
        <w:t>раније</w:t>
      </w:r>
      <w:r w:rsidR="007B6BE3" w:rsidRPr="0087376B">
        <w:rPr>
          <w:rFonts w:ascii="Arial" w:hAnsi="Arial" w:cs="Arial"/>
        </w:rPr>
        <w:t xml:space="preserve"> </w:t>
      </w:r>
      <w:r>
        <w:rPr>
          <w:rFonts w:ascii="Arial" w:hAnsi="Arial" w:cs="Arial"/>
        </w:rPr>
        <w:t>био</w:t>
      </w:r>
      <w:r w:rsidR="007B6BE3" w:rsidRPr="0087376B">
        <w:rPr>
          <w:rFonts w:ascii="Arial" w:hAnsi="Arial" w:cs="Arial"/>
        </w:rPr>
        <w:t xml:space="preserve"> </w:t>
      </w:r>
      <w:r>
        <w:rPr>
          <w:rFonts w:ascii="Arial" w:hAnsi="Arial" w:cs="Arial"/>
        </w:rPr>
        <w:t>Б</w:t>
      </w:r>
      <w:r w:rsidR="007B6BE3" w:rsidRPr="0087376B">
        <w:rPr>
          <w:rFonts w:ascii="Arial" w:hAnsi="Arial" w:cs="Arial"/>
        </w:rPr>
        <w:t>/</w:t>
      </w:r>
      <w:r>
        <w:rPr>
          <w:rFonts w:ascii="Arial" w:hAnsi="Arial" w:cs="Arial"/>
        </w:rPr>
        <w:t>позитивни</w:t>
      </w:r>
      <w:r w:rsidR="007B6BE3" w:rsidRPr="0087376B">
        <w:rPr>
          <w:rFonts w:ascii="Arial" w:hAnsi="Arial" w:cs="Arial"/>
        </w:rPr>
        <w:t xml:space="preserve"> </w:t>
      </w:r>
      <w:r>
        <w:rPr>
          <w:rFonts w:ascii="Arial" w:hAnsi="Arial" w:cs="Arial"/>
        </w:rPr>
        <w:t>изгледи</w:t>
      </w:r>
      <w:r w:rsidR="007B6BE3" w:rsidRPr="0087376B">
        <w:rPr>
          <w:rFonts w:ascii="Arial" w:hAnsi="Arial" w:cs="Arial"/>
        </w:rPr>
        <w:t>)</w:t>
      </w:r>
    </w:p>
    <w:p w14:paraId="4F70BBE3" w14:textId="77777777" w:rsidR="007B6BE3" w:rsidRPr="0087376B" w:rsidRDefault="007B6BE3" w:rsidP="007B6BE3">
      <w:pPr>
        <w:spacing w:after="0"/>
        <w:ind w:firstLine="420"/>
        <w:jc w:val="both"/>
        <w:rPr>
          <w:rFonts w:ascii="Arial" w:hAnsi="Arial" w:cs="Arial"/>
        </w:rPr>
      </w:pPr>
    </w:p>
    <w:p w14:paraId="32E4C836" w14:textId="77777777" w:rsidR="007B6BE3" w:rsidRPr="0087376B" w:rsidRDefault="005B20F8" w:rsidP="007B6BE3">
      <w:pPr>
        <w:spacing w:after="0"/>
        <w:ind w:firstLine="420"/>
        <w:jc w:val="both"/>
        <w:rPr>
          <w:rFonts w:ascii="Arial" w:hAnsi="Arial" w:cs="Arial"/>
          <w:iCs/>
        </w:rPr>
      </w:pPr>
      <w:r>
        <w:rPr>
          <w:rFonts w:ascii="Arial" w:hAnsi="Arial" w:cs="Arial"/>
          <w:iCs/>
        </w:rPr>
        <w:t>Табела</w:t>
      </w:r>
      <w:r w:rsidR="007B6BE3" w:rsidRPr="0087376B">
        <w:rPr>
          <w:rFonts w:ascii="Arial" w:hAnsi="Arial" w:cs="Arial"/>
          <w:iCs/>
        </w:rPr>
        <w:t xml:space="preserve"> 5. </w:t>
      </w:r>
      <w:r>
        <w:rPr>
          <w:rFonts w:ascii="Arial" w:hAnsi="Arial" w:cs="Arial"/>
          <w:iCs/>
        </w:rPr>
        <w:t>Кредитни</w:t>
      </w:r>
      <w:r w:rsidR="007B6BE3" w:rsidRPr="0087376B">
        <w:rPr>
          <w:rFonts w:ascii="Arial" w:hAnsi="Arial" w:cs="Arial"/>
          <w:iCs/>
        </w:rPr>
        <w:t xml:space="preserve"> </w:t>
      </w:r>
      <w:r>
        <w:rPr>
          <w:rFonts w:ascii="Arial" w:hAnsi="Arial" w:cs="Arial"/>
          <w:iCs/>
        </w:rPr>
        <w:t>рејтинг</w:t>
      </w:r>
      <w:r w:rsidR="007B6BE3" w:rsidRPr="0087376B">
        <w:rPr>
          <w:rFonts w:ascii="Arial" w:hAnsi="Arial" w:cs="Arial"/>
          <w:iCs/>
        </w:rPr>
        <w:t xml:space="preserve"> </w:t>
      </w:r>
      <w:r>
        <w:rPr>
          <w:rFonts w:ascii="Arial" w:hAnsi="Arial" w:cs="Arial"/>
          <w:iCs/>
        </w:rPr>
        <w:t>БиХ</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0"/>
        <w:gridCol w:w="3649"/>
        <w:gridCol w:w="3378"/>
      </w:tblGrid>
      <w:tr w:rsidR="00625E9C" w:rsidRPr="0087376B" w14:paraId="19C1184A" w14:textId="77777777" w:rsidTr="007B6BE3">
        <w:trPr>
          <w:trHeight w:val="284"/>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E183CE" w14:textId="77777777" w:rsidR="00625E9C" w:rsidRPr="0087376B" w:rsidRDefault="00625E9C" w:rsidP="00625E9C">
            <w:pPr>
              <w:spacing w:after="0"/>
              <w:ind w:firstLine="420"/>
              <w:jc w:val="both"/>
              <w:rPr>
                <w:rFonts w:ascii="Arial" w:hAnsi="Arial" w:cs="Arial"/>
                <w:iCs/>
              </w:rPr>
            </w:pPr>
            <w:r w:rsidRPr="0087376B">
              <w:rPr>
                <w:rFonts w:ascii="Arial" w:hAnsi="Arial" w:cs="Arial"/>
                <w:iCs/>
              </w:rPr>
              <w:t> </w:t>
            </w:r>
          </w:p>
        </w:tc>
        <w:tc>
          <w:tcPr>
            <w:tcW w:w="1958"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1F8A348E" w14:textId="77777777" w:rsidR="00625E9C" w:rsidRPr="00DB5BBF" w:rsidRDefault="00625E9C" w:rsidP="00625E9C">
            <w:pPr>
              <w:spacing w:after="0"/>
              <w:ind w:firstLine="420"/>
              <w:jc w:val="both"/>
              <w:rPr>
                <w:rFonts w:ascii="Arial" w:hAnsi="Arial" w:cs="Arial"/>
                <w:iCs/>
              </w:rPr>
            </w:pPr>
            <w:r w:rsidRPr="00DB5BBF">
              <w:rPr>
                <w:rFonts w:ascii="Arial" w:hAnsi="Arial" w:cs="Arial"/>
                <w:bCs/>
                <w:iCs/>
              </w:rPr>
              <w:t>Moody's Investors Service</w:t>
            </w:r>
          </w:p>
        </w:tc>
        <w:tc>
          <w:tcPr>
            <w:tcW w:w="1813"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140EE057" w14:textId="77777777" w:rsidR="00625E9C" w:rsidRPr="00DB5BBF" w:rsidRDefault="00625E9C" w:rsidP="00625E9C">
            <w:pPr>
              <w:spacing w:after="0"/>
              <w:ind w:firstLine="420"/>
              <w:jc w:val="both"/>
              <w:rPr>
                <w:rFonts w:ascii="Arial" w:hAnsi="Arial" w:cs="Arial"/>
                <w:iCs/>
              </w:rPr>
            </w:pPr>
            <w:bookmarkStart w:id="112" w:name="_Hlk147917193"/>
            <w:r w:rsidRPr="00DB5BBF">
              <w:rPr>
                <w:rFonts w:ascii="Arial" w:hAnsi="Arial" w:cs="Arial"/>
                <w:bCs/>
                <w:iCs/>
              </w:rPr>
              <w:t>Standard &amp; Poor's</w:t>
            </w:r>
            <w:bookmarkEnd w:id="112"/>
          </w:p>
        </w:tc>
      </w:tr>
      <w:tr w:rsidR="007B6BE3" w:rsidRPr="0087376B" w14:paraId="569AA83A" w14:textId="77777777" w:rsidTr="007B6BE3">
        <w:trPr>
          <w:trHeight w:val="284"/>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CD8894" w14:textId="77777777" w:rsidR="007B6BE3" w:rsidRPr="0087376B" w:rsidRDefault="005B20F8" w:rsidP="007B6BE3">
            <w:pPr>
              <w:spacing w:after="0"/>
              <w:ind w:firstLine="420"/>
              <w:jc w:val="both"/>
              <w:rPr>
                <w:rFonts w:ascii="Arial" w:hAnsi="Arial" w:cs="Arial"/>
                <w:iCs/>
              </w:rPr>
            </w:pPr>
            <w:r>
              <w:rPr>
                <w:rFonts w:ascii="Arial" w:hAnsi="Arial" w:cs="Arial"/>
                <w:iCs/>
              </w:rPr>
              <w:t>Рејтинг</w:t>
            </w:r>
          </w:p>
        </w:tc>
        <w:tc>
          <w:tcPr>
            <w:tcW w:w="195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FD6A5C" w14:textId="77777777" w:rsidR="007B6BE3" w:rsidRPr="0087376B" w:rsidRDefault="005B20F8" w:rsidP="007B6BE3">
            <w:pPr>
              <w:spacing w:after="0"/>
              <w:ind w:firstLine="420"/>
              <w:jc w:val="both"/>
              <w:rPr>
                <w:rFonts w:ascii="Arial" w:hAnsi="Arial" w:cs="Arial"/>
                <w:iCs/>
              </w:rPr>
            </w:pPr>
            <w:r>
              <w:rPr>
                <w:rFonts w:ascii="Arial" w:hAnsi="Arial" w:cs="Arial"/>
                <w:iCs/>
              </w:rPr>
              <w:t>Б</w:t>
            </w:r>
            <w:r w:rsidR="007B6BE3" w:rsidRPr="0087376B">
              <w:rPr>
                <w:rFonts w:ascii="Arial" w:hAnsi="Arial" w:cs="Arial"/>
                <w:iCs/>
              </w:rPr>
              <w:t>3/</w:t>
            </w:r>
            <w:r>
              <w:rPr>
                <w:rFonts w:ascii="Arial" w:hAnsi="Arial" w:cs="Arial"/>
                <w:iCs/>
              </w:rPr>
              <w:t>стабилни</w:t>
            </w:r>
            <w:r w:rsidR="007B6BE3" w:rsidRPr="0087376B">
              <w:rPr>
                <w:rFonts w:ascii="Arial" w:hAnsi="Arial" w:cs="Arial"/>
                <w:iCs/>
              </w:rPr>
              <w:t xml:space="preserve"> </w:t>
            </w:r>
            <w:r>
              <w:rPr>
                <w:rFonts w:ascii="Arial" w:hAnsi="Arial" w:cs="Arial"/>
                <w:iCs/>
              </w:rPr>
              <w:t>изгледи</w:t>
            </w:r>
          </w:p>
        </w:tc>
        <w:tc>
          <w:tcPr>
            <w:tcW w:w="181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E62808" w14:textId="77777777" w:rsidR="007B6BE3" w:rsidRPr="0087376B" w:rsidRDefault="005B20F8" w:rsidP="007B6BE3">
            <w:pPr>
              <w:spacing w:after="0"/>
              <w:ind w:firstLine="420"/>
              <w:jc w:val="both"/>
              <w:rPr>
                <w:rFonts w:ascii="Arial" w:hAnsi="Arial" w:cs="Arial"/>
                <w:iCs/>
              </w:rPr>
            </w:pPr>
            <w:r>
              <w:rPr>
                <w:rFonts w:ascii="Arial" w:hAnsi="Arial" w:cs="Arial"/>
                <w:iCs/>
              </w:rPr>
              <w:t>Б</w:t>
            </w:r>
            <w:r w:rsidR="007B6BE3" w:rsidRPr="0087376B">
              <w:rPr>
                <w:rFonts w:ascii="Arial" w:hAnsi="Arial" w:cs="Arial"/>
                <w:iCs/>
              </w:rPr>
              <w:t>+/</w:t>
            </w:r>
            <w:r>
              <w:rPr>
                <w:rFonts w:ascii="Arial" w:hAnsi="Arial" w:cs="Arial"/>
                <w:iCs/>
              </w:rPr>
              <w:t>стабилни</w:t>
            </w:r>
            <w:r w:rsidR="007B6BE3" w:rsidRPr="0087376B">
              <w:rPr>
                <w:rFonts w:ascii="Arial" w:hAnsi="Arial" w:cs="Arial"/>
                <w:iCs/>
              </w:rPr>
              <w:t xml:space="preserve"> </w:t>
            </w:r>
            <w:r>
              <w:rPr>
                <w:rFonts w:ascii="Arial" w:hAnsi="Arial" w:cs="Arial"/>
                <w:iCs/>
              </w:rPr>
              <w:t>изгледи</w:t>
            </w:r>
          </w:p>
        </w:tc>
      </w:tr>
      <w:tr w:rsidR="007B6BE3" w:rsidRPr="0087376B" w14:paraId="211B5393" w14:textId="77777777" w:rsidTr="007B6BE3">
        <w:trPr>
          <w:trHeight w:val="284"/>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349370" w14:textId="77777777" w:rsidR="007B6BE3" w:rsidRPr="0087376B" w:rsidRDefault="005B20F8" w:rsidP="007B6BE3">
            <w:pPr>
              <w:spacing w:after="0"/>
              <w:ind w:firstLine="420"/>
              <w:jc w:val="both"/>
              <w:rPr>
                <w:rFonts w:ascii="Arial" w:hAnsi="Arial" w:cs="Arial"/>
                <w:iCs/>
              </w:rPr>
            </w:pPr>
            <w:r>
              <w:rPr>
                <w:rFonts w:ascii="Arial" w:hAnsi="Arial" w:cs="Arial"/>
                <w:iCs/>
              </w:rPr>
              <w:t>Датум</w:t>
            </w:r>
          </w:p>
        </w:tc>
        <w:tc>
          <w:tcPr>
            <w:tcW w:w="195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08E56A" w14:textId="77777777" w:rsidR="007B6BE3" w:rsidRPr="0087376B" w:rsidRDefault="007B6BE3" w:rsidP="007B6BE3">
            <w:pPr>
              <w:spacing w:after="0"/>
              <w:ind w:firstLine="420"/>
              <w:jc w:val="both"/>
              <w:rPr>
                <w:rFonts w:ascii="Arial" w:hAnsi="Arial" w:cs="Arial"/>
                <w:iCs/>
              </w:rPr>
            </w:pPr>
            <w:r w:rsidRPr="0087376B">
              <w:rPr>
                <w:rFonts w:ascii="Arial" w:hAnsi="Arial" w:cs="Arial"/>
                <w:iCs/>
              </w:rPr>
              <w:t xml:space="preserve">22.07.2022. </w:t>
            </w:r>
            <w:r w:rsidR="005B20F8">
              <w:rPr>
                <w:rFonts w:ascii="Arial" w:hAnsi="Arial" w:cs="Arial"/>
                <w:iCs/>
              </w:rPr>
              <w:t>године</w:t>
            </w:r>
          </w:p>
        </w:tc>
        <w:tc>
          <w:tcPr>
            <w:tcW w:w="181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55D00D" w14:textId="77777777" w:rsidR="007B6BE3" w:rsidRPr="0087376B" w:rsidRDefault="007B6BE3" w:rsidP="007B6BE3">
            <w:pPr>
              <w:spacing w:after="0"/>
              <w:ind w:firstLine="420"/>
              <w:jc w:val="both"/>
              <w:rPr>
                <w:rFonts w:ascii="Arial" w:hAnsi="Arial" w:cs="Arial"/>
                <w:iCs/>
              </w:rPr>
            </w:pPr>
            <w:r w:rsidRPr="0087376B">
              <w:rPr>
                <w:rFonts w:ascii="Arial" w:hAnsi="Arial" w:cs="Arial"/>
                <w:iCs/>
              </w:rPr>
              <w:t xml:space="preserve">04.08.2023. </w:t>
            </w:r>
            <w:r w:rsidR="005B20F8">
              <w:rPr>
                <w:rFonts w:ascii="Arial" w:hAnsi="Arial" w:cs="Arial"/>
                <w:iCs/>
              </w:rPr>
              <w:t>године</w:t>
            </w:r>
          </w:p>
        </w:tc>
      </w:tr>
      <w:tr w:rsidR="007B6BE3" w:rsidRPr="0087376B" w14:paraId="6883DBFB" w14:textId="77777777" w:rsidTr="007B6BE3">
        <w:trPr>
          <w:trHeight w:val="284"/>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61E181" w14:textId="77777777" w:rsidR="007B6BE3" w:rsidRPr="0087376B" w:rsidRDefault="005B20F8" w:rsidP="007B6BE3">
            <w:pPr>
              <w:spacing w:after="0"/>
              <w:ind w:firstLine="420"/>
              <w:jc w:val="both"/>
              <w:rPr>
                <w:rFonts w:ascii="Arial" w:hAnsi="Arial" w:cs="Arial"/>
                <w:iCs/>
              </w:rPr>
            </w:pPr>
            <w:r>
              <w:rPr>
                <w:rFonts w:ascii="Arial" w:hAnsi="Arial" w:cs="Arial"/>
                <w:iCs/>
              </w:rPr>
              <w:t>Активност</w:t>
            </w:r>
          </w:p>
        </w:tc>
        <w:tc>
          <w:tcPr>
            <w:tcW w:w="195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14E70F" w14:textId="77777777" w:rsidR="007B6BE3" w:rsidRPr="0087376B" w:rsidRDefault="005B20F8" w:rsidP="007B6BE3">
            <w:pPr>
              <w:spacing w:after="0"/>
              <w:ind w:firstLine="420"/>
              <w:jc w:val="both"/>
              <w:rPr>
                <w:rFonts w:ascii="Arial" w:hAnsi="Arial" w:cs="Arial"/>
                <w:iCs/>
              </w:rPr>
            </w:pPr>
            <w:r>
              <w:rPr>
                <w:rFonts w:ascii="Arial" w:hAnsi="Arial" w:cs="Arial"/>
                <w:iCs/>
              </w:rPr>
              <w:t>Потврђен</w:t>
            </w:r>
            <w:r w:rsidR="007B6BE3" w:rsidRPr="0087376B">
              <w:rPr>
                <w:rFonts w:ascii="Arial" w:hAnsi="Arial" w:cs="Arial"/>
                <w:iCs/>
              </w:rPr>
              <w:t xml:space="preserve"> </w:t>
            </w:r>
            <w:r>
              <w:rPr>
                <w:rFonts w:ascii="Arial" w:hAnsi="Arial" w:cs="Arial"/>
                <w:iCs/>
              </w:rPr>
              <w:t>рејтинг</w:t>
            </w:r>
          </w:p>
        </w:tc>
        <w:tc>
          <w:tcPr>
            <w:tcW w:w="181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F0F214" w14:textId="77777777" w:rsidR="007B6BE3" w:rsidRPr="0087376B" w:rsidRDefault="005B20F8" w:rsidP="007B6BE3">
            <w:pPr>
              <w:spacing w:after="0"/>
              <w:ind w:firstLine="420"/>
              <w:jc w:val="both"/>
              <w:rPr>
                <w:rFonts w:ascii="Arial" w:hAnsi="Arial" w:cs="Arial"/>
                <w:iCs/>
              </w:rPr>
            </w:pPr>
            <w:r>
              <w:rPr>
                <w:rFonts w:ascii="Arial" w:hAnsi="Arial" w:cs="Arial"/>
                <w:iCs/>
              </w:rPr>
              <w:t>Потврђен</w:t>
            </w:r>
            <w:r w:rsidR="007B6BE3" w:rsidRPr="0087376B">
              <w:rPr>
                <w:rFonts w:ascii="Arial" w:hAnsi="Arial" w:cs="Arial"/>
                <w:iCs/>
              </w:rPr>
              <w:t xml:space="preserve"> </w:t>
            </w:r>
            <w:r>
              <w:rPr>
                <w:rFonts w:ascii="Arial" w:hAnsi="Arial" w:cs="Arial"/>
                <w:iCs/>
              </w:rPr>
              <w:t>рејтинг</w:t>
            </w:r>
          </w:p>
        </w:tc>
      </w:tr>
    </w:tbl>
    <w:p w14:paraId="259B098C" w14:textId="77777777" w:rsidR="007B6BE3" w:rsidRPr="0087376B" w:rsidRDefault="007B6BE3" w:rsidP="007B6BE3">
      <w:pPr>
        <w:spacing w:after="0"/>
        <w:ind w:firstLine="420"/>
        <w:jc w:val="both"/>
        <w:rPr>
          <w:rFonts w:ascii="Arial" w:hAnsi="Arial" w:cs="Arial"/>
          <w:iCs/>
        </w:rPr>
      </w:pPr>
      <w:r w:rsidRPr="0087376B">
        <w:rPr>
          <w:rFonts w:ascii="Arial" w:hAnsi="Arial" w:cs="Arial"/>
          <w:iCs/>
        </w:rPr>
        <w:t xml:space="preserve"> </w:t>
      </w:r>
      <w:r w:rsidR="005B20F8">
        <w:rPr>
          <w:rFonts w:ascii="Arial" w:hAnsi="Arial" w:cs="Arial"/>
          <w:iCs/>
        </w:rPr>
        <w:t>Извор</w:t>
      </w:r>
      <w:r w:rsidRPr="0087376B">
        <w:rPr>
          <w:rFonts w:ascii="Arial" w:hAnsi="Arial" w:cs="Arial"/>
          <w:iCs/>
        </w:rPr>
        <w:t xml:space="preserve">: </w:t>
      </w:r>
      <w:r w:rsidR="005B20F8">
        <w:rPr>
          <w:rFonts w:ascii="Arial" w:hAnsi="Arial" w:cs="Arial"/>
          <w:iCs/>
        </w:rPr>
        <w:t>ЦББХ</w:t>
      </w:r>
      <w:r w:rsidRPr="0087376B">
        <w:rPr>
          <w:rFonts w:ascii="Arial" w:hAnsi="Arial" w:cs="Arial"/>
          <w:iCs/>
        </w:rPr>
        <w:t xml:space="preserve"> </w:t>
      </w:r>
    </w:p>
    <w:p w14:paraId="47C9FFC6" w14:textId="77777777" w:rsidR="007B6BE3" w:rsidRPr="0087376B" w:rsidRDefault="007B6BE3" w:rsidP="007B6BE3">
      <w:pPr>
        <w:spacing w:after="0"/>
        <w:ind w:firstLine="420"/>
        <w:jc w:val="both"/>
        <w:rPr>
          <w:rFonts w:ascii="Arial" w:hAnsi="Arial" w:cs="Arial"/>
        </w:rPr>
      </w:pPr>
    </w:p>
    <w:p w14:paraId="2B662673" w14:textId="77777777" w:rsidR="007B6BE3" w:rsidRPr="0087376B" w:rsidRDefault="007B6BE3" w:rsidP="007B6BE3">
      <w:pPr>
        <w:spacing w:after="0"/>
        <w:ind w:firstLine="420"/>
        <w:jc w:val="both"/>
        <w:rPr>
          <w:rFonts w:ascii="Arial" w:hAnsi="Arial" w:cs="Arial"/>
        </w:rPr>
      </w:pPr>
    </w:p>
    <w:p w14:paraId="08DDC340" w14:textId="77777777" w:rsidR="007B6BE3" w:rsidRPr="0087376B" w:rsidRDefault="007B6BE3" w:rsidP="007B6BE3">
      <w:pPr>
        <w:spacing w:after="0"/>
        <w:ind w:firstLine="420"/>
        <w:jc w:val="both"/>
        <w:rPr>
          <w:rFonts w:ascii="Arial" w:hAnsi="Arial" w:cs="Arial"/>
        </w:rPr>
      </w:pPr>
    </w:p>
    <w:p w14:paraId="3E982DF1" w14:textId="77777777" w:rsidR="007B6BE3" w:rsidRPr="0087376B" w:rsidRDefault="007B6BE3" w:rsidP="007B6BE3">
      <w:pPr>
        <w:spacing w:after="0"/>
        <w:ind w:firstLine="420"/>
        <w:jc w:val="both"/>
        <w:rPr>
          <w:rFonts w:ascii="Arial" w:hAnsi="Arial" w:cs="Arial"/>
        </w:rPr>
      </w:pPr>
    </w:p>
    <w:p w14:paraId="6F273929" w14:textId="77777777" w:rsidR="007B6BE3" w:rsidRPr="0087376B" w:rsidRDefault="007B6BE3" w:rsidP="007B6BE3">
      <w:pPr>
        <w:spacing w:after="0"/>
        <w:ind w:firstLine="420"/>
        <w:jc w:val="both"/>
        <w:rPr>
          <w:rFonts w:ascii="Arial" w:hAnsi="Arial" w:cs="Arial"/>
        </w:rPr>
      </w:pPr>
    </w:p>
    <w:p w14:paraId="4EC8C617" w14:textId="77777777" w:rsidR="007B6BE3" w:rsidRPr="0087376B" w:rsidRDefault="007B6BE3" w:rsidP="009D7230">
      <w:pPr>
        <w:spacing w:after="0"/>
        <w:jc w:val="both"/>
        <w:rPr>
          <w:rFonts w:ascii="Arial" w:hAnsi="Arial" w:cs="Arial"/>
        </w:rPr>
      </w:pPr>
    </w:p>
    <w:p w14:paraId="0764454A" w14:textId="77777777" w:rsidR="007B6BE3" w:rsidRPr="0087376B" w:rsidRDefault="007B6BE3" w:rsidP="007B6BE3">
      <w:pPr>
        <w:spacing w:after="0" w:line="240" w:lineRule="auto"/>
        <w:jc w:val="both"/>
        <w:rPr>
          <w:rFonts w:ascii="Arial" w:hAnsi="Arial" w:cs="Arial"/>
          <w:bCs/>
          <w:sz w:val="24"/>
          <w:szCs w:val="24"/>
        </w:rPr>
      </w:pPr>
      <w:r w:rsidRPr="0087376B">
        <w:rPr>
          <w:rFonts w:ascii="Arial" w:hAnsi="Arial" w:cs="Arial"/>
          <w:bCs/>
          <w:szCs w:val="24"/>
        </w:rPr>
        <w:lastRenderedPageBreak/>
        <w:fldChar w:fldCharType="begin"/>
      </w:r>
      <w:r w:rsidRPr="0087376B">
        <w:rPr>
          <w:rFonts w:ascii="Arial" w:hAnsi="Arial" w:cs="Arial"/>
          <w:bCs/>
          <w:szCs w:val="24"/>
        </w:rPr>
        <w:instrText xml:space="preserve"> TC "</w:instrText>
      </w:r>
      <w:bookmarkStart w:id="113" w:name="_Toc378596787"/>
      <w:bookmarkStart w:id="114" w:name="_Toc395874948"/>
      <w:r w:rsidRPr="0087376B">
        <w:rPr>
          <w:rFonts w:ascii="Arial" w:hAnsi="Arial" w:cs="Arial"/>
          <w:bCs/>
          <w:szCs w:val="24"/>
        </w:rPr>
        <w:instrText>6. Macroeconomic Risks and Implications for Debt Management Strategies</w:instrText>
      </w:r>
      <w:bookmarkEnd w:id="113"/>
      <w:bookmarkEnd w:id="114"/>
      <w:r w:rsidRPr="0087376B">
        <w:rPr>
          <w:rFonts w:ascii="Arial" w:hAnsi="Arial" w:cs="Arial"/>
          <w:bCs/>
          <w:szCs w:val="24"/>
        </w:rPr>
        <w:instrText xml:space="preserve">"\f B </w:instrText>
      </w:r>
      <w:r w:rsidRPr="0087376B">
        <w:rPr>
          <w:rFonts w:ascii="Arial" w:hAnsi="Arial" w:cs="Arial"/>
          <w:bCs/>
          <w:szCs w:val="24"/>
        </w:rPr>
        <w:fldChar w:fldCharType="end"/>
      </w:r>
      <w:r w:rsidR="005B20F8">
        <w:rPr>
          <w:rFonts w:ascii="Arial" w:hAnsi="Arial" w:cs="Arial"/>
          <w:bCs/>
          <w:szCs w:val="24"/>
        </w:rPr>
        <w:t>Табела</w:t>
      </w:r>
      <w:r w:rsidRPr="0087376B">
        <w:rPr>
          <w:rFonts w:ascii="Arial" w:hAnsi="Arial" w:cs="Arial"/>
          <w:bCs/>
          <w:szCs w:val="24"/>
        </w:rPr>
        <w:t xml:space="preserve"> 7. </w:t>
      </w:r>
      <w:r w:rsidR="005B20F8">
        <w:rPr>
          <w:rFonts w:ascii="Arial" w:hAnsi="Arial" w:cs="Arial"/>
          <w:bCs/>
          <w:szCs w:val="24"/>
        </w:rPr>
        <w:t>Макроекономски</w:t>
      </w:r>
      <w:r w:rsidRPr="0087376B">
        <w:rPr>
          <w:rFonts w:ascii="Arial" w:hAnsi="Arial" w:cs="Arial"/>
          <w:bCs/>
          <w:szCs w:val="24"/>
        </w:rPr>
        <w:t xml:space="preserve"> </w:t>
      </w:r>
      <w:r w:rsidR="005B20F8">
        <w:rPr>
          <w:rFonts w:ascii="Arial" w:hAnsi="Arial" w:cs="Arial"/>
          <w:bCs/>
          <w:szCs w:val="24"/>
        </w:rPr>
        <w:t>ризици</w:t>
      </w:r>
      <w:r w:rsidRPr="0087376B">
        <w:rPr>
          <w:rFonts w:ascii="Arial" w:hAnsi="Arial" w:cs="Arial"/>
          <w:bCs/>
          <w:szCs w:val="24"/>
        </w:rPr>
        <w:t xml:space="preserve"> </w:t>
      </w:r>
      <w:r w:rsidR="005B20F8">
        <w:rPr>
          <w:rFonts w:ascii="Arial" w:hAnsi="Arial" w:cs="Arial"/>
          <w:bCs/>
          <w:szCs w:val="24"/>
        </w:rPr>
        <w:t>и</w:t>
      </w:r>
      <w:r w:rsidRPr="0087376B">
        <w:rPr>
          <w:rFonts w:ascii="Arial" w:hAnsi="Arial" w:cs="Arial"/>
          <w:bCs/>
          <w:szCs w:val="24"/>
        </w:rPr>
        <w:t xml:space="preserve"> </w:t>
      </w:r>
      <w:r w:rsidR="005B20F8">
        <w:rPr>
          <w:rFonts w:ascii="Arial" w:hAnsi="Arial" w:cs="Arial"/>
          <w:bCs/>
          <w:szCs w:val="24"/>
        </w:rPr>
        <w:t>импликације</w:t>
      </w:r>
      <w:r w:rsidRPr="0087376B">
        <w:rPr>
          <w:rFonts w:ascii="Arial" w:hAnsi="Arial" w:cs="Arial"/>
          <w:bCs/>
          <w:szCs w:val="24"/>
        </w:rPr>
        <w:t xml:space="preserve"> </w:t>
      </w:r>
      <w:r w:rsidR="005B20F8">
        <w:rPr>
          <w:rFonts w:ascii="Arial" w:hAnsi="Arial" w:cs="Arial"/>
          <w:bCs/>
          <w:szCs w:val="24"/>
        </w:rPr>
        <w:t>по</w:t>
      </w:r>
      <w:r w:rsidRPr="0087376B">
        <w:rPr>
          <w:rFonts w:ascii="Arial" w:hAnsi="Arial" w:cs="Arial"/>
          <w:bCs/>
          <w:szCs w:val="24"/>
        </w:rPr>
        <w:t xml:space="preserve"> </w:t>
      </w:r>
      <w:r w:rsidR="005B20F8">
        <w:rPr>
          <w:rFonts w:ascii="Arial" w:hAnsi="Arial" w:cs="Arial"/>
          <w:bCs/>
          <w:szCs w:val="24"/>
        </w:rPr>
        <w:t>стратегију</w:t>
      </w:r>
      <w:r w:rsidRPr="0087376B">
        <w:rPr>
          <w:rFonts w:ascii="Arial" w:hAnsi="Arial" w:cs="Arial"/>
          <w:bCs/>
          <w:szCs w:val="24"/>
        </w:rPr>
        <w:t xml:space="preserve"> </w:t>
      </w:r>
      <w:r w:rsidR="005B20F8">
        <w:rPr>
          <w:rFonts w:ascii="Arial" w:hAnsi="Arial" w:cs="Arial"/>
          <w:bCs/>
          <w:szCs w:val="24"/>
        </w:rPr>
        <w:t>управљања</w:t>
      </w:r>
      <w:r w:rsidRPr="0087376B">
        <w:rPr>
          <w:rFonts w:ascii="Arial" w:hAnsi="Arial" w:cs="Arial"/>
          <w:bCs/>
          <w:szCs w:val="24"/>
        </w:rPr>
        <w:t xml:space="preserve"> </w:t>
      </w:r>
      <w:r w:rsidR="005B20F8">
        <w:rPr>
          <w:rFonts w:ascii="Arial" w:hAnsi="Arial" w:cs="Arial"/>
          <w:bCs/>
          <w:szCs w:val="24"/>
        </w:rPr>
        <w:t>дугом</w:t>
      </w:r>
    </w:p>
    <w:tbl>
      <w:tblPr>
        <w:tblStyle w:val="GridTable4-Accent11"/>
        <w:tblW w:w="9918" w:type="dxa"/>
        <w:jc w:val="center"/>
        <w:tblLook w:val="04A0" w:firstRow="1" w:lastRow="0" w:firstColumn="1" w:lastColumn="0" w:noHBand="0" w:noVBand="1"/>
      </w:tblPr>
      <w:tblGrid>
        <w:gridCol w:w="2405"/>
        <w:gridCol w:w="1276"/>
        <w:gridCol w:w="6237"/>
      </w:tblGrid>
      <w:tr w:rsidR="007B6BE3" w:rsidRPr="0087376B" w14:paraId="60CE7221" w14:textId="77777777" w:rsidTr="007B6BE3">
        <w:trPr>
          <w:cnfStyle w:val="100000000000" w:firstRow="1" w:lastRow="0" w:firstColumn="0" w:lastColumn="0" w:oddVBand="0" w:evenVBand="0" w:oddHBand="0"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1" w:themeFillTint="33"/>
            <w:vAlign w:val="center"/>
          </w:tcPr>
          <w:p w14:paraId="2CC2CEB2" w14:textId="77777777" w:rsidR="007B6BE3" w:rsidRPr="0087376B" w:rsidRDefault="005B20F8" w:rsidP="007B6BE3">
            <w:pPr>
              <w:keepNext/>
              <w:rPr>
                <w:rFonts w:ascii="Arial" w:eastAsia="SimSun" w:hAnsi="Arial" w:cs="Arial"/>
                <w:b w:val="0"/>
                <w:i/>
                <w:color w:val="auto"/>
                <w:szCs w:val="20"/>
              </w:rPr>
            </w:pPr>
            <w:r>
              <w:rPr>
                <w:rFonts w:ascii="Arial" w:eastAsia="SimSun" w:hAnsi="Arial" w:cs="Arial"/>
                <w:b w:val="0"/>
                <w:i/>
                <w:color w:val="auto"/>
                <w:szCs w:val="20"/>
              </w:rPr>
              <w:t>Реални</w:t>
            </w:r>
            <w:r w:rsidR="007B6BE3" w:rsidRPr="0087376B">
              <w:rPr>
                <w:rFonts w:ascii="Arial" w:eastAsia="SimSun" w:hAnsi="Arial" w:cs="Arial"/>
                <w:b w:val="0"/>
                <w:i/>
                <w:color w:val="auto"/>
                <w:szCs w:val="20"/>
              </w:rPr>
              <w:t xml:space="preserve"> </w:t>
            </w:r>
            <w:r>
              <w:rPr>
                <w:rFonts w:ascii="Arial" w:eastAsia="SimSun" w:hAnsi="Arial" w:cs="Arial"/>
                <w:b w:val="0"/>
                <w:i/>
                <w:color w:val="auto"/>
                <w:szCs w:val="20"/>
              </w:rPr>
              <w:t>сектор</w:t>
            </w:r>
            <w:r w:rsidR="007B6BE3" w:rsidRPr="0087376B">
              <w:rPr>
                <w:rFonts w:ascii="Arial" w:eastAsia="SimSun" w:hAnsi="Arial" w:cs="Arial"/>
                <w:b w:val="0"/>
                <w:i/>
                <w:color w:val="auto"/>
                <w:szCs w:val="20"/>
              </w:rPr>
              <w:t xml:space="preserve"> </w:t>
            </w:r>
          </w:p>
        </w:tc>
        <w:tc>
          <w:tcPr>
            <w:tcW w:w="1276" w:type="dxa"/>
            <w:shd w:val="clear" w:color="auto" w:fill="DEEAF6" w:themeFill="accent1" w:themeFillTint="33"/>
            <w:vAlign w:val="center"/>
          </w:tcPr>
          <w:p w14:paraId="48805FF3" w14:textId="77777777" w:rsidR="007B6BE3" w:rsidRPr="0087376B" w:rsidRDefault="007B6BE3" w:rsidP="007B6BE3">
            <w:pPr>
              <w:keepNext/>
              <w:cnfStyle w:val="100000000000" w:firstRow="1" w:lastRow="0" w:firstColumn="0" w:lastColumn="0" w:oddVBand="0" w:evenVBand="0" w:oddHBand="0" w:evenHBand="0" w:firstRowFirstColumn="0" w:firstRowLastColumn="0" w:lastRowFirstColumn="0" w:lastRowLastColumn="0"/>
              <w:rPr>
                <w:rFonts w:ascii="Arial" w:eastAsia="SimSun" w:hAnsi="Arial" w:cs="Arial"/>
                <w:color w:val="auto"/>
                <w:szCs w:val="20"/>
              </w:rPr>
            </w:pPr>
          </w:p>
        </w:tc>
        <w:tc>
          <w:tcPr>
            <w:tcW w:w="6237" w:type="dxa"/>
            <w:shd w:val="clear" w:color="auto" w:fill="DEEAF6" w:themeFill="accent1" w:themeFillTint="33"/>
            <w:vAlign w:val="center"/>
          </w:tcPr>
          <w:p w14:paraId="7FEDCC95" w14:textId="77777777" w:rsidR="007B6BE3" w:rsidRPr="0087376B" w:rsidRDefault="007B6BE3" w:rsidP="007B6BE3">
            <w:pPr>
              <w:keepNext/>
              <w:cnfStyle w:val="100000000000" w:firstRow="1" w:lastRow="0" w:firstColumn="0" w:lastColumn="0" w:oddVBand="0" w:evenVBand="0" w:oddHBand="0" w:evenHBand="0" w:firstRowFirstColumn="0" w:firstRowLastColumn="0" w:lastRowFirstColumn="0" w:lastRowLastColumn="0"/>
              <w:rPr>
                <w:rFonts w:ascii="Arial" w:eastAsia="SimSun" w:hAnsi="Arial" w:cs="Arial"/>
                <w:color w:val="auto"/>
                <w:szCs w:val="20"/>
              </w:rPr>
            </w:pPr>
          </w:p>
        </w:tc>
      </w:tr>
      <w:tr w:rsidR="007B6BE3" w:rsidRPr="0087376B" w14:paraId="079677E5" w14:textId="77777777" w:rsidTr="007B6BE3">
        <w:trPr>
          <w:cnfStyle w:val="000000100000" w:firstRow="0" w:lastRow="0" w:firstColumn="0" w:lastColumn="0" w:oddVBand="0" w:evenVBand="0" w:oddHBand="1" w:evenHBand="0" w:firstRowFirstColumn="0" w:firstRowLastColumn="0" w:lastRowFirstColumn="0" w:lastRowLastColumn="0"/>
          <w:trHeight w:val="85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6AFD3B85" w14:textId="77777777" w:rsidR="007B6BE3" w:rsidRPr="0087376B" w:rsidRDefault="007B6BE3" w:rsidP="007B6BE3">
            <w:pPr>
              <w:keepNext/>
              <w:rPr>
                <w:rFonts w:ascii="Arial" w:eastAsia="SimSun" w:hAnsi="Arial" w:cs="Arial"/>
                <w:b w:val="0"/>
                <w:szCs w:val="20"/>
              </w:rPr>
            </w:pPr>
            <w:r w:rsidRPr="0087376B">
              <w:rPr>
                <w:rFonts w:ascii="Arial" w:eastAsia="SimSun" w:hAnsi="Arial" w:cs="Arial"/>
                <w:b w:val="0"/>
                <w:szCs w:val="20"/>
              </w:rPr>
              <w:t xml:space="preserve">- </w:t>
            </w:r>
            <w:r w:rsidR="005B20F8">
              <w:rPr>
                <w:rFonts w:ascii="Arial" w:eastAsia="SimSun" w:hAnsi="Arial" w:cs="Arial"/>
                <w:b w:val="0"/>
                <w:szCs w:val="20"/>
              </w:rPr>
              <w:t>Раст</w:t>
            </w:r>
          </w:p>
        </w:tc>
        <w:tc>
          <w:tcPr>
            <w:tcW w:w="1276" w:type="dxa"/>
            <w:shd w:val="clear" w:color="auto" w:fill="auto"/>
            <w:vAlign w:val="center"/>
          </w:tcPr>
          <w:p w14:paraId="0FE14DDD" w14:textId="77777777" w:rsidR="007B6BE3" w:rsidRPr="0087376B" w:rsidRDefault="005B20F8" w:rsidP="007B6BE3">
            <w:pPr>
              <w:keepNext/>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Pr>
                <w:rFonts w:ascii="Arial" w:eastAsia="SimSun" w:hAnsi="Arial" w:cs="Arial"/>
                <w:szCs w:val="20"/>
              </w:rPr>
              <w:t>Средња</w:t>
            </w:r>
            <w:r w:rsidR="007B6BE3" w:rsidRPr="0087376B">
              <w:rPr>
                <w:rFonts w:ascii="Arial" w:eastAsia="SimSun" w:hAnsi="Arial" w:cs="Arial"/>
                <w:szCs w:val="20"/>
              </w:rPr>
              <w:t xml:space="preserve"> </w:t>
            </w:r>
            <w:r>
              <w:rPr>
                <w:rFonts w:ascii="Arial" w:eastAsia="SimSun" w:hAnsi="Arial" w:cs="Arial"/>
                <w:szCs w:val="20"/>
              </w:rPr>
              <w:t>до</w:t>
            </w:r>
            <w:r w:rsidR="007B6BE3" w:rsidRPr="0087376B">
              <w:rPr>
                <w:rFonts w:ascii="Arial" w:eastAsia="SimSun" w:hAnsi="Arial" w:cs="Arial"/>
                <w:szCs w:val="20"/>
              </w:rPr>
              <w:t xml:space="preserve"> </w:t>
            </w:r>
            <w:r>
              <w:rPr>
                <w:rFonts w:ascii="Arial" w:eastAsia="SimSun" w:hAnsi="Arial" w:cs="Arial"/>
                <w:szCs w:val="20"/>
              </w:rPr>
              <w:t>висока</w:t>
            </w:r>
          </w:p>
        </w:tc>
        <w:tc>
          <w:tcPr>
            <w:tcW w:w="6237" w:type="dxa"/>
            <w:shd w:val="clear" w:color="auto" w:fill="auto"/>
            <w:vAlign w:val="center"/>
          </w:tcPr>
          <w:p w14:paraId="5174C42B" w14:textId="77777777" w:rsidR="007B6BE3" w:rsidRPr="0087376B" w:rsidRDefault="005B20F8" w:rsidP="009D7230">
            <w:pPr>
              <w:keepNext/>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Pr>
                <w:rFonts w:ascii="Arial" w:eastAsia="SimSun" w:hAnsi="Arial" w:cs="Arial"/>
                <w:szCs w:val="20"/>
              </w:rPr>
              <w:t>Слаба</w:t>
            </w:r>
            <w:r w:rsidR="007B6BE3" w:rsidRPr="0087376B">
              <w:rPr>
                <w:rFonts w:ascii="Arial" w:eastAsia="SimSun" w:hAnsi="Arial" w:cs="Arial"/>
                <w:szCs w:val="20"/>
              </w:rPr>
              <w:t xml:space="preserve"> </w:t>
            </w:r>
            <w:r>
              <w:rPr>
                <w:rFonts w:ascii="Arial" w:eastAsia="SimSun" w:hAnsi="Arial" w:cs="Arial"/>
                <w:szCs w:val="20"/>
              </w:rPr>
              <w:t>спољна</w:t>
            </w:r>
            <w:r w:rsidR="007B6BE3" w:rsidRPr="0087376B">
              <w:rPr>
                <w:rFonts w:ascii="Arial" w:eastAsia="SimSun" w:hAnsi="Arial" w:cs="Arial"/>
                <w:szCs w:val="20"/>
              </w:rPr>
              <w:t xml:space="preserve"> </w:t>
            </w:r>
            <w:r>
              <w:rPr>
                <w:rFonts w:ascii="Arial" w:eastAsia="SimSun" w:hAnsi="Arial" w:cs="Arial"/>
                <w:szCs w:val="20"/>
              </w:rPr>
              <w:t>потражња</w:t>
            </w:r>
            <w:r w:rsidR="007B6BE3" w:rsidRPr="0087376B">
              <w:rPr>
                <w:rFonts w:ascii="Arial" w:eastAsia="SimSun" w:hAnsi="Arial" w:cs="Arial"/>
                <w:szCs w:val="20"/>
              </w:rPr>
              <w:t xml:space="preserve"> </w:t>
            </w:r>
            <w:r>
              <w:rPr>
                <w:rFonts w:ascii="Arial" w:eastAsia="SimSun" w:hAnsi="Arial" w:cs="Arial"/>
                <w:szCs w:val="20"/>
              </w:rPr>
              <w:t>или</w:t>
            </w:r>
            <w:r w:rsidR="007B6BE3" w:rsidRPr="0087376B">
              <w:rPr>
                <w:rFonts w:ascii="Arial" w:eastAsia="SimSun" w:hAnsi="Arial" w:cs="Arial"/>
                <w:szCs w:val="20"/>
              </w:rPr>
              <w:t xml:space="preserve"> </w:t>
            </w:r>
            <w:r>
              <w:rPr>
                <w:rFonts w:ascii="Arial" w:eastAsia="SimSun" w:hAnsi="Arial" w:cs="Arial"/>
                <w:szCs w:val="20"/>
              </w:rPr>
              <w:t>већа</w:t>
            </w:r>
            <w:r w:rsidR="007B6BE3" w:rsidRPr="0087376B">
              <w:rPr>
                <w:rFonts w:ascii="Arial" w:eastAsia="SimSun" w:hAnsi="Arial" w:cs="Arial"/>
                <w:szCs w:val="20"/>
              </w:rPr>
              <w:t xml:space="preserve"> </w:t>
            </w:r>
            <w:r>
              <w:rPr>
                <w:rFonts w:ascii="Arial" w:eastAsia="SimSun" w:hAnsi="Arial" w:cs="Arial"/>
                <w:szCs w:val="20"/>
              </w:rPr>
              <w:t>финансијска</w:t>
            </w:r>
            <w:r w:rsidR="007B6BE3" w:rsidRPr="0087376B">
              <w:rPr>
                <w:rFonts w:ascii="Arial" w:eastAsia="SimSun" w:hAnsi="Arial" w:cs="Arial"/>
                <w:szCs w:val="20"/>
              </w:rPr>
              <w:t xml:space="preserve"> </w:t>
            </w:r>
            <w:r>
              <w:rPr>
                <w:rFonts w:ascii="Arial" w:eastAsia="SimSun" w:hAnsi="Arial" w:cs="Arial"/>
                <w:szCs w:val="20"/>
              </w:rPr>
              <w:t>нестабилност</w:t>
            </w:r>
            <w:r w:rsidR="007B6BE3" w:rsidRPr="0087376B">
              <w:rPr>
                <w:rFonts w:ascii="Arial" w:eastAsia="SimSun" w:hAnsi="Arial" w:cs="Arial"/>
                <w:szCs w:val="20"/>
              </w:rPr>
              <w:t xml:space="preserve"> </w:t>
            </w:r>
            <w:r>
              <w:rPr>
                <w:rFonts w:ascii="Arial" w:eastAsia="SimSun" w:hAnsi="Arial" w:cs="Arial"/>
                <w:szCs w:val="20"/>
              </w:rPr>
              <w:t>би</w:t>
            </w:r>
            <w:r w:rsidR="007B6BE3" w:rsidRPr="0087376B">
              <w:rPr>
                <w:rFonts w:ascii="Arial" w:eastAsia="SimSun" w:hAnsi="Arial" w:cs="Arial"/>
                <w:szCs w:val="20"/>
              </w:rPr>
              <w:t xml:space="preserve"> </w:t>
            </w:r>
            <w:r>
              <w:rPr>
                <w:rFonts w:ascii="Arial" w:eastAsia="SimSun" w:hAnsi="Arial" w:cs="Arial"/>
                <w:szCs w:val="20"/>
              </w:rPr>
              <w:t>могли</w:t>
            </w:r>
            <w:r w:rsidR="007B6BE3" w:rsidRPr="0087376B">
              <w:rPr>
                <w:rFonts w:ascii="Arial" w:eastAsia="SimSun" w:hAnsi="Arial" w:cs="Arial"/>
                <w:szCs w:val="20"/>
              </w:rPr>
              <w:t xml:space="preserve"> </w:t>
            </w:r>
            <w:r>
              <w:rPr>
                <w:rFonts w:ascii="Arial" w:eastAsia="SimSun" w:hAnsi="Arial" w:cs="Arial"/>
                <w:szCs w:val="20"/>
              </w:rPr>
              <w:t>смањити</w:t>
            </w:r>
            <w:r w:rsidR="007B6BE3" w:rsidRPr="0087376B">
              <w:rPr>
                <w:rFonts w:ascii="Arial" w:eastAsia="SimSun" w:hAnsi="Arial" w:cs="Arial"/>
                <w:szCs w:val="20"/>
              </w:rPr>
              <w:t xml:space="preserve"> </w:t>
            </w:r>
            <w:r>
              <w:rPr>
                <w:rFonts w:ascii="Arial" w:eastAsia="SimSun" w:hAnsi="Arial" w:cs="Arial"/>
                <w:szCs w:val="20"/>
              </w:rPr>
              <w:t>потенцијал</w:t>
            </w:r>
            <w:r w:rsidR="007B6BE3" w:rsidRPr="0087376B">
              <w:rPr>
                <w:rFonts w:ascii="Arial" w:eastAsia="SimSun" w:hAnsi="Arial" w:cs="Arial"/>
                <w:szCs w:val="20"/>
              </w:rPr>
              <w:t xml:space="preserve"> </w:t>
            </w:r>
            <w:r>
              <w:rPr>
                <w:rFonts w:ascii="Arial" w:eastAsia="SimSun" w:hAnsi="Arial" w:cs="Arial"/>
                <w:szCs w:val="20"/>
              </w:rPr>
              <w:t>за</w:t>
            </w:r>
            <w:r w:rsidR="007B6BE3" w:rsidRPr="0087376B">
              <w:rPr>
                <w:rFonts w:ascii="Arial" w:eastAsia="SimSun" w:hAnsi="Arial" w:cs="Arial"/>
                <w:szCs w:val="20"/>
              </w:rPr>
              <w:t xml:space="preserve"> </w:t>
            </w:r>
            <w:r>
              <w:rPr>
                <w:rFonts w:ascii="Arial" w:eastAsia="SimSun" w:hAnsi="Arial" w:cs="Arial"/>
                <w:szCs w:val="20"/>
              </w:rPr>
              <w:t>раст</w:t>
            </w:r>
            <w:r w:rsidR="007B6BE3" w:rsidRPr="0087376B">
              <w:rPr>
                <w:rFonts w:ascii="Arial" w:eastAsia="SimSun" w:hAnsi="Arial" w:cs="Arial"/>
                <w:szCs w:val="20"/>
              </w:rPr>
              <w:t xml:space="preserve">, </w:t>
            </w:r>
            <w:r>
              <w:rPr>
                <w:rFonts w:ascii="Arial" w:eastAsia="SimSun" w:hAnsi="Arial" w:cs="Arial"/>
                <w:szCs w:val="20"/>
              </w:rPr>
              <w:t>што</w:t>
            </w:r>
            <w:r w:rsidR="007B6BE3" w:rsidRPr="0087376B">
              <w:rPr>
                <w:rFonts w:ascii="Arial" w:eastAsia="SimSun" w:hAnsi="Arial" w:cs="Arial"/>
                <w:szCs w:val="20"/>
              </w:rPr>
              <w:t xml:space="preserve"> </w:t>
            </w:r>
            <w:r>
              <w:rPr>
                <w:rFonts w:ascii="Arial" w:eastAsia="SimSun" w:hAnsi="Arial" w:cs="Arial"/>
                <w:szCs w:val="20"/>
              </w:rPr>
              <w:t>би</w:t>
            </w:r>
            <w:r w:rsidR="007B6BE3" w:rsidRPr="0087376B">
              <w:rPr>
                <w:rFonts w:ascii="Arial" w:eastAsia="SimSun" w:hAnsi="Arial" w:cs="Arial"/>
                <w:szCs w:val="20"/>
              </w:rPr>
              <w:t xml:space="preserve"> </w:t>
            </w:r>
            <w:r>
              <w:rPr>
                <w:rFonts w:ascii="Arial" w:eastAsia="SimSun" w:hAnsi="Arial" w:cs="Arial"/>
                <w:szCs w:val="20"/>
              </w:rPr>
              <w:t>довело</w:t>
            </w:r>
            <w:r w:rsidR="007B6BE3" w:rsidRPr="0087376B">
              <w:rPr>
                <w:rFonts w:ascii="Arial" w:eastAsia="SimSun" w:hAnsi="Arial" w:cs="Arial"/>
                <w:szCs w:val="20"/>
              </w:rPr>
              <w:t xml:space="preserve"> </w:t>
            </w:r>
            <w:r>
              <w:rPr>
                <w:rFonts w:ascii="Arial" w:eastAsia="SimSun" w:hAnsi="Arial" w:cs="Arial"/>
                <w:szCs w:val="20"/>
              </w:rPr>
              <w:t>до</w:t>
            </w:r>
            <w:r w:rsidR="007B6BE3" w:rsidRPr="0087376B">
              <w:rPr>
                <w:rFonts w:ascii="Arial" w:eastAsia="SimSun" w:hAnsi="Arial" w:cs="Arial"/>
                <w:szCs w:val="20"/>
              </w:rPr>
              <w:t xml:space="preserve"> </w:t>
            </w:r>
            <w:r>
              <w:rPr>
                <w:rFonts w:ascii="Arial" w:eastAsia="SimSun" w:hAnsi="Arial" w:cs="Arial"/>
                <w:szCs w:val="20"/>
              </w:rPr>
              <w:t>потешкоћа</w:t>
            </w:r>
            <w:r w:rsidR="007B6BE3" w:rsidRPr="0087376B">
              <w:rPr>
                <w:rFonts w:ascii="Arial" w:eastAsia="SimSun" w:hAnsi="Arial" w:cs="Arial"/>
                <w:szCs w:val="20"/>
              </w:rPr>
              <w:t xml:space="preserve"> </w:t>
            </w:r>
            <w:r>
              <w:rPr>
                <w:rFonts w:ascii="Arial" w:eastAsia="SimSun" w:hAnsi="Arial" w:cs="Arial"/>
                <w:szCs w:val="20"/>
              </w:rPr>
              <w:t>у</w:t>
            </w:r>
            <w:r w:rsidR="007B6BE3" w:rsidRPr="0087376B">
              <w:rPr>
                <w:rFonts w:ascii="Arial" w:eastAsia="SimSun" w:hAnsi="Arial" w:cs="Arial"/>
                <w:szCs w:val="20"/>
              </w:rPr>
              <w:t xml:space="preserve"> </w:t>
            </w:r>
            <w:r>
              <w:rPr>
                <w:rFonts w:ascii="Arial" w:eastAsia="SimSun" w:hAnsi="Arial" w:cs="Arial"/>
                <w:szCs w:val="20"/>
              </w:rPr>
              <w:t>фискалној</w:t>
            </w:r>
            <w:r w:rsidR="007B6BE3" w:rsidRPr="0087376B">
              <w:rPr>
                <w:rFonts w:ascii="Arial" w:eastAsia="SimSun" w:hAnsi="Arial" w:cs="Arial"/>
                <w:szCs w:val="20"/>
              </w:rPr>
              <w:t xml:space="preserve"> </w:t>
            </w:r>
            <w:r>
              <w:rPr>
                <w:rFonts w:ascii="Arial" w:eastAsia="SimSun" w:hAnsi="Arial" w:cs="Arial"/>
                <w:szCs w:val="20"/>
              </w:rPr>
              <w:t>политици</w:t>
            </w:r>
            <w:r w:rsidR="007B6BE3" w:rsidRPr="0087376B">
              <w:rPr>
                <w:rFonts w:ascii="Arial" w:eastAsia="SimSun" w:hAnsi="Arial" w:cs="Arial"/>
                <w:szCs w:val="20"/>
              </w:rPr>
              <w:t xml:space="preserve"> </w:t>
            </w:r>
            <w:r>
              <w:rPr>
                <w:rFonts w:ascii="Arial" w:eastAsia="SimSun" w:hAnsi="Arial" w:cs="Arial"/>
                <w:szCs w:val="20"/>
              </w:rPr>
              <w:t>и</w:t>
            </w:r>
            <w:r w:rsidR="007B6BE3" w:rsidRPr="0087376B">
              <w:rPr>
                <w:rFonts w:ascii="Arial" w:eastAsia="SimSun" w:hAnsi="Arial" w:cs="Arial"/>
                <w:szCs w:val="20"/>
              </w:rPr>
              <w:t xml:space="preserve"> </w:t>
            </w:r>
            <w:r>
              <w:rPr>
                <w:rFonts w:ascii="Arial" w:eastAsia="SimSun" w:hAnsi="Arial" w:cs="Arial"/>
                <w:szCs w:val="20"/>
              </w:rPr>
              <w:t>резултирало</w:t>
            </w:r>
            <w:r w:rsidR="007B6BE3" w:rsidRPr="0087376B">
              <w:rPr>
                <w:rFonts w:ascii="Arial" w:eastAsia="SimSun" w:hAnsi="Arial" w:cs="Arial"/>
                <w:szCs w:val="20"/>
              </w:rPr>
              <w:t xml:space="preserve"> </w:t>
            </w:r>
            <w:r>
              <w:rPr>
                <w:rFonts w:ascii="Arial" w:eastAsia="SimSun" w:hAnsi="Arial" w:cs="Arial"/>
                <w:szCs w:val="20"/>
              </w:rPr>
              <w:t>већим</w:t>
            </w:r>
            <w:r w:rsidR="007B6BE3" w:rsidRPr="0087376B">
              <w:rPr>
                <w:rFonts w:ascii="Arial" w:eastAsia="SimSun" w:hAnsi="Arial" w:cs="Arial"/>
                <w:szCs w:val="20"/>
              </w:rPr>
              <w:t xml:space="preserve"> </w:t>
            </w:r>
            <w:r>
              <w:rPr>
                <w:rFonts w:ascii="Arial" w:eastAsia="SimSun" w:hAnsi="Arial" w:cs="Arial"/>
                <w:szCs w:val="20"/>
              </w:rPr>
              <w:t>задуживањем</w:t>
            </w:r>
            <w:r w:rsidR="007B6BE3" w:rsidRPr="0087376B">
              <w:rPr>
                <w:rFonts w:ascii="Arial" w:eastAsia="SimSun" w:hAnsi="Arial" w:cs="Arial"/>
                <w:szCs w:val="20"/>
              </w:rPr>
              <w:t xml:space="preserve">.  </w:t>
            </w:r>
          </w:p>
        </w:tc>
      </w:tr>
      <w:tr w:rsidR="007B6BE3" w:rsidRPr="0087376B" w14:paraId="4C5AF791" w14:textId="77777777" w:rsidTr="007B6BE3">
        <w:trPr>
          <w:trHeight w:val="367"/>
          <w:jc w:val="center"/>
        </w:trPr>
        <w:tc>
          <w:tcPr>
            <w:cnfStyle w:val="001000000000" w:firstRow="0" w:lastRow="0" w:firstColumn="1" w:lastColumn="0" w:oddVBand="0" w:evenVBand="0" w:oddHBand="0" w:evenHBand="0" w:firstRowFirstColumn="0" w:firstRowLastColumn="0" w:lastRowFirstColumn="0" w:lastRowLastColumn="0"/>
            <w:tcW w:w="9918" w:type="dxa"/>
            <w:gridSpan w:val="3"/>
            <w:shd w:val="clear" w:color="auto" w:fill="DEEAF6" w:themeFill="accent1" w:themeFillTint="33"/>
            <w:vAlign w:val="center"/>
          </w:tcPr>
          <w:p w14:paraId="3282509A" w14:textId="77777777" w:rsidR="007B6BE3" w:rsidRPr="0087376B" w:rsidRDefault="005B20F8" w:rsidP="007B6BE3">
            <w:pPr>
              <w:keepNext/>
              <w:rPr>
                <w:rFonts w:ascii="Arial" w:eastAsia="SimSun" w:hAnsi="Arial" w:cs="Arial"/>
                <w:color w:val="538135" w:themeColor="accent6" w:themeShade="BF"/>
                <w:szCs w:val="20"/>
              </w:rPr>
            </w:pPr>
            <w:r>
              <w:rPr>
                <w:rFonts w:ascii="Arial" w:eastAsia="SimSun" w:hAnsi="Arial" w:cs="Arial"/>
                <w:b w:val="0"/>
                <w:i/>
                <w:szCs w:val="20"/>
              </w:rPr>
              <w:t>Фискални</w:t>
            </w:r>
            <w:r w:rsidR="007B6BE3" w:rsidRPr="0087376B">
              <w:rPr>
                <w:rFonts w:ascii="Arial" w:eastAsia="SimSun" w:hAnsi="Arial" w:cs="Arial"/>
                <w:b w:val="0"/>
                <w:i/>
                <w:szCs w:val="20"/>
              </w:rPr>
              <w:t xml:space="preserve"> </w:t>
            </w:r>
            <w:r>
              <w:rPr>
                <w:rFonts w:ascii="Arial" w:eastAsia="SimSun" w:hAnsi="Arial" w:cs="Arial"/>
                <w:b w:val="0"/>
                <w:i/>
                <w:szCs w:val="20"/>
              </w:rPr>
              <w:t>сектор</w:t>
            </w:r>
            <w:r w:rsidR="007B6BE3" w:rsidRPr="0087376B">
              <w:rPr>
                <w:rFonts w:ascii="Arial" w:eastAsia="SimSun" w:hAnsi="Arial" w:cs="Arial"/>
                <w:b w:val="0"/>
                <w:szCs w:val="20"/>
              </w:rPr>
              <w:t xml:space="preserve"> </w:t>
            </w:r>
          </w:p>
        </w:tc>
      </w:tr>
      <w:tr w:rsidR="007B6BE3" w:rsidRPr="0087376B" w14:paraId="62338B3E" w14:textId="77777777" w:rsidTr="007B6BE3">
        <w:trPr>
          <w:cnfStyle w:val="000000100000" w:firstRow="0" w:lastRow="0" w:firstColumn="0" w:lastColumn="0" w:oddVBand="0" w:evenVBand="0" w:oddHBand="1" w:evenHBand="0" w:firstRowFirstColumn="0" w:firstRowLastColumn="0" w:lastRowFirstColumn="0" w:lastRowLastColumn="0"/>
          <w:trHeight w:val="1734"/>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58D8446D" w14:textId="77777777" w:rsidR="007B6BE3" w:rsidRPr="0087376B" w:rsidRDefault="007B6BE3" w:rsidP="007B6BE3">
            <w:pPr>
              <w:keepNext/>
              <w:rPr>
                <w:rFonts w:ascii="Arial" w:eastAsia="SimSun" w:hAnsi="Arial" w:cs="Arial"/>
                <w:b w:val="0"/>
                <w:szCs w:val="20"/>
              </w:rPr>
            </w:pPr>
            <w:r w:rsidRPr="0087376B">
              <w:rPr>
                <w:rFonts w:ascii="Arial" w:eastAsia="SimSun" w:hAnsi="Arial" w:cs="Arial"/>
                <w:b w:val="0"/>
                <w:szCs w:val="20"/>
              </w:rPr>
              <w:t xml:space="preserve">- </w:t>
            </w:r>
            <w:r w:rsidR="005B20F8">
              <w:rPr>
                <w:rFonts w:ascii="Arial" w:eastAsia="SimSun" w:hAnsi="Arial" w:cs="Arial"/>
                <w:b w:val="0"/>
                <w:szCs w:val="20"/>
              </w:rPr>
              <w:t>Одрживост</w:t>
            </w:r>
            <w:r w:rsidRPr="0087376B">
              <w:rPr>
                <w:rFonts w:ascii="Arial" w:eastAsia="SimSun" w:hAnsi="Arial" w:cs="Arial"/>
                <w:b w:val="0"/>
                <w:szCs w:val="20"/>
              </w:rPr>
              <w:t xml:space="preserve"> </w:t>
            </w:r>
            <w:r w:rsidR="005B20F8">
              <w:rPr>
                <w:rFonts w:ascii="Arial" w:eastAsia="SimSun" w:hAnsi="Arial" w:cs="Arial"/>
                <w:b w:val="0"/>
                <w:szCs w:val="20"/>
              </w:rPr>
              <w:t>дуга</w:t>
            </w:r>
            <w:r w:rsidRPr="0087376B">
              <w:rPr>
                <w:rFonts w:ascii="Arial" w:eastAsia="SimSun" w:hAnsi="Arial" w:cs="Arial"/>
                <w:b w:val="0"/>
                <w:szCs w:val="20"/>
              </w:rPr>
              <w:t xml:space="preserve"> </w:t>
            </w:r>
          </w:p>
        </w:tc>
        <w:tc>
          <w:tcPr>
            <w:tcW w:w="1276" w:type="dxa"/>
            <w:shd w:val="clear" w:color="auto" w:fill="auto"/>
            <w:vAlign w:val="center"/>
          </w:tcPr>
          <w:p w14:paraId="7BC5DFC3" w14:textId="77777777" w:rsidR="007B6BE3" w:rsidRPr="0087376B" w:rsidRDefault="005B20F8" w:rsidP="007B6BE3">
            <w:pPr>
              <w:keepNext/>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Pr>
                <w:rFonts w:ascii="Arial" w:eastAsia="SimSun" w:hAnsi="Arial" w:cs="Arial"/>
                <w:szCs w:val="20"/>
              </w:rPr>
              <w:t>Средња</w:t>
            </w:r>
          </w:p>
        </w:tc>
        <w:tc>
          <w:tcPr>
            <w:tcW w:w="6237" w:type="dxa"/>
            <w:shd w:val="clear" w:color="auto" w:fill="auto"/>
            <w:vAlign w:val="center"/>
          </w:tcPr>
          <w:p w14:paraId="712637B2" w14:textId="77777777" w:rsidR="007B6BE3" w:rsidRPr="0087376B" w:rsidRDefault="005B20F8" w:rsidP="007B6BE3">
            <w:pPr>
              <w:keepNext/>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Pr>
                <w:rFonts w:ascii="Arial" w:eastAsia="SimSun" w:hAnsi="Arial" w:cs="Arial"/>
                <w:szCs w:val="20"/>
              </w:rPr>
              <w:t>Притисак</w:t>
            </w:r>
            <w:r w:rsidR="007B6BE3" w:rsidRPr="0087376B">
              <w:rPr>
                <w:rFonts w:ascii="Arial" w:eastAsia="SimSun" w:hAnsi="Arial" w:cs="Arial"/>
                <w:szCs w:val="20"/>
              </w:rPr>
              <w:t xml:space="preserve"> </w:t>
            </w:r>
            <w:r>
              <w:rPr>
                <w:rFonts w:ascii="Arial" w:eastAsia="SimSun" w:hAnsi="Arial" w:cs="Arial"/>
                <w:szCs w:val="20"/>
              </w:rPr>
              <w:t>на</w:t>
            </w:r>
            <w:r w:rsidR="007B6BE3" w:rsidRPr="0087376B">
              <w:rPr>
                <w:rFonts w:ascii="Arial" w:eastAsia="SimSun" w:hAnsi="Arial" w:cs="Arial"/>
                <w:szCs w:val="20"/>
              </w:rPr>
              <w:t xml:space="preserve"> </w:t>
            </w:r>
            <w:r>
              <w:rPr>
                <w:rFonts w:ascii="Arial" w:eastAsia="SimSun" w:hAnsi="Arial" w:cs="Arial"/>
                <w:szCs w:val="20"/>
              </w:rPr>
              <w:t>растуће</w:t>
            </w:r>
            <w:r w:rsidR="007B6BE3" w:rsidRPr="0087376B">
              <w:rPr>
                <w:rFonts w:ascii="Arial" w:eastAsia="SimSun" w:hAnsi="Arial" w:cs="Arial"/>
                <w:szCs w:val="20"/>
              </w:rPr>
              <w:t xml:space="preserve"> </w:t>
            </w:r>
            <w:r>
              <w:rPr>
                <w:rFonts w:ascii="Arial" w:eastAsia="SimSun" w:hAnsi="Arial" w:cs="Arial"/>
                <w:szCs w:val="20"/>
              </w:rPr>
              <w:t>расходе</w:t>
            </w:r>
            <w:r w:rsidR="007B6BE3" w:rsidRPr="0087376B">
              <w:rPr>
                <w:rFonts w:ascii="Arial" w:eastAsia="SimSun" w:hAnsi="Arial" w:cs="Arial"/>
                <w:szCs w:val="20"/>
              </w:rPr>
              <w:t xml:space="preserve"> </w:t>
            </w:r>
            <w:r>
              <w:rPr>
                <w:rFonts w:ascii="Arial" w:eastAsia="SimSun" w:hAnsi="Arial" w:cs="Arial"/>
                <w:szCs w:val="20"/>
              </w:rPr>
              <w:t>и</w:t>
            </w:r>
            <w:r w:rsidR="007B6BE3" w:rsidRPr="0087376B">
              <w:rPr>
                <w:rFonts w:ascii="Arial" w:eastAsia="SimSun" w:hAnsi="Arial" w:cs="Arial"/>
                <w:szCs w:val="20"/>
              </w:rPr>
              <w:t xml:space="preserve"> </w:t>
            </w:r>
            <w:r>
              <w:rPr>
                <w:rFonts w:ascii="Arial" w:eastAsia="SimSun" w:hAnsi="Arial" w:cs="Arial"/>
                <w:szCs w:val="20"/>
              </w:rPr>
              <w:t>капиталне</w:t>
            </w:r>
            <w:r w:rsidR="007B6BE3" w:rsidRPr="0087376B">
              <w:rPr>
                <w:rFonts w:ascii="Arial" w:eastAsia="SimSun" w:hAnsi="Arial" w:cs="Arial"/>
                <w:szCs w:val="20"/>
              </w:rPr>
              <w:t xml:space="preserve"> </w:t>
            </w:r>
            <w:r>
              <w:rPr>
                <w:rFonts w:ascii="Arial" w:eastAsia="SimSun" w:hAnsi="Arial" w:cs="Arial"/>
                <w:szCs w:val="20"/>
              </w:rPr>
              <w:t>инвестиције</w:t>
            </w:r>
            <w:r w:rsidR="007B6BE3" w:rsidRPr="0087376B">
              <w:rPr>
                <w:rFonts w:ascii="Arial" w:eastAsia="SimSun" w:hAnsi="Arial" w:cs="Arial"/>
                <w:szCs w:val="20"/>
              </w:rPr>
              <w:t xml:space="preserve"> </w:t>
            </w:r>
            <w:r>
              <w:rPr>
                <w:rFonts w:ascii="Arial" w:eastAsia="SimSun" w:hAnsi="Arial" w:cs="Arial"/>
                <w:szCs w:val="20"/>
              </w:rPr>
              <w:t>би</w:t>
            </w:r>
            <w:r w:rsidR="007B6BE3" w:rsidRPr="0087376B">
              <w:rPr>
                <w:rFonts w:ascii="Arial" w:eastAsia="SimSun" w:hAnsi="Arial" w:cs="Arial"/>
                <w:szCs w:val="20"/>
              </w:rPr>
              <w:t xml:space="preserve"> </w:t>
            </w:r>
            <w:r>
              <w:rPr>
                <w:rFonts w:ascii="Arial" w:eastAsia="SimSun" w:hAnsi="Arial" w:cs="Arial"/>
                <w:szCs w:val="20"/>
              </w:rPr>
              <w:t>повећао</w:t>
            </w:r>
            <w:r w:rsidR="007B6BE3" w:rsidRPr="0087376B">
              <w:rPr>
                <w:rFonts w:ascii="Arial" w:eastAsia="SimSun" w:hAnsi="Arial" w:cs="Arial"/>
                <w:szCs w:val="20"/>
              </w:rPr>
              <w:t xml:space="preserve"> </w:t>
            </w:r>
            <w:r>
              <w:rPr>
                <w:rFonts w:ascii="Arial" w:eastAsia="SimSun" w:hAnsi="Arial" w:cs="Arial"/>
                <w:szCs w:val="20"/>
              </w:rPr>
              <w:t>финансијске</w:t>
            </w:r>
            <w:r w:rsidR="007B6BE3" w:rsidRPr="0087376B">
              <w:rPr>
                <w:rFonts w:ascii="Arial" w:eastAsia="SimSun" w:hAnsi="Arial" w:cs="Arial"/>
                <w:szCs w:val="20"/>
              </w:rPr>
              <w:t xml:space="preserve"> </w:t>
            </w:r>
            <w:r>
              <w:rPr>
                <w:rFonts w:ascii="Arial" w:eastAsia="SimSun" w:hAnsi="Arial" w:cs="Arial"/>
                <w:szCs w:val="20"/>
              </w:rPr>
              <w:t>потребе</w:t>
            </w:r>
            <w:r w:rsidR="007B6BE3" w:rsidRPr="0087376B">
              <w:rPr>
                <w:rFonts w:ascii="Arial" w:eastAsia="SimSun" w:hAnsi="Arial" w:cs="Arial"/>
                <w:szCs w:val="20"/>
              </w:rPr>
              <w:t xml:space="preserve">. </w:t>
            </w:r>
            <w:r>
              <w:rPr>
                <w:rFonts w:ascii="Arial" w:eastAsia="SimSun" w:hAnsi="Arial" w:cs="Arial"/>
                <w:szCs w:val="20"/>
              </w:rPr>
              <w:t>Потенцијалне</w:t>
            </w:r>
            <w:r w:rsidR="007B6BE3" w:rsidRPr="0087376B">
              <w:rPr>
                <w:rFonts w:ascii="Arial" w:eastAsia="SimSun" w:hAnsi="Arial" w:cs="Arial"/>
                <w:szCs w:val="20"/>
              </w:rPr>
              <w:t xml:space="preserve"> </w:t>
            </w:r>
            <w:r>
              <w:rPr>
                <w:rFonts w:ascii="Arial" w:eastAsia="SimSun" w:hAnsi="Arial" w:cs="Arial"/>
                <w:szCs w:val="20"/>
              </w:rPr>
              <w:t>обавезе</w:t>
            </w:r>
            <w:r w:rsidR="007B6BE3" w:rsidRPr="0087376B">
              <w:rPr>
                <w:rFonts w:ascii="Arial" w:eastAsia="SimSun" w:hAnsi="Arial" w:cs="Arial"/>
                <w:szCs w:val="20"/>
              </w:rPr>
              <w:t xml:space="preserve">, </w:t>
            </w:r>
            <w:r>
              <w:rPr>
                <w:rFonts w:ascii="Arial" w:eastAsia="SimSun" w:hAnsi="Arial" w:cs="Arial"/>
                <w:szCs w:val="20"/>
              </w:rPr>
              <w:t>било</w:t>
            </w:r>
            <w:r w:rsidR="007B6BE3" w:rsidRPr="0087376B">
              <w:rPr>
                <w:rFonts w:ascii="Arial" w:eastAsia="SimSun" w:hAnsi="Arial" w:cs="Arial"/>
                <w:szCs w:val="20"/>
              </w:rPr>
              <w:t xml:space="preserve"> </w:t>
            </w:r>
            <w:r>
              <w:rPr>
                <w:rFonts w:ascii="Arial" w:eastAsia="SimSun" w:hAnsi="Arial" w:cs="Arial"/>
                <w:szCs w:val="20"/>
              </w:rPr>
              <w:t>из</w:t>
            </w:r>
            <w:r w:rsidR="007B6BE3" w:rsidRPr="0087376B">
              <w:rPr>
                <w:rFonts w:ascii="Arial" w:eastAsia="SimSun" w:hAnsi="Arial" w:cs="Arial"/>
                <w:szCs w:val="20"/>
              </w:rPr>
              <w:t xml:space="preserve"> </w:t>
            </w:r>
            <w:r>
              <w:rPr>
                <w:rFonts w:ascii="Arial" w:eastAsia="SimSun" w:hAnsi="Arial" w:cs="Arial"/>
                <w:szCs w:val="20"/>
              </w:rPr>
              <w:t>банкарског</w:t>
            </w:r>
            <w:r w:rsidR="007B6BE3" w:rsidRPr="0087376B">
              <w:rPr>
                <w:rFonts w:ascii="Arial" w:eastAsia="SimSun" w:hAnsi="Arial" w:cs="Arial"/>
                <w:szCs w:val="20"/>
              </w:rPr>
              <w:t xml:space="preserve"> </w:t>
            </w:r>
            <w:r>
              <w:rPr>
                <w:rFonts w:ascii="Arial" w:eastAsia="SimSun" w:hAnsi="Arial" w:cs="Arial"/>
                <w:szCs w:val="20"/>
              </w:rPr>
              <w:t>сектора</w:t>
            </w:r>
            <w:r w:rsidR="007B6BE3" w:rsidRPr="0087376B">
              <w:rPr>
                <w:rFonts w:ascii="Arial" w:eastAsia="SimSun" w:hAnsi="Arial" w:cs="Arial"/>
                <w:szCs w:val="20"/>
              </w:rPr>
              <w:t xml:space="preserve"> </w:t>
            </w:r>
            <w:r>
              <w:rPr>
                <w:rFonts w:ascii="Arial" w:eastAsia="SimSun" w:hAnsi="Arial" w:cs="Arial"/>
                <w:szCs w:val="20"/>
              </w:rPr>
              <w:t>или</w:t>
            </w:r>
            <w:r w:rsidR="007B6BE3" w:rsidRPr="0087376B">
              <w:rPr>
                <w:rFonts w:ascii="Arial" w:eastAsia="SimSun" w:hAnsi="Arial" w:cs="Arial"/>
                <w:szCs w:val="20"/>
              </w:rPr>
              <w:t xml:space="preserve"> </w:t>
            </w:r>
            <w:r>
              <w:rPr>
                <w:rFonts w:ascii="Arial" w:eastAsia="SimSun" w:hAnsi="Arial" w:cs="Arial"/>
                <w:szCs w:val="20"/>
              </w:rPr>
              <w:t>државних</w:t>
            </w:r>
            <w:r w:rsidR="007B6BE3" w:rsidRPr="0087376B">
              <w:rPr>
                <w:rFonts w:ascii="Arial" w:eastAsia="SimSun" w:hAnsi="Arial" w:cs="Arial"/>
                <w:szCs w:val="20"/>
              </w:rPr>
              <w:t xml:space="preserve"> </w:t>
            </w:r>
            <w:r>
              <w:rPr>
                <w:rFonts w:ascii="Arial" w:eastAsia="SimSun" w:hAnsi="Arial" w:cs="Arial"/>
                <w:szCs w:val="20"/>
              </w:rPr>
              <w:t>предузећа</w:t>
            </w:r>
            <w:r w:rsidR="007B6BE3" w:rsidRPr="0087376B">
              <w:rPr>
                <w:rFonts w:ascii="Arial" w:eastAsia="SimSun" w:hAnsi="Arial" w:cs="Arial"/>
                <w:szCs w:val="20"/>
              </w:rPr>
              <w:t xml:space="preserve">, </w:t>
            </w:r>
            <w:r>
              <w:rPr>
                <w:rFonts w:ascii="Arial" w:eastAsia="SimSun" w:hAnsi="Arial" w:cs="Arial"/>
                <w:szCs w:val="20"/>
              </w:rPr>
              <w:t>могле</w:t>
            </w:r>
            <w:r w:rsidR="007B6BE3" w:rsidRPr="0087376B">
              <w:rPr>
                <w:rFonts w:ascii="Arial" w:eastAsia="SimSun" w:hAnsi="Arial" w:cs="Arial"/>
                <w:szCs w:val="20"/>
              </w:rPr>
              <w:t xml:space="preserve"> </w:t>
            </w:r>
            <w:r>
              <w:rPr>
                <w:rFonts w:ascii="Arial" w:eastAsia="SimSun" w:hAnsi="Arial" w:cs="Arial"/>
                <w:szCs w:val="20"/>
              </w:rPr>
              <w:t>би</w:t>
            </w:r>
            <w:r w:rsidR="007B6BE3" w:rsidRPr="0087376B">
              <w:rPr>
                <w:rFonts w:ascii="Arial" w:eastAsia="SimSun" w:hAnsi="Arial" w:cs="Arial"/>
                <w:szCs w:val="20"/>
              </w:rPr>
              <w:t xml:space="preserve"> </w:t>
            </w:r>
            <w:r>
              <w:rPr>
                <w:rFonts w:ascii="Arial" w:eastAsia="SimSun" w:hAnsi="Arial" w:cs="Arial"/>
                <w:szCs w:val="20"/>
              </w:rPr>
              <w:t>довести</w:t>
            </w:r>
            <w:r w:rsidR="007B6BE3" w:rsidRPr="0087376B">
              <w:rPr>
                <w:rFonts w:ascii="Arial" w:eastAsia="SimSun" w:hAnsi="Arial" w:cs="Arial"/>
                <w:szCs w:val="20"/>
              </w:rPr>
              <w:t xml:space="preserve"> </w:t>
            </w:r>
            <w:r>
              <w:rPr>
                <w:rFonts w:ascii="Arial" w:eastAsia="SimSun" w:hAnsi="Arial" w:cs="Arial"/>
                <w:szCs w:val="20"/>
              </w:rPr>
              <w:t>до</w:t>
            </w:r>
            <w:r w:rsidR="007B6BE3" w:rsidRPr="0087376B">
              <w:rPr>
                <w:rFonts w:ascii="Arial" w:eastAsia="SimSun" w:hAnsi="Arial" w:cs="Arial"/>
                <w:szCs w:val="20"/>
              </w:rPr>
              <w:t xml:space="preserve"> </w:t>
            </w:r>
            <w:r>
              <w:rPr>
                <w:rFonts w:ascii="Arial" w:eastAsia="SimSun" w:hAnsi="Arial" w:cs="Arial"/>
                <w:szCs w:val="20"/>
              </w:rPr>
              <w:t>повећања</w:t>
            </w:r>
            <w:r w:rsidR="007B6BE3" w:rsidRPr="0087376B">
              <w:rPr>
                <w:rFonts w:ascii="Arial" w:eastAsia="SimSun" w:hAnsi="Arial" w:cs="Arial"/>
                <w:szCs w:val="20"/>
              </w:rPr>
              <w:t xml:space="preserve"> </w:t>
            </w:r>
            <w:r>
              <w:rPr>
                <w:rFonts w:ascii="Arial" w:eastAsia="SimSun" w:hAnsi="Arial" w:cs="Arial"/>
                <w:szCs w:val="20"/>
              </w:rPr>
              <w:t>бруто</w:t>
            </w:r>
            <w:r w:rsidR="007B6BE3" w:rsidRPr="0087376B">
              <w:rPr>
                <w:rFonts w:ascii="Arial" w:eastAsia="SimSun" w:hAnsi="Arial" w:cs="Arial"/>
                <w:szCs w:val="20"/>
              </w:rPr>
              <w:t xml:space="preserve"> </w:t>
            </w:r>
            <w:r>
              <w:rPr>
                <w:rFonts w:ascii="Arial" w:eastAsia="SimSun" w:hAnsi="Arial" w:cs="Arial"/>
                <w:szCs w:val="20"/>
              </w:rPr>
              <w:t>финансијских</w:t>
            </w:r>
            <w:r w:rsidR="007B6BE3" w:rsidRPr="0087376B">
              <w:rPr>
                <w:rFonts w:ascii="Arial" w:eastAsia="SimSun" w:hAnsi="Arial" w:cs="Arial"/>
                <w:szCs w:val="20"/>
              </w:rPr>
              <w:t xml:space="preserve"> </w:t>
            </w:r>
            <w:r>
              <w:rPr>
                <w:rFonts w:ascii="Arial" w:eastAsia="SimSun" w:hAnsi="Arial" w:cs="Arial"/>
                <w:szCs w:val="20"/>
              </w:rPr>
              <w:t>потреба</w:t>
            </w:r>
            <w:r w:rsidR="007B6BE3" w:rsidRPr="0087376B">
              <w:rPr>
                <w:rFonts w:ascii="Arial" w:eastAsia="SimSun" w:hAnsi="Arial" w:cs="Arial"/>
                <w:szCs w:val="20"/>
              </w:rPr>
              <w:t xml:space="preserve"> </w:t>
            </w:r>
            <w:r>
              <w:rPr>
                <w:rFonts w:ascii="Arial" w:eastAsia="SimSun" w:hAnsi="Arial" w:cs="Arial"/>
                <w:szCs w:val="20"/>
              </w:rPr>
              <w:t>и</w:t>
            </w:r>
            <w:r w:rsidR="007B6BE3" w:rsidRPr="0087376B">
              <w:rPr>
                <w:rFonts w:ascii="Arial" w:eastAsia="SimSun" w:hAnsi="Arial" w:cs="Arial"/>
                <w:szCs w:val="20"/>
              </w:rPr>
              <w:t xml:space="preserve"> </w:t>
            </w:r>
            <w:r>
              <w:rPr>
                <w:rFonts w:ascii="Arial" w:eastAsia="SimSun" w:hAnsi="Arial" w:cs="Arial"/>
                <w:szCs w:val="20"/>
              </w:rPr>
              <w:t>трошкова</w:t>
            </w:r>
            <w:r w:rsidR="007B6BE3" w:rsidRPr="0087376B">
              <w:rPr>
                <w:rFonts w:ascii="Arial" w:eastAsia="SimSun" w:hAnsi="Arial" w:cs="Arial"/>
                <w:szCs w:val="20"/>
              </w:rPr>
              <w:t xml:space="preserve"> </w:t>
            </w:r>
            <w:r>
              <w:rPr>
                <w:rFonts w:ascii="Arial" w:eastAsia="SimSun" w:hAnsi="Arial" w:cs="Arial"/>
                <w:szCs w:val="20"/>
              </w:rPr>
              <w:t>финансирања</w:t>
            </w:r>
            <w:r w:rsidR="007B6BE3" w:rsidRPr="0087376B">
              <w:rPr>
                <w:rFonts w:ascii="Arial" w:eastAsia="SimSun" w:hAnsi="Arial" w:cs="Arial"/>
                <w:szCs w:val="20"/>
              </w:rPr>
              <w:t xml:space="preserve"> </w:t>
            </w:r>
            <w:r>
              <w:rPr>
                <w:rFonts w:ascii="Arial" w:eastAsia="SimSun" w:hAnsi="Arial" w:cs="Arial"/>
                <w:szCs w:val="20"/>
              </w:rPr>
              <w:t>и</w:t>
            </w:r>
            <w:r w:rsidR="007B6BE3" w:rsidRPr="0087376B">
              <w:rPr>
                <w:rFonts w:ascii="Arial" w:eastAsia="SimSun" w:hAnsi="Arial" w:cs="Arial"/>
                <w:szCs w:val="20"/>
              </w:rPr>
              <w:t xml:space="preserve"> </w:t>
            </w:r>
            <w:r>
              <w:rPr>
                <w:rFonts w:ascii="Arial" w:eastAsia="SimSun" w:hAnsi="Arial" w:cs="Arial"/>
                <w:szCs w:val="20"/>
              </w:rPr>
              <w:t>погоршања</w:t>
            </w:r>
            <w:r w:rsidR="007B6BE3" w:rsidRPr="0087376B">
              <w:rPr>
                <w:rFonts w:ascii="Arial" w:eastAsia="SimSun" w:hAnsi="Arial" w:cs="Arial"/>
                <w:szCs w:val="20"/>
              </w:rPr>
              <w:t xml:space="preserve"> </w:t>
            </w:r>
            <w:r>
              <w:rPr>
                <w:rFonts w:ascii="Arial" w:eastAsia="SimSun" w:hAnsi="Arial" w:cs="Arial"/>
                <w:szCs w:val="20"/>
              </w:rPr>
              <w:t>фискалног</w:t>
            </w:r>
            <w:r w:rsidR="007B6BE3" w:rsidRPr="0087376B">
              <w:rPr>
                <w:rFonts w:ascii="Arial" w:eastAsia="SimSun" w:hAnsi="Arial" w:cs="Arial"/>
                <w:szCs w:val="20"/>
              </w:rPr>
              <w:t xml:space="preserve"> </w:t>
            </w:r>
            <w:r>
              <w:rPr>
                <w:rFonts w:ascii="Arial" w:eastAsia="SimSun" w:hAnsi="Arial" w:cs="Arial"/>
                <w:szCs w:val="20"/>
              </w:rPr>
              <w:t>биланса</w:t>
            </w:r>
            <w:r w:rsidR="007B6BE3" w:rsidRPr="0087376B">
              <w:rPr>
                <w:rFonts w:ascii="Arial" w:eastAsia="SimSun" w:hAnsi="Arial" w:cs="Arial"/>
                <w:szCs w:val="20"/>
              </w:rPr>
              <w:t xml:space="preserve">, </w:t>
            </w:r>
            <w:r>
              <w:rPr>
                <w:rFonts w:ascii="Arial" w:eastAsia="SimSun" w:hAnsi="Arial" w:cs="Arial"/>
                <w:szCs w:val="20"/>
              </w:rPr>
              <w:t>што</w:t>
            </w:r>
            <w:r w:rsidR="007B6BE3" w:rsidRPr="0087376B">
              <w:rPr>
                <w:rFonts w:ascii="Arial" w:eastAsia="SimSun" w:hAnsi="Arial" w:cs="Arial"/>
                <w:szCs w:val="20"/>
              </w:rPr>
              <w:t xml:space="preserve"> </w:t>
            </w:r>
            <w:r>
              <w:rPr>
                <w:rFonts w:ascii="Arial" w:eastAsia="SimSun" w:hAnsi="Arial" w:cs="Arial"/>
                <w:szCs w:val="20"/>
              </w:rPr>
              <w:t>би</w:t>
            </w:r>
            <w:r w:rsidR="007B6BE3" w:rsidRPr="0087376B">
              <w:rPr>
                <w:rFonts w:ascii="Arial" w:eastAsia="SimSun" w:hAnsi="Arial" w:cs="Arial"/>
                <w:szCs w:val="20"/>
              </w:rPr>
              <w:t xml:space="preserve"> </w:t>
            </w:r>
            <w:r>
              <w:rPr>
                <w:rFonts w:ascii="Arial" w:eastAsia="SimSun" w:hAnsi="Arial" w:cs="Arial"/>
                <w:szCs w:val="20"/>
              </w:rPr>
              <w:t>могло</w:t>
            </w:r>
            <w:r w:rsidR="007B6BE3" w:rsidRPr="0087376B">
              <w:rPr>
                <w:rFonts w:ascii="Arial" w:eastAsia="SimSun" w:hAnsi="Arial" w:cs="Arial"/>
                <w:szCs w:val="20"/>
              </w:rPr>
              <w:t xml:space="preserve"> </w:t>
            </w:r>
            <w:r>
              <w:rPr>
                <w:rFonts w:ascii="Arial" w:eastAsia="SimSun" w:hAnsi="Arial" w:cs="Arial"/>
                <w:szCs w:val="20"/>
              </w:rPr>
              <w:t>резултирати</w:t>
            </w:r>
            <w:r w:rsidR="007B6BE3" w:rsidRPr="0087376B">
              <w:rPr>
                <w:rFonts w:ascii="Arial" w:eastAsia="SimSun" w:hAnsi="Arial" w:cs="Arial"/>
                <w:szCs w:val="20"/>
              </w:rPr>
              <w:t xml:space="preserve"> </w:t>
            </w:r>
            <w:r>
              <w:rPr>
                <w:rFonts w:ascii="Arial" w:eastAsia="SimSun" w:hAnsi="Arial" w:cs="Arial"/>
                <w:szCs w:val="20"/>
              </w:rPr>
              <w:t>већим</w:t>
            </w:r>
            <w:r w:rsidR="007B6BE3" w:rsidRPr="0087376B">
              <w:rPr>
                <w:rFonts w:ascii="Arial" w:eastAsia="SimSun" w:hAnsi="Arial" w:cs="Arial"/>
                <w:szCs w:val="20"/>
              </w:rPr>
              <w:t xml:space="preserve"> </w:t>
            </w:r>
            <w:r>
              <w:rPr>
                <w:rFonts w:ascii="Arial" w:eastAsia="SimSun" w:hAnsi="Arial" w:cs="Arial"/>
                <w:szCs w:val="20"/>
              </w:rPr>
              <w:t>домаћим</w:t>
            </w:r>
            <w:r w:rsidR="007B6BE3" w:rsidRPr="0087376B">
              <w:rPr>
                <w:rFonts w:ascii="Arial" w:eastAsia="SimSun" w:hAnsi="Arial" w:cs="Arial"/>
                <w:szCs w:val="20"/>
              </w:rPr>
              <w:t xml:space="preserve"> </w:t>
            </w:r>
            <w:r>
              <w:rPr>
                <w:rFonts w:ascii="Arial" w:eastAsia="SimSun" w:hAnsi="Arial" w:cs="Arial"/>
                <w:szCs w:val="20"/>
              </w:rPr>
              <w:t>и</w:t>
            </w:r>
            <w:r w:rsidR="007B6BE3" w:rsidRPr="0087376B">
              <w:rPr>
                <w:rFonts w:ascii="Arial" w:eastAsia="SimSun" w:hAnsi="Arial" w:cs="Arial"/>
                <w:szCs w:val="20"/>
              </w:rPr>
              <w:t xml:space="preserve"> </w:t>
            </w:r>
            <w:r>
              <w:rPr>
                <w:rFonts w:ascii="Arial" w:eastAsia="SimSun" w:hAnsi="Arial" w:cs="Arial"/>
                <w:szCs w:val="20"/>
              </w:rPr>
              <w:t>спољним</w:t>
            </w:r>
            <w:r w:rsidR="007B6BE3" w:rsidRPr="0087376B">
              <w:rPr>
                <w:rFonts w:ascii="Arial" w:eastAsia="SimSun" w:hAnsi="Arial" w:cs="Arial"/>
                <w:szCs w:val="20"/>
              </w:rPr>
              <w:t xml:space="preserve"> </w:t>
            </w:r>
            <w:r>
              <w:rPr>
                <w:rFonts w:ascii="Arial" w:eastAsia="SimSun" w:hAnsi="Arial" w:cs="Arial"/>
                <w:szCs w:val="20"/>
              </w:rPr>
              <w:t>задужењем</w:t>
            </w:r>
            <w:r w:rsidR="007B6BE3" w:rsidRPr="0087376B">
              <w:rPr>
                <w:rFonts w:ascii="Arial" w:eastAsia="SimSun" w:hAnsi="Arial" w:cs="Arial"/>
                <w:szCs w:val="20"/>
              </w:rPr>
              <w:t xml:space="preserve">. </w:t>
            </w:r>
          </w:p>
        </w:tc>
      </w:tr>
      <w:tr w:rsidR="007B6BE3" w:rsidRPr="0087376B" w14:paraId="1AE51DD2" w14:textId="77777777" w:rsidTr="007B6BE3">
        <w:trPr>
          <w:trHeight w:val="392"/>
          <w:jc w:val="center"/>
        </w:trPr>
        <w:tc>
          <w:tcPr>
            <w:cnfStyle w:val="001000000000" w:firstRow="0" w:lastRow="0" w:firstColumn="1" w:lastColumn="0" w:oddVBand="0" w:evenVBand="0" w:oddHBand="0" w:evenHBand="0" w:firstRowFirstColumn="0" w:firstRowLastColumn="0" w:lastRowFirstColumn="0" w:lastRowLastColumn="0"/>
            <w:tcW w:w="9918" w:type="dxa"/>
            <w:gridSpan w:val="3"/>
            <w:shd w:val="clear" w:color="auto" w:fill="DEEAF6" w:themeFill="accent1" w:themeFillTint="33"/>
            <w:vAlign w:val="center"/>
          </w:tcPr>
          <w:p w14:paraId="6E71B2CC" w14:textId="77777777" w:rsidR="007B6BE3" w:rsidRPr="0087376B" w:rsidRDefault="005B20F8" w:rsidP="007B6BE3">
            <w:pPr>
              <w:keepNext/>
              <w:rPr>
                <w:rFonts w:ascii="Arial" w:eastAsia="SimSun" w:hAnsi="Arial" w:cs="Arial"/>
                <w:color w:val="538135" w:themeColor="accent6" w:themeShade="BF"/>
                <w:szCs w:val="20"/>
              </w:rPr>
            </w:pPr>
            <w:r>
              <w:rPr>
                <w:rFonts w:ascii="Arial" w:eastAsia="SimSun" w:hAnsi="Arial" w:cs="Arial"/>
                <w:b w:val="0"/>
                <w:i/>
                <w:szCs w:val="20"/>
              </w:rPr>
              <w:t>Платни</w:t>
            </w:r>
            <w:r w:rsidR="007B6BE3" w:rsidRPr="0087376B">
              <w:rPr>
                <w:rFonts w:ascii="Arial" w:eastAsia="SimSun" w:hAnsi="Arial" w:cs="Arial"/>
                <w:b w:val="0"/>
                <w:i/>
                <w:szCs w:val="20"/>
              </w:rPr>
              <w:t xml:space="preserve"> </w:t>
            </w:r>
            <w:r>
              <w:rPr>
                <w:rFonts w:ascii="Arial" w:eastAsia="SimSun" w:hAnsi="Arial" w:cs="Arial"/>
                <w:b w:val="0"/>
                <w:i/>
                <w:szCs w:val="20"/>
              </w:rPr>
              <w:t>биланс</w:t>
            </w:r>
          </w:p>
        </w:tc>
      </w:tr>
      <w:tr w:rsidR="007B6BE3" w:rsidRPr="0087376B" w14:paraId="790854E7" w14:textId="77777777" w:rsidTr="007B6BE3">
        <w:trPr>
          <w:cnfStyle w:val="000000100000" w:firstRow="0" w:lastRow="0" w:firstColumn="0" w:lastColumn="0" w:oddVBand="0" w:evenVBand="0" w:oddHBand="1" w:evenHBand="0" w:firstRowFirstColumn="0" w:firstRowLastColumn="0" w:lastRowFirstColumn="0" w:lastRowLastColumn="0"/>
          <w:trHeight w:val="1295"/>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62B5AF5E" w14:textId="77777777" w:rsidR="007B6BE3" w:rsidRPr="0087376B" w:rsidRDefault="007B6BE3" w:rsidP="009D7230">
            <w:pPr>
              <w:keepNext/>
              <w:ind w:left="129" w:hanging="129"/>
              <w:rPr>
                <w:rFonts w:ascii="Arial" w:eastAsia="SimSun" w:hAnsi="Arial" w:cs="Arial"/>
                <w:b w:val="0"/>
                <w:szCs w:val="20"/>
              </w:rPr>
            </w:pPr>
            <w:r w:rsidRPr="0087376B">
              <w:rPr>
                <w:rFonts w:ascii="Arial" w:eastAsia="SimSun" w:hAnsi="Arial" w:cs="Arial"/>
                <w:b w:val="0"/>
                <w:szCs w:val="20"/>
              </w:rPr>
              <w:t xml:space="preserve">- </w:t>
            </w:r>
            <w:r w:rsidR="005B20F8">
              <w:rPr>
                <w:rFonts w:ascii="Arial" w:eastAsia="SimSun" w:hAnsi="Arial" w:cs="Arial"/>
                <w:b w:val="0"/>
                <w:szCs w:val="20"/>
              </w:rPr>
              <w:t>Спољна</w:t>
            </w:r>
            <w:r w:rsidRPr="0087376B">
              <w:rPr>
                <w:rFonts w:ascii="Arial" w:eastAsia="SimSun" w:hAnsi="Arial" w:cs="Arial"/>
                <w:b w:val="0"/>
                <w:szCs w:val="20"/>
              </w:rPr>
              <w:t xml:space="preserve"> </w:t>
            </w:r>
            <w:r w:rsidR="005B20F8">
              <w:rPr>
                <w:rFonts w:ascii="Arial" w:eastAsia="SimSun" w:hAnsi="Arial" w:cs="Arial"/>
                <w:b w:val="0"/>
                <w:szCs w:val="20"/>
              </w:rPr>
              <w:t>потражња</w:t>
            </w:r>
            <w:r w:rsidRPr="0087376B">
              <w:rPr>
                <w:rFonts w:ascii="Arial" w:eastAsia="SimSun" w:hAnsi="Arial" w:cs="Arial"/>
                <w:b w:val="0"/>
                <w:szCs w:val="20"/>
              </w:rPr>
              <w:t>/</w:t>
            </w:r>
            <w:r w:rsidR="005B20F8">
              <w:rPr>
                <w:rFonts w:ascii="Arial" w:eastAsia="SimSun" w:hAnsi="Arial" w:cs="Arial"/>
                <w:b w:val="0"/>
                <w:szCs w:val="20"/>
              </w:rPr>
              <w:t>курс</w:t>
            </w:r>
            <w:r w:rsidRPr="0087376B">
              <w:rPr>
                <w:rFonts w:ascii="Arial" w:eastAsia="SimSun" w:hAnsi="Arial" w:cs="Arial"/>
                <w:b w:val="0"/>
                <w:szCs w:val="20"/>
              </w:rPr>
              <w:t xml:space="preserve">    </w:t>
            </w:r>
            <w:r w:rsidR="005B20F8">
              <w:rPr>
                <w:rFonts w:ascii="Arial" w:eastAsia="SimSun" w:hAnsi="Arial" w:cs="Arial"/>
                <w:b w:val="0"/>
                <w:szCs w:val="20"/>
              </w:rPr>
              <w:t>валута</w:t>
            </w:r>
          </w:p>
        </w:tc>
        <w:tc>
          <w:tcPr>
            <w:tcW w:w="1276" w:type="dxa"/>
            <w:shd w:val="clear" w:color="auto" w:fill="auto"/>
            <w:vAlign w:val="center"/>
          </w:tcPr>
          <w:p w14:paraId="6F159E2F" w14:textId="77777777" w:rsidR="007B6BE3" w:rsidRPr="0087376B" w:rsidRDefault="005B20F8" w:rsidP="007B6BE3">
            <w:pPr>
              <w:keepNext/>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Pr>
                <w:rFonts w:ascii="Arial" w:eastAsia="SimSun" w:hAnsi="Arial" w:cs="Arial"/>
                <w:szCs w:val="20"/>
              </w:rPr>
              <w:t>Средња</w:t>
            </w:r>
            <w:r w:rsidR="007B6BE3" w:rsidRPr="0087376B">
              <w:rPr>
                <w:rFonts w:ascii="Arial" w:eastAsia="SimSun" w:hAnsi="Arial" w:cs="Arial"/>
                <w:szCs w:val="20"/>
              </w:rPr>
              <w:t xml:space="preserve"> </w:t>
            </w:r>
            <w:r>
              <w:rPr>
                <w:rFonts w:ascii="Arial" w:eastAsia="SimSun" w:hAnsi="Arial" w:cs="Arial"/>
                <w:szCs w:val="20"/>
              </w:rPr>
              <w:t>до</w:t>
            </w:r>
            <w:r w:rsidR="007B6BE3" w:rsidRPr="0087376B">
              <w:rPr>
                <w:rFonts w:ascii="Arial" w:eastAsia="SimSun" w:hAnsi="Arial" w:cs="Arial"/>
                <w:szCs w:val="20"/>
              </w:rPr>
              <w:t xml:space="preserve"> </w:t>
            </w:r>
            <w:r>
              <w:rPr>
                <w:rFonts w:ascii="Arial" w:eastAsia="SimSun" w:hAnsi="Arial" w:cs="Arial"/>
                <w:szCs w:val="20"/>
              </w:rPr>
              <w:t>висока</w:t>
            </w:r>
          </w:p>
        </w:tc>
        <w:tc>
          <w:tcPr>
            <w:tcW w:w="6237" w:type="dxa"/>
            <w:shd w:val="clear" w:color="auto" w:fill="auto"/>
            <w:vAlign w:val="center"/>
          </w:tcPr>
          <w:p w14:paraId="2B6266A3" w14:textId="77777777" w:rsidR="007B6BE3" w:rsidRPr="0087376B" w:rsidRDefault="005B20F8" w:rsidP="009D7230">
            <w:pPr>
              <w:keepNext/>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Pr>
                <w:rFonts w:ascii="Arial" w:eastAsia="SimSun" w:hAnsi="Arial" w:cs="Arial"/>
                <w:szCs w:val="20"/>
              </w:rPr>
              <w:t>Спор</w:t>
            </w:r>
            <w:r w:rsidR="007B6BE3" w:rsidRPr="0087376B">
              <w:rPr>
                <w:rFonts w:ascii="Arial" w:eastAsia="SimSun" w:hAnsi="Arial" w:cs="Arial"/>
                <w:szCs w:val="20"/>
              </w:rPr>
              <w:t xml:space="preserve"> </w:t>
            </w:r>
            <w:r>
              <w:rPr>
                <w:rFonts w:ascii="Arial" w:eastAsia="SimSun" w:hAnsi="Arial" w:cs="Arial"/>
                <w:szCs w:val="20"/>
              </w:rPr>
              <w:t>глобални</w:t>
            </w:r>
            <w:r w:rsidR="007B6BE3" w:rsidRPr="0087376B">
              <w:rPr>
                <w:rFonts w:ascii="Arial" w:eastAsia="SimSun" w:hAnsi="Arial" w:cs="Arial"/>
                <w:szCs w:val="20"/>
              </w:rPr>
              <w:t xml:space="preserve"> </w:t>
            </w:r>
            <w:r>
              <w:rPr>
                <w:rFonts w:ascii="Arial" w:eastAsia="SimSun" w:hAnsi="Arial" w:cs="Arial"/>
                <w:szCs w:val="20"/>
              </w:rPr>
              <w:t>раст</w:t>
            </w:r>
            <w:r w:rsidR="007B6BE3" w:rsidRPr="0087376B">
              <w:rPr>
                <w:rFonts w:ascii="Arial" w:eastAsia="SimSun" w:hAnsi="Arial" w:cs="Arial"/>
                <w:szCs w:val="20"/>
              </w:rPr>
              <w:t xml:space="preserve">, </w:t>
            </w:r>
            <w:r>
              <w:rPr>
                <w:rFonts w:ascii="Arial" w:eastAsia="SimSun" w:hAnsi="Arial" w:cs="Arial"/>
                <w:szCs w:val="20"/>
              </w:rPr>
              <w:t>посебно</w:t>
            </w:r>
            <w:r w:rsidR="007B6BE3" w:rsidRPr="0087376B">
              <w:rPr>
                <w:rFonts w:ascii="Arial" w:eastAsia="SimSun" w:hAnsi="Arial" w:cs="Arial"/>
                <w:szCs w:val="20"/>
              </w:rPr>
              <w:t xml:space="preserve"> </w:t>
            </w:r>
            <w:r>
              <w:rPr>
                <w:rFonts w:ascii="Arial" w:eastAsia="SimSun" w:hAnsi="Arial" w:cs="Arial"/>
                <w:szCs w:val="20"/>
              </w:rPr>
              <w:t>у</w:t>
            </w:r>
            <w:r w:rsidR="007B6BE3" w:rsidRPr="0087376B">
              <w:rPr>
                <w:rFonts w:ascii="Arial" w:eastAsia="SimSun" w:hAnsi="Arial" w:cs="Arial"/>
                <w:szCs w:val="20"/>
              </w:rPr>
              <w:t xml:space="preserve"> </w:t>
            </w:r>
            <w:r>
              <w:rPr>
                <w:rFonts w:ascii="Arial" w:eastAsia="SimSun" w:hAnsi="Arial" w:cs="Arial"/>
                <w:szCs w:val="20"/>
              </w:rPr>
              <w:t>ЕУ</w:t>
            </w:r>
            <w:r w:rsidR="007B6BE3" w:rsidRPr="0087376B">
              <w:rPr>
                <w:rFonts w:ascii="Arial" w:eastAsia="SimSun" w:hAnsi="Arial" w:cs="Arial"/>
                <w:szCs w:val="20"/>
              </w:rPr>
              <w:t xml:space="preserve">, </w:t>
            </w:r>
            <w:r>
              <w:rPr>
                <w:rFonts w:ascii="Arial" w:eastAsia="SimSun" w:hAnsi="Arial" w:cs="Arial"/>
                <w:szCs w:val="20"/>
              </w:rPr>
              <w:t>може</w:t>
            </w:r>
            <w:r w:rsidR="007B6BE3" w:rsidRPr="0087376B">
              <w:rPr>
                <w:rFonts w:ascii="Arial" w:eastAsia="SimSun" w:hAnsi="Arial" w:cs="Arial"/>
                <w:szCs w:val="20"/>
              </w:rPr>
              <w:t xml:space="preserve"> </w:t>
            </w:r>
            <w:r>
              <w:rPr>
                <w:rFonts w:ascii="Arial" w:eastAsia="SimSun" w:hAnsi="Arial" w:cs="Arial"/>
                <w:szCs w:val="20"/>
              </w:rPr>
              <w:t>смањити</w:t>
            </w:r>
            <w:r w:rsidR="007B6BE3" w:rsidRPr="0087376B">
              <w:rPr>
                <w:rFonts w:ascii="Arial" w:eastAsia="SimSun" w:hAnsi="Arial" w:cs="Arial"/>
                <w:szCs w:val="20"/>
              </w:rPr>
              <w:t xml:space="preserve"> </w:t>
            </w:r>
            <w:r>
              <w:rPr>
                <w:rFonts w:ascii="Arial" w:eastAsia="SimSun" w:hAnsi="Arial" w:cs="Arial"/>
                <w:szCs w:val="20"/>
              </w:rPr>
              <w:t>извоз</w:t>
            </w:r>
            <w:r w:rsidR="007B6BE3" w:rsidRPr="0087376B">
              <w:rPr>
                <w:rFonts w:ascii="Arial" w:eastAsia="SimSun" w:hAnsi="Arial" w:cs="Arial"/>
                <w:szCs w:val="20"/>
              </w:rPr>
              <w:t xml:space="preserve"> </w:t>
            </w:r>
            <w:r>
              <w:rPr>
                <w:rFonts w:ascii="Arial" w:eastAsia="SimSun" w:hAnsi="Arial" w:cs="Arial"/>
                <w:szCs w:val="20"/>
              </w:rPr>
              <w:t>и</w:t>
            </w:r>
            <w:r w:rsidR="007B6BE3" w:rsidRPr="0087376B">
              <w:rPr>
                <w:rFonts w:ascii="Arial" w:eastAsia="SimSun" w:hAnsi="Arial" w:cs="Arial"/>
                <w:szCs w:val="20"/>
              </w:rPr>
              <w:t xml:space="preserve"> </w:t>
            </w:r>
            <w:r>
              <w:rPr>
                <w:rFonts w:ascii="Arial" w:eastAsia="SimSun" w:hAnsi="Arial" w:cs="Arial"/>
                <w:szCs w:val="20"/>
              </w:rPr>
              <w:t>стране</w:t>
            </w:r>
            <w:r w:rsidR="007B6BE3" w:rsidRPr="0087376B">
              <w:rPr>
                <w:rFonts w:ascii="Arial" w:eastAsia="SimSun" w:hAnsi="Arial" w:cs="Arial"/>
                <w:szCs w:val="20"/>
              </w:rPr>
              <w:t xml:space="preserve"> </w:t>
            </w:r>
            <w:r>
              <w:rPr>
                <w:rFonts w:ascii="Arial" w:eastAsia="SimSun" w:hAnsi="Arial" w:cs="Arial"/>
                <w:szCs w:val="20"/>
              </w:rPr>
              <w:t>директне</w:t>
            </w:r>
            <w:r w:rsidR="007B6BE3" w:rsidRPr="0087376B">
              <w:rPr>
                <w:rFonts w:ascii="Arial" w:eastAsia="SimSun" w:hAnsi="Arial" w:cs="Arial"/>
                <w:szCs w:val="20"/>
              </w:rPr>
              <w:t xml:space="preserve"> </w:t>
            </w:r>
            <w:r>
              <w:rPr>
                <w:rFonts w:ascii="Arial" w:eastAsia="SimSun" w:hAnsi="Arial" w:cs="Arial"/>
                <w:szCs w:val="20"/>
              </w:rPr>
              <w:t>инвестиције</w:t>
            </w:r>
            <w:r w:rsidR="007B6BE3" w:rsidRPr="0087376B">
              <w:rPr>
                <w:rFonts w:ascii="Arial" w:eastAsia="SimSun" w:hAnsi="Arial" w:cs="Arial"/>
                <w:szCs w:val="20"/>
              </w:rPr>
              <w:t xml:space="preserve">, </w:t>
            </w:r>
            <w:r>
              <w:rPr>
                <w:rFonts w:ascii="Arial" w:eastAsia="SimSun" w:hAnsi="Arial" w:cs="Arial"/>
                <w:szCs w:val="20"/>
              </w:rPr>
              <w:t>доводећи</w:t>
            </w:r>
            <w:r w:rsidR="007B6BE3" w:rsidRPr="0087376B">
              <w:rPr>
                <w:rFonts w:ascii="Arial" w:eastAsia="SimSun" w:hAnsi="Arial" w:cs="Arial"/>
                <w:szCs w:val="20"/>
              </w:rPr>
              <w:t xml:space="preserve"> </w:t>
            </w:r>
            <w:r>
              <w:rPr>
                <w:rFonts w:ascii="Arial" w:eastAsia="SimSun" w:hAnsi="Arial" w:cs="Arial"/>
                <w:szCs w:val="20"/>
              </w:rPr>
              <w:t>до</w:t>
            </w:r>
            <w:r w:rsidR="007B6BE3" w:rsidRPr="0087376B">
              <w:rPr>
                <w:rFonts w:ascii="Arial" w:eastAsia="SimSun" w:hAnsi="Arial" w:cs="Arial"/>
                <w:szCs w:val="20"/>
              </w:rPr>
              <w:t xml:space="preserve"> </w:t>
            </w:r>
            <w:r>
              <w:rPr>
                <w:rFonts w:ascii="Arial" w:eastAsia="SimSun" w:hAnsi="Arial" w:cs="Arial"/>
                <w:szCs w:val="20"/>
              </w:rPr>
              <w:t>притиска</w:t>
            </w:r>
            <w:r w:rsidR="007B6BE3" w:rsidRPr="0087376B">
              <w:rPr>
                <w:rFonts w:ascii="Arial" w:eastAsia="SimSun" w:hAnsi="Arial" w:cs="Arial"/>
                <w:szCs w:val="20"/>
              </w:rPr>
              <w:t xml:space="preserve"> </w:t>
            </w:r>
            <w:r>
              <w:rPr>
                <w:rFonts w:ascii="Arial" w:eastAsia="SimSun" w:hAnsi="Arial" w:cs="Arial"/>
                <w:szCs w:val="20"/>
              </w:rPr>
              <w:t>на</w:t>
            </w:r>
            <w:r w:rsidR="007B6BE3" w:rsidRPr="0087376B">
              <w:rPr>
                <w:rFonts w:ascii="Arial" w:eastAsia="SimSun" w:hAnsi="Arial" w:cs="Arial"/>
                <w:szCs w:val="20"/>
              </w:rPr>
              <w:t xml:space="preserve"> </w:t>
            </w:r>
            <w:r>
              <w:rPr>
                <w:rFonts w:ascii="Arial" w:eastAsia="SimSun" w:hAnsi="Arial" w:cs="Arial"/>
                <w:szCs w:val="20"/>
              </w:rPr>
              <w:t>девизне</w:t>
            </w:r>
            <w:r w:rsidR="007B6BE3" w:rsidRPr="0087376B">
              <w:rPr>
                <w:rFonts w:ascii="Arial" w:eastAsia="SimSun" w:hAnsi="Arial" w:cs="Arial"/>
                <w:szCs w:val="20"/>
              </w:rPr>
              <w:t xml:space="preserve"> </w:t>
            </w:r>
            <w:r>
              <w:rPr>
                <w:rFonts w:ascii="Arial" w:eastAsia="SimSun" w:hAnsi="Arial" w:cs="Arial"/>
                <w:szCs w:val="20"/>
              </w:rPr>
              <w:t>резерве</w:t>
            </w:r>
            <w:r w:rsidR="007B6BE3" w:rsidRPr="0087376B">
              <w:rPr>
                <w:rFonts w:ascii="Arial" w:eastAsia="SimSun" w:hAnsi="Arial" w:cs="Arial"/>
                <w:szCs w:val="20"/>
              </w:rPr>
              <w:t xml:space="preserve">, </w:t>
            </w:r>
            <w:r>
              <w:rPr>
                <w:rFonts w:ascii="Arial" w:eastAsia="SimSun" w:hAnsi="Arial" w:cs="Arial"/>
                <w:szCs w:val="20"/>
              </w:rPr>
              <w:t>што</w:t>
            </w:r>
            <w:r w:rsidR="007B6BE3" w:rsidRPr="0087376B">
              <w:rPr>
                <w:rFonts w:ascii="Arial" w:eastAsia="SimSun" w:hAnsi="Arial" w:cs="Arial"/>
                <w:szCs w:val="20"/>
              </w:rPr>
              <w:t xml:space="preserve"> </w:t>
            </w:r>
            <w:r>
              <w:rPr>
                <w:rFonts w:ascii="Arial" w:eastAsia="SimSun" w:hAnsi="Arial" w:cs="Arial"/>
                <w:szCs w:val="20"/>
              </w:rPr>
              <w:t>би</w:t>
            </w:r>
            <w:r w:rsidR="007B6BE3" w:rsidRPr="0087376B">
              <w:rPr>
                <w:rFonts w:ascii="Arial" w:eastAsia="SimSun" w:hAnsi="Arial" w:cs="Arial"/>
                <w:szCs w:val="20"/>
              </w:rPr>
              <w:t xml:space="preserve"> </w:t>
            </w:r>
            <w:r>
              <w:rPr>
                <w:rFonts w:ascii="Arial" w:eastAsia="SimSun" w:hAnsi="Arial" w:cs="Arial"/>
                <w:szCs w:val="20"/>
              </w:rPr>
              <w:t>с</w:t>
            </w:r>
            <w:r w:rsidR="007B6BE3" w:rsidRPr="0087376B">
              <w:rPr>
                <w:rFonts w:ascii="Arial" w:eastAsia="SimSun" w:hAnsi="Arial" w:cs="Arial"/>
                <w:szCs w:val="20"/>
              </w:rPr>
              <w:t xml:space="preserve"> </w:t>
            </w:r>
            <w:r>
              <w:rPr>
                <w:rFonts w:ascii="Arial" w:eastAsia="SimSun" w:hAnsi="Arial" w:cs="Arial"/>
                <w:szCs w:val="20"/>
              </w:rPr>
              <w:t>обзиром</w:t>
            </w:r>
            <w:r w:rsidR="007B6BE3" w:rsidRPr="0087376B">
              <w:rPr>
                <w:rFonts w:ascii="Arial" w:eastAsia="SimSun" w:hAnsi="Arial" w:cs="Arial"/>
                <w:szCs w:val="20"/>
              </w:rPr>
              <w:t xml:space="preserve"> </w:t>
            </w:r>
            <w:r>
              <w:rPr>
                <w:rFonts w:ascii="Arial" w:eastAsia="SimSun" w:hAnsi="Arial" w:cs="Arial"/>
                <w:szCs w:val="20"/>
              </w:rPr>
              <w:t>на</w:t>
            </w:r>
            <w:r w:rsidR="007B6BE3" w:rsidRPr="0087376B">
              <w:rPr>
                <w:rFonts w:ascii="Arial" w:eastAsia="SimSun" w:hAnsi="Arial" w:cs="Arial"/>
                <w:szCs w:val="20"/>
              </w:rPr>
              <w:t xml:space="preserve"> </w:t>
            </w:r>
            <w:r>
              <w:rPr>
                <w:rFonts w:ascii="Arial" w:eastAsia="SimSun" w:hAnsi="Arial" w:cs="Arial"/>
                <w:szCs w:val="20"/>
              </w:rPr>
              <w:t>аранжман</w:t>
            </w:r>
            <w:r w:rsidR="007B6BE3" w:rsidRPr="0087376B">
              <w:rPr>
                <w:rFonts w:ascii="Arial" w:eastAsia="SimSun" w:hAnsi="Arial" w:cs="Arial"/>
                <w:szCs w:val="20"/>
              </w:rPr>
              <w:t xml:space="preserve"> </w:t>
            </w:r>
            <w:r>
              <w:rPr>
                <w:rFonts w:ascii="Arial" w:eastAsia="SimSun" w:hAnsi="Arial" w:cs="Arial"/>
                <w:szCs w:val="20"/>
              </w:rPr>
              <w:t>валутног</w:t>
            </w:r>
            <w:r w:rsidR="007B6BE3" w:rsidRPr="0087376B">
              <w:rPr>
                <w:rFonts w:ascii="Arial" w:eastAsia="SimSun" w:hAnsi="Arial" w:cs="Arial"/>
                <w:szCs w:val="20"/>
              </w:rPr>
              <w:t xml:space="preserve"> </w:t>
            </w:r>
            <w:r>
              <w:rPr>
                <w:rFonts w:ascii="Arial" w:eastAsia="SimSun" w:hAnsi="Arial" w:cs="Arial"/>
                <w:szCs w:val="20"/>
              </w:rPr>
              <w:t>одбора</w:t>
            </w:r>
            <w:r w:rsidR="007B6BE3" w:rsidRPr="0087376B">
              <w:rPr>
                <w:rFonts w:ascii="Arial" w:eastAsia="SimSun" w:hAnsi="Arial" w:cs="Arial"/>
                <w:szCs w:val="20"/>
              </w:rPr>
              <w:t xml:space="preserve">, </w:t>
            </w:r>
            <w:r>
              <w:rPr>
                <w:rFonts w:ascii="Arial" w:eastAsia="SimSun" w:hAnsi="Arial" w:cs="Arial"/>
                <w:szCs w:val="20"/>
              </w:rPr>
              <w:t>могло</w:t>
            </w:r>
            <w:r w:rsidR="007B6BE3" w:rsidRPr="0087376B">
              <w:rPr>
                <w:rFonts w:ascii="Arial" w:eastAsia="SimSun" w:hAnsi="Arial" w:cs="Arial"/>
                <w:szCs w:val="20"/>
              </w:rPr>
              <w:t xml:space="preserve"> </w:t>
            </w:r>
            <w:r>
              <w:rPr>
                <w:rFonts w:ascii="Arial" w:eastAsia="SimSun" w:hAnsi="Arial" w:cs="Arial"/>
                <w:szCs w:val="20"/>
              </w:rPr>
              <w:t>утицати</w:t>
            </w:r>
            <w:r w:rsidR="007B6BE3" w:rsidRPr="0087376B">
              <w:rPr>
                <w:rFonts w:ascii="Arial" w:eastAsia="SimSun" w:hAnsi="Arial" w:cs="Arial"/>
                <w:szCs w:val="20"/>
              </w:rPr>
              <w:t xml:space="preserve"> </w:t>
            </w:r>
            <w:r>
              <w:rPr>
                <w:rFonts w:ascii="Arial" w:eastAsia="SimSun" w:hAnsi="Arial" w:cs="Arial"/>
                <w:szCs w:val="20"/>
              </w:rPr>
              <w:t>и</w:t>
            </w:r>
            <w:r w:rsidR="007B6BE3" w:rsidRPr="0087376B">
              <w:rPr>
                <w:rFonts w:ascii="Arial" w:eastAsia="SimSun" w:hAnsi="Arial" w:cs="Arial"/>
                <w:szCs w:val="20"/>
              </w:rPr>
              <w:t xml:space="preserve"> </w:t>
            </w:r>
            <w:r>
              <w:rPr>
                <w:rFonts w:ascii="Arial" w:eastAsia="SimSun" w:hAnsi="Arial" w:cs="Arial"/>
                <w:szCs w:val="20"/>
              </w:rPr>
              <w:t>на</w:t>
            </w:r>
            <w:r w:rsidR="007B6BE3" w:rsidRPr="0087376B">
              <w:rPr>
                <w:rFonts w:ascii="Arial" w:eastAsia="SimSun" w:hAnsi="Arial" w:cs="Arial"/>
                <w:szCs w:val="20"/>
              </w:rPr>
              <w:t xml:space="preserve"> </w:t>
            </w:r>
            <w:r>
              <w:rPr>
                <w:rFonts w:ascii="Arial" w:eastAsia="SimSun" w:hAnsi="Arial" w:cs="Arial"/>
                <w:szCs w:val="20"/>
              </w:rPr>
              <w:t>веће</w:t>
            </w:r>
            <w:r w:rsidR="007B6BE3" w:rsidRPr="0087376B">
              <w:rPr>
                <w:rFonts w:ascii="Arial" w:eastAsia="SimSun" w:hAnsi="Arial" w:cs="Arial"/>
                <w:szCs w:val="20"/>
              </w:rPr>
              <w:t xml:space="preserve"> </w:t>
            </w:r>
            <w:r>
              <w:rPr>
                <w:rFonts w:ascii="Arial" w:eastAsia="SimSun" w:hAnsi="Arial" w:cs="Arial"/>
                <w:szCs w:val="20"/>
              </w:rPr>
              <w:t>спољно</w:t>
            </w:r>
            <w:r w:rsidR="007B6BE3" w:rsidRPr="0087376B">
              <w:rPr>
                <w:rFonts w:ascii="Arial" w:eastAsia="SimSun" w:hAnsi="Arial" w:cs="Arial"/>
                <w:szCs w:val="20"/>
              </w:rPr>
              <w:t xml:space="preserve"> </w:t>
            </w:r>
            <w:r>
              <w:rPr>
                <w:rFonts w:ascii="Arial" w:eastAsia="SimSun" w:hAnsi="Arial" w:cs="Arial"/>
                <w:szCs w:val="20"/>
              </w:rPr>
              <w:t>задуживање</w:t>
            </w:r>
            <w:r w:rsidR="007B6BE3" w:rsidRPr="0087376B">
              <w:rPr>
                <w:rFonts w:ascii="Arial" w:eastAsia="SimSun" w:hAnsi="Arial" w:cs="Arial"/>
                <w:szCs w:val="20"/>
              </w:rPr>
              <w:t xml:space="preserve">. </w:t>
            </w:r>
          </w:p>
        </w:tc>
      </w:tr>
      <w:tr w:rsidR="007B6BE3" w:rsidRPr="0087376B" w14:paraId="630FD715" w14:textId="77777777" w:rsidTr="007B6BE3">
        <w:trPr>
          <w:trHeight w:val="384"/>
          <w:jc w:val="center"/>
        </w:trPr>
        <w:tc>
          <w:tcPr>
            <w:cnfStyle w:val="001000000000" w:firstRow="0" w:lastRow="0" w:firstColumn="1" w:lastColumn="0" w:oddVBand="0" w:evenVBand="0" w:oddHBand="0" w:evenHBand="0" w:firstRowFirstColumn="0" w:firstRowLastColumn="0" w:lastRowFirstColumn="0" w:lastRowLastColumn="0"/>
            <w:tcW w:w="9918" w:type="dxa"/>
            <w:gridSpan w:val="3"/>
            <w:shd w:val="clear" w:color="auto" w:fill="DEEAF6" w:themeFill="accent1" w:themeFillTint="33"/>
            <w:vAlign w:val="center"/>
          </w:tcPr>
          <w:p w14:paraId="4FAE0C04" w14:textId="77777777" w:rsidR="007B6BE3" w:rsidRPr="0087376B" w:rsidRDefault="005B20F8" w:rsidP="007B6BE3">
            <w:pPr>
              <w:keepNext/>
              <w:rPr>
                <w:rFonts w:ascii="Arial" w:eastAsia="SimSun" w:hAnsi="Arial" w:cs="Arial"/>
                <w:color w:val="538135" w:themeColor="accent6" w:themeShade="BF"/>
                <w:szCs w:val="20"/>
              </w:rPr>
            </w:pPr>
            <w:r>
              <w:rPr>
                <w:rFonts w:ascii="Arial" w:eastAsia="SimSun" w:hAnsi="Arial" w:cs="Arial"/>
                <w:b w:val="0"/>
                <w:i/>
                <w:szCs w:val="20"/>
              </w:rPr>
              <w:t>Инфлација</w:t>
            </w:r>
            <w:r w:rsidR="007B6BE3" w:rsidRPr="0087376B">
              <w:rPr>
                <w:rFonts w:ascii="Arial" w:eastAsia="SimSun" w:hAnsi="Arial" w:cs="Arial"/>
                <w:b w:val="0"/>
                <w:i/>
                <w:szCs w:val="20"/>
              </w:rPr>
              <w:t xml:space="preserve"> </w:t>
            </w:r>
          </w:p>
        </w:tc>
      </w:tr>
      <w:tr w:rsidR="007B6BE3" w:rsidRPr="0087376B" w14:paraId="24DE162D" w14:textId="77777777" w:rsidTr="007B6BE3">
        <w:trPr>
          <w:cnfStyle w:val="000000100000" w:firstRow="0" w:lastRow="0" w:firstColumn="0" w:lastColumn="0" w:oddVBand="0" w:evenVBand="0" w:oddHBand="1" w:evenHBand="0" w:firstRowFirstColumn="0" w:firstRowLastColumn="0" w:lastRowFirstColumn="0" w:lastRowLastColumn="0"/>
          <w:trHeight w:val="1291"/>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71BB3477" w14:textId="77777777" w:rsidR="007B6BE3" w:rsidRPr="0087376B" w:rsidRDefault="007B6BE3" w:rsidP="007B6BE3">
            <w:pPr>
              <w:keepNext/>
              <w:rPr>
                <w:rFonts w:ascii="Arial" w:eastAsia="SimSun" w:hAnsi="Arial" w:cs="Arial"/>
                <w:b w:val="0"/>
                <w:szCs w:val="20"/>
              </w:rPr>
            </w:pPr>
            <w:r w:rsidRPr="0087376B">
              <w:rPr>
                <w:rFonts w:ascii="Arial" w:eastAsia="SimSun" w:hAnsi="Arial" w:cs="Arial"/>
                <w:b w:val="0"/>
                <w:szCs w:val="20"/>
              </w:rPr>
              <w:t xml:space="preserve">- </w:t>
            </w:r>
            <w:r w:rsidR="005B20F8">
              <w:rPr>
                <w:rFonts w:ascii="Arial" w:eastAsia="SimSun" w:hAnsi="Arial" w:cs="Arial"/>
                <w:b w:val="0"/>
                <w:szCs w:val="20"/>
              </w:rPr>
              <w:t>Цијене</w:t>
            </w:r>
            <w:r w:rsidRPr="0087376B">
              <w:rPr>
                <w:rFonts w:ascii="Arial" w:eastAsia="SimSun" w:hAnsi="Arial" w:cs="Arial"/>
                <w:b w:val="0"/>
                <w:szCs w:val="20"/>
              </w:rPr>
              <w:t xml:space="preserve"> </w:t>
            </w:r>
            <w:r w:rsidR="005B20F8">
              <w:rPr>
                <w:rFonts w:ascii="Arial" w:eastAsia="SimSun" w:hAnsi="Arial" w:cs="Arial"/>
                <w:b w:val="0"/>
                <w:szCs w:val="20"/>
              </w:rPr>
              <w:t>роба</w:t>
            </w:r>
            <w:r w:rsidRPr="0087376B">
              <w:rPr>
                <w:rFonts w:ascii="Arial" w:eastAsia="SimSun" w:hAnsi="Arial" w:cs="Arial"/>
                <w:b w:val="0"/>
                <w:szCs w:val="20"/>
              </w:rPr>
              <w:t>/</w:t>
            </w:r>
            <w:r w:rsidR="005B20F8">
              <w:rPr>
                <w:rFonts w:ascii="Arial" w:eastAsia="SimSun" w:hAnsi="Arial" w:cs="Arial"/>
                <w:b w:val="0"/>
                <w:szCs w:val="20"/>
              </w:rPr>
              <w:t>курс</w:t>
            </w:r>
            <w:r w:rsidRPr="0087376B">
              <w:rPr>
                <w:rFonts w:ascii="Arial" w:eastAsia="SimSun" w:hAnsi="Arial" w:cs="Arial"/>
                <w:b w:val="0"/>
                <w:szCs w:val="20"/>
              </w:rPr>
              <w:t xml:space="preserve"> </w:t>
            </w:r>
            <w:r w:rsidR="005B20F8">
              <w:rPr>
                <w:rFonts w:ascii="Arial" w:eastAsia="SimSun" w:hAnsi="Arial" w:cs="Arial"/>
                <w:b w:val="0"/>
                <w:szCs w:val="20"/>
              </w:rPr>
              <w:t>валута</w:t>
            </w:r>
          </w:p>
        </w:tc>
        <w:tc>
          <w:tcPr>
            <w:tcW w:w="1276" w:type="dxa"/>
            <w:shd w:val="clear" w:color="auto" w:fill="auto"/>
            <w:vAlign w:val="center"/>
          </w:tcPr>
          <w:p w14:paraId="35D8B264" w14:textId="77777777" w:rsidR="007B6BE3" w:rsidRPr="0087376B" w:rsidRDefault="005B20F8" w:rsidP="007B6BE3">
            <w:pPr>
              <w:keepNext/>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Pr>
                <w:rFonts w:ascii="Arial" w:eastAsia="SimSun" w:hAnsi="Arial" w:cs="Arial"/>
                <w:szCs w:val="20"/>
              </w:rPr>
              <w:t>Средња</w:t>
            </w:r>
            <w:r w:rsidR="007B6BE3" w:rsidRPr="0087376B">
              <w:rPr>
                <w:rFonts w:ascii="Arial" w:eastAsia="SimSun" w:hAnsi="Arial" w:cs="Arial"/>
                <w:szCs w:val="20"/>
              </w:rPr>
              <w:t xml:space="preserve"> </w:t>
            </w:r>
            <w:r>
              <w:rPr>
                <w:rFonts w:ascii="Arial" w:eastAsia="SimSun" w:hAnsi="Arial" w:cs="Arial"/>
                <w:szCs w:val="20"/>
              </w:rPr>
              <w:t>до</w:t>
            </w:r>
            <w:r w:rsidR="007B6BE3" w:rsidRPr="0087376B">
              <w:rPr>
                <w:rFonts w:ascii="Arial" w:eastAsia="SimSun" w:hAnsi="Arial" w:cs="Arial"/>
                <w:szCs w:val="20"/>
              </w:rPr>
              <w:t xml:space="preserve"> </w:t>
            </w:r>
            <w:r>
              <w:rPr>
                <w:rFonts w:ascii="Arial" w:eastAsia="SimSun" w:hAnsi="Arial" w:cs="Arial"/>
                <w:szCs w:val="20"/>
              </w:rPr>
              <w:t>мала</w:t>
            </w:r>
          </w:p>
        </w:tc>
        <w:tc>
          <w:tcPr>
            <w:tcW w:w="6237" w:type="dxa"/>
            <w:shd w:val="clear" w:color="auto" w:fill="auto"/>
            <w:vAlign w:val="center"/>
          </w:tcPr>
          <w:p w14:paraId="5540753A" w14:textId="77777777" w:rsidR="007B6BE3" w:rsidRPr="0087376B" w:rsidRDefault="005B20F8" w:rsidP="009D7230">
            <w:pPr>
              <w:keepNext/>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color w:val="538135" w:themeColor="accent6" w:themeShade="BF"/>
                <w:szCs w:val="20"/>
              </w:rPr>
            </w:pPr>
            <w:r>
              <w:rPr>
                <w:rFonts w:ascii="Arial" w:eastAsia="SimSun" w:hAnsi="Arial" w:cs="Arial"/>
                <w:szCs w:val="20"/>
              </w:rPr>
              <w:t>На</w:t>
            </w:r>
            <w:r w:rsidR="007B6BE3" w:rsidRPr="0087376B">
              <w:rPr>
                <w:rFonts w:ascii="Arial" w:eastAsia="SimSun" w:hAnsi="Arial" w:cs="Arial"/>
                <w:szCs w:val="20"/>
              </w:rPr>
              <w:t xml:space="preserve"> </w:t>
            </w:r>
            <w:r>
              <w:rPr>
                <w:rFonts w:ascii="Arial" w:eastAsia="SimSun" w:hAnsi="Arial" w:cs="Arial"/>
                <w:szCs w:val="20"/>
              </w:rPr>
              <w:t>раст</w:t>
            </w:r>
            <w:r w:rsidR="007B6BE3" w:rsidRPr="0087376B">
              <w:rPr>
                <w:rFonts w:ascii="Arial" w:eastAsia="SimSun" w:hAnsi="Arial" w:cs="Arial"/>
                <w:szCs w:val="20"/>
              </w:rPr>
              <w:t xml:space="preserve"> </w:t>
            </w:r>
            <w:r>
              <w:rPr>
                <w:rFonts w:ascii="Arial" w:eastAsia="SimSun" w:hAnsi="Arial" w:cs="Arial"/>
                <w:szCs w:val="20"/>
              </w:rPr>
              <w:t>цијена</w:t>
            </w:r>
            <w:r w:rsidR="007B6BE3" w:rsidRPr="0087376B">
              <w:rPr>
                <w:rFonts w:ascii="Arial" w:eastAsia="SimSun" w:hAnsi="Arial" w:cs="Arial"/>
                <w:szCs w:val="20"/>
              </w:rPr>
              <w:t xml:space="preserve"> </w:t>
            </w:r>
            <w:r>
              <w:rPr>
                <w:rFonts w:ascii="Arial" w:eastAsia="SimSun" w:hAnsi="Arial" w:cs="Arial"/>
                <w:szCs w:val="20"/>
              </w:rPr>
              <w:t>највећи</w:t>
            </w:r>
            <w:r w:rsidR="007B6BE3" w:rsidRPr="0087376B">
              <w:rPr>
                <w:rFonts w:ascii="Arial" w:eastAsia="SimSun" w:hAnsi="Arial" w:cs="Arial"/>
                <w:szCs w:val="20"/>
              </w:rPr>
              <w:t xml:space="preserve"> </w:t>
            </w:r>
            <w:r>
              <w:rPr>
                <w:rFonts w:ascii="Arial" w:eastAsia="SimSun" w:hAnsi="Arial" w:cs="Arial"/>
                <w:szCs w:val="20"/>
              </w:rPr>
              <w:t>утицај</w:t>
            </w:r>
            <w:r w:rsidR="007B6BE3" w:rsidRPr="0087376B">
              <w:rPr>
                <w:rFonts w:ascii="Arial" w:eastAsia="SimSun" w:hAnsi="Arial" w:cs="Arial"/>
                <w:szCs w:val="20"/>
              </w:rPr>
              <w:t xml:space="preserve"> </w:t>
            </w:r>
            <w:r>
              <w:rPr>
                <w:rFonts w:ascii="Arial" w:eastAsia="SimSun" w:hAnsi="Arial" w:cs="Arial"/>
                <w:szCs w:val="20"/>
              </w:rPr>
              <w:t>ће</w:t>
            </w:r>
            <w:r w:rsidR="007B6BE3" w:rsidRPr="0087376B">
              <w:rPr>
                <w:rFonts w:ascii="Arial" w:eastAsia="SimSun" w:hAnsi="Arial" w:cs="Arial"/>
                <w:szCs w:val="20"/>
              </w:rPr>
              <w:t xml:space="preserve"> </w:t>
            </w:r>
            <w:r>
              <w:rPr>
                <w:rFonts w:ascii="Arial" w:eastAsia="SimSun" w:hAnsi="Arial" w:cs="Arial"/>
                <w:szCs w:val="20"/>
              </w:rPr>
              <w:t>имати</w:t>
            </w:r>
            <w:r w:rsidR="007B6BE3" w:rsidRPr="0087376B">
              <w:rPr>
                <w:rFonts w:ascii="Arial" w:eastAsia="SimSun" w:hAnsi="Arial" w:cs="Arial"/>
                <w:szCs w:val="20"/>
              </w:rPr>
              <w:t xml:space="preserve"> </w:t>
            </w:r>
            <w:r>
              <w:rPr>
                <w:rFonts w:ascii="Arial" w:eastAsia="SimSun" w:hAnsi="Arial" w:cs="Arial"/>
                <w:szCs w:val="20"/>
              </w:rPr>
              <w:t>раст</w:t>
            </w:r>
            <w:r w:rsidR="007B6BE3" w:rsidRPr="0087376B">
              <w:rPr>
                <w:rFonts w:ascii="Arial" w:eastAsia="SimSun" w:hAnsi="Arial" w:cs="Arial"/>
                <w:szCs w:val="20"/>
              </w:rPr>
              <w:t xml:space="preserve"> </w:t>
            </w:r>
            <w:r>
              <w:rPr>
                <w:rFonts w:ascii="Arial" w:eastAsia="SimSun" w:hAnsi="Arial" w:cs="Arial"/>
                <w:szCs w:val="20"/>
              </w:rPr>
              <w:t>цијена</w:t>
            </w:r>
            <w:r w:rsidR="007B6BE3" w:rsidRPr="0087376B">
              <w:rPr>
                <w:rFonts w:ascii="Arial" w:eastAsia="SimSun" w:hAnsi="Arial" w:cs="Arial"/>
                <w:szCs w:val="20"/>
              </w:rPr>
              <w:t xml:space="preserve"> </w:t>
            </w:r>
            <w:r>
              <w:rPr>
                <w:rFonts w:ascii="Arial" w:eastAsia="SimSun" w:hAnsi="Arial" w:cs="Arial"/>
                <w:szCs w:val="20"/>
              </w:rPr>
              <w:t>енергената</w:t>
            </w:r>
            <w:r w:rsidR="007B6BE3" w:rsidRPr="0087376B">
              <w:rPr>
                <w:rFonts w:ascii="Arial" w:eastAsia="SimSun" w:hAnsi="Arial" w:cs="Arial"/>
                <w:szCs w:val="20"/>
              </w:rPr>
              <w:t xml:space="preserve">, </w:t>
            </w:r>
            <w:r>
              <w:rPr>
                <w:rFonts w:ascii="Arial" w:eastAsia="SimSun" w:hAnsi="Arial" w:cs="Arial"/>
                <w:szCs w:val="20"/>
              </w:rPr>
              <w:t>те</w:t>
            </w:r>
            <w:r w:rsidR="007B6BE3" w:rsidRPr="0087376B">
              <w:rPr>
                <w:rFonts w:ascii="Arial" w:eastAsia="SimSun" w:hAnsi="Arial" w:cs="Arial"/>
                <w:szCs w:val="20"/>
              </w:rPr>
              <w:t xml:space="preserve"> </w:t>
            </w:r>
            <w:r>
              <w:rPr>
                <w:rFonts w:ascii="Arial" w:eastAsia="SimSun" w:hAnsi="Arial" w:cs="Arial"/>
                <w:szCs w:val="20"/>
              </w:rPr>
              <w:t>раст</w:t>
            </w:r>
            <w:r w:rsidR="007B6BE3" w:rsidRPr="0087376B">
              <w:rPr>
                <w:rFonts w:ascii="Arial" w:eastAsia="SimSun" w:hAnsi="Arial" w:cs="Arial"/>
                <w:szCs w:val="20"/>
              </w:rPr>
              <w:t xml:space="preserve"> </w:t>
            </w:r>
            <w:r>
              <w:rPr>
                <w:rFonts w:ascii="Arial" w:eastAsia="SimSun" w:hAnsi="Arial" w:cs="Arial"/>
                <w:szCs w:val="20"/>
              </w:rPr>
              <w:t>цијена</w:t>
            </w:r>
            <w:r w:rsidR="007B6BE3" w:rsidRPr="0087376B">
              <w:rPr>
                <w:rFonts w:ascii="Arial" w:eastAsia="SimSun" w:hAnsi="Arial" w:cs="Arial"/>
                <w:szCs w:val="20"/>
              </w:rPr>
              <w:t xml:space="preserve"> </w:t>
            </w:r>
            <w:r>
              <w:rPr>
                <w:rFonts w:ascii="Arial" w:eastAsia="SimSun" w:hAnsi="Arial" w:cs="Arial"/>
                <w:szCs w:val="20"/>
              </w:rPr>
              <w:t>хране</w:t>
            </w:r>
            <w:r w:rsidR="007B6BE3" w:rsidRPr="0087376B">
              <w:rPr>
                <w:rFonts w:ascii="Arial" w:eastAsia="SimSun" w:hAnsi="Arial" w:cs="Arial"/>
                <w:szCs w:val="20"/>
              </w:rPr>
              <w:t xml:space="preserve">, </w:t>
            </w:r>
            <w:r>
              <w:rPr>
                <w:rFonts w:ascii="Arial" w:eastAsia="SimSun" w:hAnsi="Arial" w:cs="Arial"/>
                <w:szCs w:val="20"/>
              </w:rPr>
              <w:t>пића</w:t>
            </w:r>
            <w:r w:rsidR="007B6BE3" w:rsidRPr="0087376B">
              <w:rPr>
                <w:rFonts w:ascii="Arial" w:eastAsia="SimSun" w:hAnsi="Arial" w:cs="Arial"/>
                <w:szCs w:val="20"/>
              </w:rPr>
              <w:t xml:space="preserve"> </w:t>
            </w:r>
            <w:r>
              <w:rPr>
                <w:rFonts w:ascii="Arial" w:eastAsia="SimSun" w:hAnsi="Arial" w:cs="Arial"/>
                <w:szCs w:val="20"/>
              </w:rPr>
              <w:t>и</w:t>
            </w:r>
            <w:r w:rsidR="007B6BE3" w:rsidRPr="0087376B">
              <w:rPr>
                <w:rFonts w:ascii="Arial" w:eastAsia="SimSun" w:hAnsi="Arial" w:cs="Arial"/>
                <w:szCs w:val="20"/>
              </w:rPr>
              <w:t xml:space="preserve"> </w:t>
            </w:r>
            <w:r>
              <w:rPr>
                <w:rFonts w:ascii="Arial" w:eastAsia="SimSun" w:hAnsi="Arial" w:cs="Arial"/>
                <w:szCs w:val="20"/>
              </w:rPr>
              <w:t>комуналија</w:t>
            </w:r>
            <w:r w:rsidR="007B6BE3" w:rsidRPr="0087376B">
              <w:rPr>
                <w:rFonts w:ascii="Arial" w:eastAsia="SimSun" w:hAnsi="Arial" w:cs="Arial"/>
                <w:szCs w:val="20"/>
              </w:rPr>
              <w:t xml:space="preserve">. </w:t>
            </w:r>
            <w:r>
              <w:rPr>
                <w:rFonts w:ascii="Arial" w:eastAsia="SimSun" w:hAnsi="Arial" w:cs="Arial"/>
                <w:szCs w:val="20"/>
              </w:rPr>
              <w:t>Већа</w:t>
            </w:r>
            <w:r w:rsidR="007B6BE3" w:rsidRPr="0087376B">
              <w:rPr>
                <w:rFonts w:ascii="Arial" w:eastAsia="SimSun" w:hAnsi="Arial" w:cs="Arial"/>
                <w:szCs w:val="20"/>
              </w:rPr>
              <w:t xml:space="preserve"> </w:t>
            </w:r>
            <w:r>
              <w:rPr>
                <w:rFonts w:ascii="Arial" w:eastAsia="SimSun" w:hAnsi="Arial" w:cs="Arial"/>
                <w:szCs w:val="20"/>
              </w:rPr>
              <w:t>инфлација</w:t>
            </w:r>
            <w:r w:rsidR="007B6BE3" w:rsidRPr="0087376B">
              <w:rPr>
                <w:rFonts w:ascii="Arial" w:eastAsia="SimSun" w:hAnsi="Arial" w:cs="Arial"/>
                <w:szCs w:val="20"/>
              </w:rPr>
              <w:t xml:space="preserve"> </w:t>
            </w:r>
            <w:r>
              <w:rPr>
                <w:rFonts w:ascii="Arial" w:eastAsia="SimSun" w:hAnsi="Arial" w:cs="Arial"/>
                <w:szCs w:val="20"/>
              </w:rPr>
              <w:t>би</w:t>
            </w:r>
            <w:r w:rsidR="007B6BE3" w:rsidRPr="0087376B">
              <w:rPr>
                <w:rFonts w:ascii="Arial" w:eastAsia="SimSun" w:hAnsi="Arial" w:cs="Arial"/>
                <w:szCs w:val="20"/>
              </w:rPr>
              <w:t xml:space="preserve"> </w:t>
            </w:r>
            <w:r>
              <w:rPr>
                <w:rFonts w:ascii="Arial" w:eastAsia="SimSun" w:hAnsi="Arial" w:cs="Arial"/>
                <w:szCs w:val="20"/>
              </w:rPr>
              <w:t>могла</w:t>
            </w:r>
            <w:r w:rsidR="007B6BE3" w:rsidRPr="0087376B">
              <w:rPr>
                <w:rFonts w:ascii="Arial" w:eastAsia="SimSun" w:hAnsi="Arial" w:cs="Arial"/>
                <w:szCs w:val="20"/>
              </w:rPr>
              <w:t xml:space="preserve"> </w:t>
            </w:r>
            <w:r>
              <w:rPr>
                <w:rFonts w:ascii="Arial" w:eastAsia="SimSun" w:hAnsi="Arial" w:cs="Arial"/>
                <w:szCs w:val="20"/>
              </w:rPr>
              <w:t>повећати</w:t>
            </w:r>
            <w:r w:rsidR="007B6BE3" w:rsidRPr="0087376B">
              <w:rPr>
                <w:rFonts w:ascii="Arial" w:eastAsia="SimSun" w:hAnsi="Arial" w:cs="Arial"/>
                <w:szCs w:val="20"/>
              </w:rPr>
              <w:t xml:space="preserve"> </w:t>
            </w:r>
            <w:r>
              <w:rPr>
                <w:rFonts w:ascii="Arial" w:eastAsia="SimSun" w:hAnsi="Arial" w:cs="Arial"/>
                <w:szCs w:val="20"/>
              </w:rPr>
              <w:t>трошкове</w:t>
            </w:r>
            <w:r w:rsidR="007B6BE3" w:rsidRPr="0087376B">
              <w:rPr>
                <w:rFonts w:ascii="Arial" w:eastAsia="SimSun" w:hAnsi="Arial" w:cs="Arial"/>
                <w:szCs w:val="20"/>
              </w:rPr>
              <w:t xml:space="preserve"> </w:t>
            </w:r>
            <w:r>
              <w:rPr>
                <w:rFonts w:ascii="Arial" w:eastAsia="SimSun" w:hAnsi="Arial" w:cs="Arial"/>
                <w:szCs w:val="20"/>
              </w:rPr>
              <w:t>сервисирања</w:t>
            </w:r>
            <w:r w:rsidR="007B6BE3" w:rsidRPr="0087376B">
              <w:rPr>
                <w:rFonts w:ascii="Arial" w:eastAsia="SimSun" w:hAnsi="Arial" w:cs="Arial"/>
                <w:szCs w:val="20"/>
              </w:rPr>
              <w:t xml:space="preserve"> </w:t>
            </w:r>
            <w:r>
              <w:rPr>
                <w:rFonts w:ascii="Arial" w:eastAsia="SimSun" w:hAnsi="Arial" w:cs="Arial"/>
                <w:szCs w:val="20"/>
              </w:rPr>
              <w:t>дуга</w:t>
            </w:r>
            <w:r w:rsidR="007B6BE3" w:rsidRPr="0087376B">
              <w:rPr>
                <w:rFonts w:ascii="Arial" w:eastAsia="SimSun" w:hAnsi="Arial" w:cs="Arial"/>
                <w:szCs w:val="20"/>
              </w:rPr>
              <w:t xml:space="preserve">. </w:t>
            </w:r>
          </w:p>
        </w:tc>
      </w:tr>
      <w:tr w:rsidR="007B6BE3" w:rsidRPr="0087376B" w14:paraId="2A7C96D6" w14:textId="77777777" w:rsidTr="007B6BE3">
        <w:trPr>
          <w:trHeight w:val="361"/>
          <w:jc w:val="center"/>
        </w:trPr>
        <w:tc>
          <w:tcPr>
            <w:cnfStyle w:val="001000000000" w:firstRow="0" w:lastRow="0" w:firstColumn="1" w:lastColumn="0" w:oddVBand="0" w:evenVBand="0" w:oddHBand="0" w:evenHBand="0" w:firstRowFirstColumn="0" w:firstRowLastColumn="0" w:lastRowFirstColumn="0" w:lastRowLastColumn="0"/>
            <w:tcW w:w="9918" w:type="dxa"/>
            <w:gridSpan w:val="3"/>
            <w:shd w:val="clear" w:color="auto" w:fill="DEEAF6" w:themeFill="accent1" w:themeFillTint="33"/>
            <w:vAlign w:val="center"/>
          </w:tcPr>
          <w:p w14:paraId="77058998" w14:textId="77777777" w:rsidR="007B6BE3" w:rsidRPr="0087376B" w:rsidRDefault="005B20F8" w:rsidP="007B6BE3">
            <w:pPr>
              <w:keepNext/>
              <w:rPr>
                <w:rFonts w:ascii="Arial" w:eastAsia="SimSun" w:hAnsi="Arial" w:cs="Arial"/>
                <w:color w:val="538135" w:themeColor="accent6" w:themeShade="BF"/>
                <w:szCs w:val="20"/>
              </w:rPr>
            </w:pPr>
            <w:r>
              <w:rPr>
                <w:rFonts w:ascii="Arial" w:eastAsia="SimSun" w:hAnsi="Arial" w:cs="Arial"/>
                <w:b w:val="0"/>
                <w:i/>
                <w:szCs w:val="20"/>
              </w:rPr>
              <w:t>Финансијски</w:t>
            </w:r>
            <w:r w:rsidR="007B6BE3" w:rsidRPr="0087376B">
              <w:rPr>
                <w:rFonts w:ascii="Arial" w:eastAsia="SimSun" w:hAnsi="Arial" w:cs="Arial"/>
                <w:b w:val="0"/>
                <w:i/>
                <w:szCs w:val="20"/>
              </w:rPr>
              <w:t xml:space="preserve"> </w:t>
            </w:r>
            <w:r>
              <w:rPr>
                <w:rFonts w:ascii="Arial" w:eastAsia="SimSun" w:hAnsi="Arial" w:cs="Arial"/>
                <w:b w:val="0"/>
                <w:i/>
                <w:szCs w:val="20"/>
              </w:rPr>
              <w:t>систем</w:t>
            </w:r>
            <w:r w:rsidR="007B6BE3" w:rsidRPr="0087376B">
              <w:rPr>
                <w:rFonts w:ascii="Arial" w:eastAsia="SimSun" w:hAnsi="Arial" w:cs="Arial"/>
                <w:b w:val="0"/>
                <w:szCs w:val="20"/>
              </w:rPr>
              <w:t xml:space="preserve"> </w:t>
            </w:r>
          </w:p>
        </w:tc>
      </w:tr>
      <w:tr w:rsidR="007B6BE3" w:rsidRPr="0087376B" w14:paraId="6FEFF790" w14:textId="77777777" w:rsidTr="007B6BE3">
        <w:trPr>
          <w:cnfStyle w:val="000000100000" w:firstRow="0" w:lastRow="0" w:firstColumn="0" w:lastColumn="0" w:oddVBand="0" w:evenVBand="0" w:oddHBand="1" w:evenHBand="0" w:firstRowFirstColumn="0" w:firstRowLastColumn="0" w:lastRowFirstColumn="0" w:lastRowLastColumn="0"/>
          <w:trHeight w:val="1456"/>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08B36B15" w14:textId="77777777" w:rsidR="007B6BE3" w:rsidRPr="0087376B" w:rsidRDefault="007B6BE3" w:rsidP="007B6BE3">
            <w:pPr>
              <w:keepNext/>
              <w:rPr>
                <w:rFonts w:ascii="Arial" w:eastAsia="SimSun" w:hAnsi="Arial" w:cs="Arial"/>
                <w:b w:val="0"/>
                <w:szCs w:val="20"/>
              </w:rPr>
            </w:pPr>
            <w:r w:rsidRPr="0087376B">
              <w:rPr>
                <w:rFonts w:ascii="Arial" w:eastAsia="SimSun" w:hAnsi="Arial" w:cs="Arial"/>
                <w:b w:val="0"/>
                <w:szCs w:val="20"/>
              </w:rPr>
              <w:t xml:space="preserve">- </w:t>
            </w:r>
            <w:r w:rsidR="005B20F8">
              <w:rPr>
                <w:rFonts w:ascii="Arial" w:eastAsia="SimSun" w:hAnsi="Arial" w:cs="Arial"/>
                <w:b w:val="0"/>
                <w:szCs w:val="20"/>
              </w:rPr>
              <w:t>Свеукупно</w:t>
            </w:r>
            <w:r w:rsidRPr="0087376B">
              <w:rPr>
                <w:rFonts w:ascii="Arial" w:eastAsia="SimSun" w:hAnsi="Arial" w:cs="Arial"/>
                <w:b w:val="0"/>
                <w:szCs w:val="20"/>
              </w:rPr>
              <w:t xml:space="preserve"> </w:t>
            </w:r>
            <w:r w:rsidR="005B20F8">
              <w:rPr>
                <w:rFonts w:ascii="Arial" w:eastAsia="SimSun" w:hAnsi="Arial" w:cs="Arial"/>
                <w:b w:val="0"/>
                <w:szCs w:val="20"/>
              </w:rPr>
              <w:t>стање</w:t>
            </w:r>
            <w:r w:rsidRPr="0087376B">
              <w:rPr>
                <w:rFonts w:ascii="Arial" w:eastAsia="SimSun" w:hAnsi="Arial" w:cs="Arial"/>
                <w:b w:val="0"/>
                <w:szCs w:val="20"/>
              </w:rPr>
              <w:t xml:space="preserve"> </w:t>
            </w:r>
          </w:p>
        </w:tc>
        <w:tc>
          <w:tcPr>
            <w:tcW w:w="1276" w:type="dxa"/>
            <w:shd w:val="clear" w:color="auto" w:fill="auto"/>
            <w:vAlign w:val="center"/>
          </w:tcPr>
          <w:p w14:paraId="661FC836" w14:textId="77777777" w:rsidR="007B6BE3" w:rsidRPr="0087376B" w:rsidRDefault="005B20F8" w:rsidP="007B6BE3">
            <w:pPr>
              <w:keepNext/>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Pr>
                <w:rFonts w:ascii="Arial" w:eastAsia="SimSun" w:hAnsi="Arial" w:cs="Arial"/>
                <w:szCs w:val="20"/>
              </w:rPr>
              <w:t>Средња</w:t>
            </w:r>
          </w:p>
        </w:tc>
        <w:tc>
          <w:tcPr>
            <w:tcW w:w="6237" w:type="dxa"/>
            <w:shd w:val="clear" w:color="auto" w:fill="auto"/>
            <w:vAlign w:val="center"/>
          </w:tcPr>
          <w:p w14:paraId="6C50B9AC" w14:textId="77777777" w:rsidR="007B6BE3" w:rsidRPr="0087376B" w:rsidRDefault="005B20F8" w:rsidP="007B6BE3">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Pr>
                <w:rFonts w:ascii="Arial" w:eastAsia="SimSun" w:hAnsi="Arial" w:cs="Arial"/>
                <w:szCs w:val="20"/>
              </w:rPr>
              <w:t>Стопа</w:t>
            </w:r>
            <w:r w:rsidR="007B6BE3" w:rsidRPr="0087376B">
              <w:rPr>
                <w:rFonts w:ascii="Arial" w:eastAsia="SimSun" w:hAnsi="Arial" w:cs="Arial"/>
                <w:szCs w:val="20"/>
              </w:rPr>
              <w:t xml:space="preserve"> </w:t>
            </w:r>
            <w:r>
              <w:rPr>
                <w:rFonts w:ascii="Arial" w:eastAsia="SimSun" w:hAnsi="Arial" w:cs="Arial"/>
                <w:szCs w:val="20"/>
              </w:rPr>
              <w:t>адекватности</w:t>
            </w:r>
            <w:r w:rsidR="007B6BE3" w:rsidRPr="0087376B">
              <w:rPr>
                <w:rFonts w:ascii="Arial" w:eastAsia="SimSun" w:hAnsi="Arial" w:cs="Arial"/>
                <w:szCs w:val="20"/>
              </w:rPr>
              <w:t xml:space="preserve"> </w:t>
            </w:r>
            <w:r>
              <w:rPr>
                <w:rFonts w:ascii="Arial" w:eastAsia="SimSun" w:hAnsi="Arial" w:cs="Arial"/>
                <w:szCs w:val="20"/>
              </w:rPr>
              <w:t>капитала</w:t>
            </w:r>
            <w:r w:rsidR="007B6BE3" w:rsidRPr="0087376B">
              <w:rPr>
                <w:rFonts w:ascii="Arial" w:eastAsia="SimSun" w:hAnsi="Arial" w:cs="Arial"/>
                <w:szCs w:val="20"/>
              </w:rPr>
              <w:t xml:space="preserve"> </w:t>
            </w:r>
            <w:r>
              <w:rPr>
                <w:rFonts w:ascii="Arial" w:eastAsia="SimSun" w:hAnsi="Arial" w:cs="Arial"/>
                <w:szCs w:val="20"/>
              </w:rPr>
              <w:t>банкарског</w:t>
            </w:r>
            <w:r w:rsidR="007B6BE3" w:rsidRPr="0087376B">
              <w:rPr>
                <w:rFonts w:ascii="Arial" w:eastAsia="SimSun" w:hAnsi="Arial" w:cs="Arial"/>
                <w:szCs w:val="20"/>
              </w:rPr>
              <w:t xml:space="preserve"> </w:t>
            </w:r>
            <w:r>
              <w:rPr>
                <w:rFonts w:ascii="Arial" w:eastAsia="SimSun" w:hAnsi="Arial" w:cs="Arial"/>
                <w:szCs w:val="20"/>
              </w:rPr>
              <w:t>система</w:t>
            </w:r>
            <w:r w:rsidR="007B6BE3" w:rsidRPr="0087376B">
              <w:rPr>
                <w:rFonts w:ascii="Arial" w:eastAsia="SimSun" w:hAnsi="Arial" w:cs="Arial"/>
                <w:szCs w:val="20"/>
              </w:rPr>
              <w:t xml:space="preserve"> </w:t>
            </w:r>
            <w:r>
              <w:rPr>
                <w:rFonts w:ascii="Arial" w:eastAsia="SimSun" w:hAnsi="Arial" w:cs="Arial"/>
                <w:szCs w:val="20"/>
              </w:rPr>
              <w:t>је</w:t>
            </w:r>
            <w:r w:rsidR="007B6BE3" w:rsidRPr="0087376B">
              <w:rPr>
                <w:rFonts w:ascii="Arial" w:eastAsia="SimSun" w:hAnsi="Arial" w:cs="Arial"/>
                <w:szCs w:val="20"/>
              </w:rPr>
              <w:t xml:space="preserve"> </w:t>
            </w:r>
            <w:r>
              <w:rPr>
                <w:rFonts w:ascii="Arial" w:eastAsia="SimSun" w:hAnsi="Arial" w:cs="Arial"/>
                <w:szCs w:val="20"/>
              </w:rPr>
              <w:t>знатно</w:t>
            </w:r>
            <w:r w:rsidR="007B6BE3" w:rsidRPr="0087376B">
              <w:rPr>
                <w:rFonts w:ascii="Arial" w:eastAsia="SimSun" w:hAnsi="Arial" w:cs="Arial"/>
                <w:szCs w:val="20"/>
              </w:rPr>
              <w:t xml:space="preserve"> </w:t>
            </w:r>
            <w:r>
              <w:rPr>
                <w:rFonts w:ascii="Arial" w:eastAsia="SimSun" w:hAnsi="Arial" w:cs="Arial"/>
                <w:szCs w:val="20"/>
              </w:rPr>
              <w:t>виша</w:t>
            </w:r>
            <w:r w:rsidR="007B6BE3" w:rsidRPr="0087376B">
              <w:rPr>
                <w:rFonts w:ascii="Arial" w:eastAsia="SimSun" w:hAnsi="Arial" w:cs="Arial"/>
                <w:szCs w:val="20"/>
              </w:rPr>
              <w:t xml:space="preserve"> </w:t>
            </w:r>
            <w:r>
              <w:rPr>
                <w:rFonts w:ascii="Arial" w:eastAsia="SimSun" w:hAnsi="Arial" w:cs="Arial"/>
                <w:szCs w:val="20"/>
              </w:rPr>
              <w:t>од</w:t>
            </w:r>
            <w:r w:rsidR="007B6BE3" w:rsidRPr="0087376B">
              <w:rPr>
                <w:rFonts w:ascii="Arial" w:eastAsia="SimSun" w:hAnsi="Arial" w:cs="Arial"/>
                <w:szCs w:val="20"/>
              </w:rPr>
              <w:t xml:space="preserve"> </w:t>
            </w:r>
            <w:r>
              <w:rPr>
                <w:rFonts w:ascii="Arial" w:eastAsia="SimSun" w:hAnsi="Arial" w:cs="Arial"/>
                <w:szCs w:val="20"/>
              </w:rPr>
              <w:t>законског</w:t>
            </w:r>
            <w:r w:rsidR="007B6BE3" w:rsidRPr="0087376B">
              <w:rPr>
                <w:rFonts w:ascii="Arial" w:eastAsia="SimSun" w:hAnsi="Arial" w:cs="Arial"/>
                <w:szCs w:val="20"/>
              </w:rPr>
              <w:t xml:space="preserve"> </w:t>
            </w:r>
            <w:r>
              <w:rPr>
                <w:rFonts w:ascii="Arial" w:eastAsia="SimSun" w:hAnsi="Arial" w:cs="Arial"/>
                <w:szCs w:val="20"/>
              </w:rPr>
              <w:t>минимума</w:t>
            </w:r>
            <w:r w:rsidR="007B6BE3" w:rsidRPr="0087376B">
              <w:rPr>
                <w:rFonts w:ascii="Arial" w:eastAsia="SimSun" w:hAnsi="Arial" w:cs="Arial"/>
                <w:szCs w:val="20"/>
              </w:rPr>
              <w:t xml:space="preserve"> </w:t>
            </w:r>
            <w:r>
              <w:rPr>
                <w:rFonts w:ascii="Arial" w:eastAsia="SimSun" w:hAnsi="Arial" w:cs="Arial"/>
                <w:szCs w:val="20"/>
              </w:rPr>
              <w:t>и</w:t>
            </w:r>
            <w:r w:rsidR="007B6BE3" w:rsidRPr="0087376B">
              <w:rPr>
                <w:rFonts w:ascii="Arial" w:eastAsia="SimSun" w:hAnsi="Arial" w:cs="Arial"/>
                <w:szCs w:val="20"/>
              </w:rPr>
              <w:t xml:space="preserve"> </w:t>
            </w:r>
            <w:r>
              <w:rPr>
                <w:rFonts w:ascii="Arial" w:eastAsia="SimSun" w:hAnsi="Arial" w:cs="Arial"/>
                <w:szCs w:val="20"/>
              </w:rPr>
              <w:t>представља</w:t>
            </w:r>
            <w:r w:rsidR="007B6BE3" w:rsidRPr="0087376B">
              <w:rPr>
                <w:rFonts w:ascii="Arial" w:eastAsia="SimSun" w:hAnsi="Arial" w:cs="Arial"/>
                <w:szCs w:val="20"/>
              </w:rPr>
              <w:t xml:space="preserve"> </w:t>
            </w:r>
            <w:r>
              <w:rPr>
                <w:rFonts w:ascii="Arial" w:eastAsia="SimSun" w:hAnsi="Arial" w:cs="Arial"/>
                <w:szCs w:val="20"/>
              </w:rPr>
              <w:t>задовољавајућу</w:t>
            </w:r>
            <w:r w:rsidR="007B6BE3" w:rsidRPr="0087376B">
              <w:rPr>
                <w:rFonts w:ascii="Arial" w:eastAsia="SimSun" w:hAnsi="Arial" w:cs="Arial"/>
                <w:szCs w:val="20"/>
              </w:rPr>
              <w:t xml:space="preserve"> </w:t>
            </w:r>
            <w:r>
              <w:rPr>
                <w:rFonts w:ascii="Arial" w:eastAsia="SimSun" w:hAnsi="Arial" w:cs="Arial"/>
                <w:szCs w:val="20"/>
              </w:rPr>
              <w:t>капитализираност</w:t>
            </w:r>
            <w:r w:rsidR="007B6BE3" w:rsidRPr="0087376B">
              <w:rPr>
                <w:rFonts w:ascii="Arial" w:eastAsia="SimSun" w:hAnsi="Arial" w:cs="Arial"/>
                <w:szCs w:val="20"/>
              </w:rPr>
              <w:t xml:space="preserve"> </w:t>
            </w:r>
            <w:r>
              <w:rPr>
                <w:rFonts w:ascii="Arial" w:eastAsia="SimSun" w:hAnsi="Arial" w:cs="Arial"/>
                <w:szCs w:val="20"/>
              </w:rPr>
              <w:t>укупног</w:t>
            </w:r>
            <w:r w:rsidR="007B6BE3" w:rsidRPr="0087376B">
              <w:rPr>
                <w:rFonts w:ascii="Arial" w:eastAsia="SimSun" w:hAnsi="Arial" w:cs="Arial"/>
                <w:szCs w:val="20"/>
              </w:rPr>
              <w:t xml:space="preserve"> </w:t>
            </w:r>
            <w:r>
              <w:rPr>
                <w:rFonts w:ascii="Arial" w:eastAsia="SimSun" w:hAnsi="Arial" w:cs="Arial"/>
                <w:szCs w:val="20"/>
              </w:rPr>
              <w:t>система</w:t>
            </w:r>
            <w:r w:rsidR="007B6BE3" w:rsidRPr="0087376B">
              <w:rPr>
                <w:rFonts w:ascii="Arial" w:eastAsia="SimSun" w:hAnsi="Arial" w:cs="Arial"/>
                <w:szCs w:val="20"/>
              </w:rPr>
              <w:t xml:space="preserve"> </w:t>
            </w:r>
            <w:r>
              <w:rPr>
                <w:rFonts w:ascii="Arial" w:eastAsia="SimSun" w:hAnsi="Arial" w:cs="Arial"/>
                <w:szCs w:val="20"/>
              </w:rPr>
              <w:t>за</w:t>
            </w:r>
            <w:r w:rsidR="007B6BE3" w:rsidRPr="0087376B">
              <w:rPr>
                <w:rFonts w:ascii="Arial" w:eastAsia="SimSun" w:hAnsi="Arial" w:cs="Arial"/>
                <w:szCs w:val="20"/>
              </w:rPr>
              <w:t xml:space="preserve"> </w:t>
            </w:r>
            <w:r>
              <w:rPr>
                <w:rFonts w:ascii="Arial" w:eastAsia="SimSun" w:hAnsi="Arial" w:cs="Arial"/>
                <w:szCs w:val="20"/>
              </w:rPr>
              <w:t>постојећи</w:t>
            </w:r>
            <w:r w:rsidR="007B6BE3" w:rsidRPr="0087376B">
              <w:rPr>
                <w:rFonts w:ascii="Arial" w:eastAsia="SimSun" w:hAnsi="Arial" w:cs="Arial"/>
                <w:szCs w:val="20"/>
              </w:rPr>
              <w:t xml:space="preserve"> </w:t>
            </w:r>
            <w:r>
              <w:rPr>
                <w:rFonts w:ascii="Arial" w:eastAsia="SimSun" w:hAnsi="Arial" w:cs="Arial"/>
                <w:szCs w:val="20"/>
              </w:rPr>
              <w:t>ниво</w:t>
            </w:r>
            <w:r w:rsidR="007B6BE3" w:rsidRPr="0087376B">
              <w:rPr>
                <w:rFonts w:ascii="Arial" w:eastAsia="SimSun" w:hAnsi="Arial" w:cs="Arial"/>
                <w:szCs w:val="20"/>
              </w:rPr>
              <w:t xml:space="preserve"> </w:t>
            </w:r>
            <w:r>
              <w:rPr>
                <w:rFonts w:ascii="Arial" w:eastAsia="SimSun" w:hAnsi="Arial" w:cs="Arial"/>
                <w:szCs w:val="20"/>
              </w:rPr>
              <w:t>изложености</w:t>
            </w:r>
            <w:r w:rsidR="007B6BE3" w:rsidRPr="0087376B">
              <w:rPr>
                <w:rFonts w:ascii="Arial" w:eastAsia="SimSun" w:hAnsi="Arial" w:cs="Arial"/>
                <w:szCs w:val="20"/>
              </w:rPr>
              <w:t xml:space="preserve"> </w:t>
            </w:r>
            <w:r>
              <w:rPr>
                <w:rFonts w:ascii="Arial" w:eastAsia="SimSun" w:hAnsi="Arial" w:cs="Arial"/>
                <w:szCs w:val="20"/>
              </w:rPr>
              <w:t>ризицима</w:t>
            </w:r>
            <w:r w:rsidR="007B6BE3" w:rsidRPr="0087376B">
              <w:rPr>
                <w:rFonts w:ascii="Arial" w:eastAsia="SimSun" w:hAnsi="Arial" w:cs="Arial"/>
                <w:szCs w:val="20"/>
              </w:rPr>
              <w:t xml:space="preserve"> </w:t>
            </w:r>
            <w:r>
              <w:rPr>
                <w:rFonts w:ascii="Arial" w:eastAsia="SimSun" w:hAnsi="Arial" w:cs="Arial"/>
                <w:szCs w:val="20"/>
              </w:rPr>
              <w:t>и</w:t>
            </w:r>
            <w:r w:rsidR="007B6BE3" w:rsidRPr="0087376B">
              <w:rPr>
                <w:rFonts w:ascii="Arial" w:eastAsia="SimSun" w:hAnsi="Arial" w:cs="Arial"/>
                <w:szCs w:val="20"/>
              </w:rPr>
              <w:t xml:space="preserve"> </w:t>
            </w:r>
            <w:r>
              <w:rPr>
                <w:rFonts w:ascii="Arial" w:eastAsia="SimSun" w:hAnsi="Arial" w:cs="Arial"/>
                <w:szCs w:val="20"/>
              </w:rPr>
              <w:t>јаку</w:t>
            </w:r>
            <w:r w:rsidR="007B6BE3" w:rsidRPr="0087376B">
              <w:rPr>
                <w:rFonts w:ascii="Arial" w:eastAsia="SimSun" w:hAnsi="Arial" w:cs="Arial"/>
                <w:szCs w:val="20"/>
              </w:rPr>
              <w:t xml:space="preserve"> </w:t>
            </w:r>
            <w:r>
              <w:rPr>
                <w:rFonts w:ascii="Arial" w:eastAsia="SimSun" w:hAnsi="Arial" w:cs="Arial"/>
                <w:szCs w:val="20"/>
              </w:rPr>
              <w:t>основу</w:t>
            </w:r>
            <w:r w:rsidR="007B6BE3" w:rsidRPr="0087376B">
              <w:rPr>
                <w:rFonts w:ascii="Arial" w:eastAsia="SimSun" w:hAnsi="Arial" w:cs="Arial"/>
                <w:szCs w:val="20"/>
              </w:rPr>
              <w:t xml:space="preserve"> </w:t>
            </w:r>
            <w:r>
              <w:rPr>
                <w:rFonts w:ascii="Arial" w:eastAsia="SimSun" w:hAnsi="Arial" w:cs="Arial"/>
                <w:szCs w:val="20"/>
              </w:rPr>
              <w:t>за</w:t>
            </w:r>
            <w:r w:rsidR="007B6BE3" w:rsidRPr="0087376B">
              <w:rPr>
                <w:rFonts w:ascii="Arial" w:eastAsia="SimSun" w:hAnsi="Arial" w:cs="Arial"/>
                <w:szCs w:val="20"/>
              </w:rPr>
              <w:t xml:space="preserve"> </w:t>
            </w:r>
            <w:r>
              <w:rPr>
                <w:rFonts w:ascii="Arial" w:eastAsia="SimSun" w:hAnsi="Arial" w:cs="Arial"/>
                <w:szCs w:val="20"/>
              </w:rPr>
              <w:t>очување</w:t>
            </w:r>
            <w:r w:rsidR="007B6BE3" w:rsidRPr="0087376B">
              <w:rPr>
                <w:rFonts w:ascii="Arial" w:eastAsia="SimSun" w:hAnsi="Arial" w:cs="Arial"/>
                <w:szCs w:val="20"/>
              </w:rPr>
              <w:t xml:space="preserve"> </w:t>
            </w:r>
            <w:r>
              <w:rPr>
                <w:rFonts w:ascii="Arial" w:eastAsia="SimSun" w:hAnsi="Arial" w:cs="Arial"/>
                <w:szCs w:val="20"/>
              </w:rPr>
              <w:t>његове</w:t>
            </w:r>
            <w:r w:rsidR="007B6BE3" w:rsidRPr="0087376B">
              <w:rPr>
                <w:rFonts w:ascii="Arial" w:eastAsia="SimSun" w:hAnsi="Arial" w:cs="Arial"/>
                <w:szCs w:val="20"/>
              </w:rPr>
              <w:t xml:space="preserve"> </w:t>
            </w:r>
            <w:r>
              <w:rPr>
                <w:rFonts w:ascii="Arial" w:eastAsia="SimSun" w:hAnsi="Arial" w:cs="Arial"/>
                <w:szCs w:val="20"/>
              </w:rPr>
              <w:t>сигурности</w:t>
            </w:r>
            <w:r w:rsidR="007B6BE3" w:rsidRPr="0087376B">
              <w:rPr>
                <w:rFonts w:ascii="Arial" w:eastAsia="SimSun" w:hAnsi="Arial" w:cs="Arial"/>
                <w:szCs w:val="20"/>
              </w:rPr>
              <w:t xml:space="preserve"> </w:t>
            </w:r>
            <w:r>
              <w:rPr>
                <w:rFonts w:ascii="Arial" w:eastAsia="SimSun" w:hAnsi="Arial" w:cs="Arial"/>
                <w:szCs w:val="20"/>
              </w:rPr>
              <w:t>и</w:t>
            </w:r>
            <w:r w:rsidR="007B6BE3" w:rsidRPr="0087376B">
              <w:rPr>
                <w:rFonts w:ascii="Arial" w:eastAsia="SimSun" w:hAnsi="Arial" w:cs="Arial"/>
                <w:szCs w:val="20"/>
              </w:rPr>
              <w:t xml:space="preserve"> </w:t>
            </w:r>
            <w:r>
              <w:rPr>
                <w:rFonts w:ascii="Arial" w:eastAsia="SimSun" w:hAnsi="Arial" w:cs="Arial"/>
                <w:szCs w:val="20"/>
              </w:rPr>
              <w:t>стабилности</w:t>
            </w:r>
            <w:r w:rsidR="007B6BE3" w:rsidRPr="0087376B">
              <w:rPr>
                <w:rFonts w:ascii="Arial" w:eastAsia="SimSun" w:hAnsi="Arial" w:cs="Arial"/>
                <w:szCs w:val="20"/>
              </w:rPr>
              <w:t xml:space="preserve">. </w:t>
            </w:r>
          </w:p>
        </w:tc>
      </w:tr>
    </w:tbl>
    <w:p w14:paraId="63F947B8" w14:textId="77777777" w:rsidR="007B6BE3" w:rsidRPr="0087376B" w:rsidRDefault="007B6BE3" w:rsidP="007B6BE3"/>
    <w:p w14:paraId="6D415A26" w14:textId="7E0E17EA" w:rsidR="007B6BE3" w:rsidRDefault="005B20F8" w:rsidP="0092788C">
      <w:pPr>
        <w:pStyle w:val="Heading1"/>
        <w:numPr>
          <w:ilvl w:val="0"/>
          <w:numId w:val="1"/>
        </w:numPr>
        <w:spacing w:before="0"/>
        <w:ind w:left="567" w:hanging="425"/>
        <w:jc w:val="both"/>
        <w:rPr>
          <w:rFonts w:ascii="Arial" w:hAnsi="Arial" w:cs="Arial"/>
          <w:b w:val="0"/>
          <w:color w:val="auto"/>
        </w:rPr>
      </w:pPr>
      <w:bookmarkStart w:id="115" w:name="_Toc149810617"/>
      <w:r w:rsidRPr="0092788C">
        <w:rPr>
          <w:rFonts w:ascii="Arial" w:hAnsi="Arial" w:cs="Arial"/>
          <w:b w:val="0"/>
          <w:color w:val="auto"/>
        </w:rPr>
        <w:t>ИЗВОРИ</w:t>
      </w:r>
      <w:r w:rsidR="007B6BE3" w:rsidRPr="0092788C">
        <w:rPr>
          <w:rFonts w:ascii="Arial" w:hAnsi="Arial" w:cs="Arial"/>
          <w:b w:val="0"/>
          <w:color w:val="auto"/>
        </w:rPr>
        <w:t xml:space="preserve">  </w:t>
      </w:r>
      <w:r w:rsidRPr="0092788C">
        <w:rPr>
          <w:rFonts w:ascii="Arial" w:hAnsi="Arial" w:cs="Arial"/>
          <w:b w:val="0"/>
          <w:color w:val="auto"/>
        </w:rPr>
        <w:t>ФИНАНСИРАЊА</w:t>
      </w:r>
      <w:bookmarkEnd w:id="115"/>
    </w:p>
    <w:p w14:paraId="7DB85594" w14:textId="77777777" w:rsidR="0092788C" w:rsidRPr="0092788C" w:rsidRDefault="0092788C" w:rsidP="0092788C"/>
    <w:p w14:paraId="7F2C4AC1" w14:textId="1F1A1B05" w:rsidR="007B6BE3" w:rsidRPr="0092788C" w:rsidRDefault="005B20F8" w:rsidP="0092788C">
      <w:pPr>
        <w:pStyle w:val="Heading2"/>
        <w:numPr>
          <w:ilvl w:val="1"/>
          <w:numId w:val="1"/>
        </w:numPr>
        <w:spacing w:before="0"/>
        <w:ind w:left="993" w:hanging="709"/>
        <w:rPr>
          <w:rFonts w:ascii="Arial" w:hAnsi="Arial" w:cs="Arial"/>
          <w:b w:val="0"/>
          <w:color w:val="auto"/>
          <w:sz w:val="24"/>
          <w:szCs w:val="24"/>
        </w:rPr>
      </w:pPr>
      <w:bookmarkStart w:id="116" w:name="_Toc149810618"/>
      <w:r w:rsidRPr="0092788C">
        <w:rPr>
          <w:rFonts w:ascii="Arial" w:hAnsi="Arial" w:cs="Arial"/>
          <w:b w:val="0"/>
          <w:color w:val="auto"/>
          <w:sz w:val="24"/>
          <w:szCs w:val="24"/>
        </w:rPr>
        <w:t>Спољни</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извори</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финансирања</w:t>
      </w:r>
      <w:bookmarkEnd w:id="116"/>
    </w:p>
    <w:p w14:paraId="613CBE21" w14:textId="77777777" w:rsidR="007B6BE3" w:rsidRPr="0087376B" w:rsidRDefault="007B6BE3" w:rsidP="007B6BE3">
      <w:pPr>
        <w:spacing w:after="0"/>
      </w:pPr>
    </w:p>
    <w:p w14:paraId="7256E71B" w14:textId="77777777" w:rsidR="00625E9C" w:rsidRPr="00625E9C" w:rsidRDefault="009A64F7" w:rsidP="00625E9C">
      <w:pPr>
        <w:pStyle w:val="NoSpacing"/>
        <w:spacing w:line="276" w:lineRule="auto"/>
        <w:ind w:firstLine="284"/>
        <w:jc w:val="both"/>
        <w:rPr>
          <w:rFonts w:ascii="Arial" w:hAnsi="Arial" w:cs="Arial"/>
          <w:lang w:val="hr-HR"/>
        </w:rPr>
      </w:pPr>
      <w:r>
        <w:rPr>
          <w:rFonts w:ascii="Arial" w:hAnsi="Arial" w:cs="Arial"/>
          <w:lang w:val="sr-Cyrl-BA"/>
        </w:rPr>
        <w:t>Спољна</w:t>
      </w:r>
      <w:r w:rsidR="007B6BE3" w:rsidRPr="0087376B">
        <w:rPr>
          <w:rFonts w:ascii="Arial" w:hAnsi="Arial" w:cs="Arial"/>
          <w:lang w:val="hr-HR"/>
        </w:rPr>
        <w:t xml:space="preserve"> </w:t>
      </w:r>
      <w:r w:rsidR="005B20F8">
        <w:rPr>
          <w:rFonts w:ascii="Arial" w:hAnsi="Arial" w:cs="Arial"/>
          <w:lang w:val="hr-HR"/>
        </w:rPr>
        <w:t>финансијска</w:t>
      </w:r>
      <w:r w:rsidR="007B6BE3" w:rsidRPr="0087376B">
        <w:rPr>
          <w:rFonts w:ascii="Arial" w:hAnsi="Arial" w:cs="Arial"/>
          <w:lang w:val="hr-HR"/>
        </w:rPr>
        <w:t xml:space="preserve"> </w:t>
      </w:r>
      <w:r w:rsidR="005B20F8">
        <w:rPr>
          <w:rFonts w:ascii="Arial" w:hAnsi="Arial" w:cs="Arial"/>
          <w:lang w:val="hr-HR"/>
        </w:rPr>
        <w:t>средства</w:t>
      </w:r>
      <w:r w:rsidR="007B6BE3" w:rsidRPr="0087376B">
        <w:rPr>
          <w:rFonts w:ascii="Arial" w:hAnsi="Arial" w:cs="Arial"/>
          <w:lang w:val="hr-HR"/>
        </w:rPr>
        <w:t xml:space="preserve"> </w:t>
      </w:r>
      <w:r w:rsidR="005B20F8">
        <w:rPr>
          <w:rFonts w:ascii="Arial" w:hAnsi="Arial" w:cs="Arial"/>
          <w:lang w:val="hr-HR"/>
        </w:rPr>
        <w:t>која</w:t>
      </w:r>
      <w:r w:rsidR="007B6BE3" w:rsidRPr="0087376B">
        <w:rPr>
          <w:rFonts w:ascii="Arial" w:hAnsi="Arial" w:cs="Arial"/>
          <w:lang w:val="hr-HR"/>
        </w:rPr>
        <w:t xml:space="preserve"> </w:t>
      </w:r>
      <w:r w:rsidR="005B20F8">
        <w:rPr>
          <w:rFonts w:ascii="Arial" w:hAnsi="Arial" w:cs="Arial"/>
          <w:lang w:val="hr-HR"/>
        </w:rPr>
        <w:t>Федерацији</w:t>
      </w:r>
      <w:r w:rsidR="007B6BE3" w:rsidRPr="0087376B">
        <w:rPr>
          <w:rFonts w:ascii="Arial" w:hAnsi="Arial" w:cs="Arial"/>
          <w:lang w:val="hr-HR"/>
        </w:rPr>
        <w:t xml:space="preserve"> </w:t>
      </w:r>
      <w:r w:rsidR="005B20F8">
        <w:rPr>
          <w:rFonts w:ascii="Arial" w:hAnsi="Arial" w:cs="Arial"/>
          <w:lang w:val="hr-HR"/>
        </w:rPr>
        <w:t>БиХ</w:t>
      </w:r>
      <w:r w:rsidR="007B6BE3" w:rsidRPr="0087376B">
        <w:rPr>
          <w:rFonts w:ascii="Arial" w:hAnsi="Arial" w:cs="Arial"/>
          <w:lang w:val="hr-HR"/>
        </w:rPr>
        <w:t xml:space="preserve"> </w:t>
      </w:r>
      <w:r w:rsidR="005B20F8">
        <w:rPr>
          <w:rFonts w:ascii="Arial" w:hAnsi="Arial" w:cs="Arial"/>
          <w:lang w:val="hr-HR"/>
        </w:rPr>
        <w:t>стоје</w:t>
      </w:r>
      <w:r w:rsidR="007B6BE3" w:rsidRPr="0087376B">
        <w:rPr>
          <w:rFonts w:ascii="Arial" w:hAnsi="Arial" w:cs="Arial"/>
          <w:lang w:val="hr-HR"/>
        </w:rPr>
        <w:t xml:space="preserve"> </w:t>
      </w:r>
      <w:r w:rsidR="005B20F8">
        <w:rPr>
          <w:rFonts w:ascii="Arial" w:hAnsi="Arial" w:cs="Arial"/>
          <w:lang w:val="hr-HR"/>
        </w:rPr>
        <w:t>на</w:t>
      </w:r>
      <w:r w:rsidR="007B6BE3" w:rsidRPr="0087376B">
        <w:rPr>
          <w:rFonts w:ascii="Arial" w:hAnsi="Arial" w:cs="Arial"/>
          <w:lang w:val="hr-HR"/>
        </w:rPr>
        <w:t xml:space="preserve"> </w:t>
      </w:r>
      <w:r w:rsidR="005B20F8">
        <w:rPr>
          <w:rFonts w:ascii="Arial" w:hAnsi="Arial" w:cs="Arial"/>
          <w:lang w:val="hr-HR"/>
        </w:rPr>
        <w:t>располагању</w:t>
      </w:r>
      <w:r w:rsidR="007B6BE3" w:rsidRPr="0087376B">
        <w:rPr>
          <w:rFonts w:ascii="Arial" w:hAnsi="Arial" w:cs="Arial"/>
          <w:lang w:val="hr-HR"/>
        </w:rPr>
        <w:t xml:space="preserve"> </w:t>
      </w:r>
      <w:r w:rsidR="005B20F8">
        <w:rPr>
          <w:rFonts w:ascii="Arial" w:hAnsi="Arial" w:cs="Arial"/>
          <w:lang w:val="hr-HR"/>
        </w:rPr>
        <w:t>и</w:t>
      </w:r>
      <w:r w:rsidR="007B6BE3" w:rsidRPr="0087376B">
        <w:rPr>
          <w:rFonts w:ascii="Arial" w:hAnsi="Arial" w:cs="Arial"/>
          <w:lang w:val="hr-HR"/>
        </w:rPr>
        <w:t xml:space="preserve"> </w:t>
      </w:r>
      <w:r w:rsidR="005B20F8">
        <w:rPr>
          <w:rFonts w:ascii="Arial" w:hAnsi="Arial" w:cs="Arial"/>
          <w:lang w:val="hr-HR"/>
        </w:rPr>
        <w:t>планира</w:t>
      </w:r>
      <w:r w:rsidR="007B6BE3" w:rsidRPr="0087376B">
        <w:rPr>
          <w:rFonts w:ascii="Arial" w:hAnsi="Arial" w:cs="Arial"/>
          <w:lang w:val="hr-HR"/>
        </w:rPr>
        <w:t xml:space="preserve"> </w:t>
      </w:r>
      <w:r w:rsidR="005B20F8">
        <w:rPr>
          <w:rFonts w:ascii="Arial" w:hAnsi="Arial" w:cs="Arial"/>
          <w:lang w:val="hr-HR"/>
        </w:rPr>
        <w:t>их</w:t>
      </w:r>
      <w:r w:rsidR="007B6BE3" w:rsidRPr="0087376B">
        <w:rPr>
          <w:rFonts w:ascii="Arial" w:hAnsi="Arial" w:cs="Arial"/>
          <w:lang w:val="hr-HR"/>
        </w:rPr>
        <w:t xml:space="preserve"> </w:t>
      </w:r>
      <w:r w:rsidR="005B20F8">
        <w:rPr>
          <w:rFonts w:ascii="Arial" w:hAnsi="Arial" w:cs="Arial"/>
          <w:lang w:val="hr-HR"/>
        </w:rPr>
        <w:t>ангажовати</w:t>
      </w:r>
      <w:r w:rsidR="007B6BE3" w:rsidRPr="0087376B">
        <w:rPr>
          <w:rFonts w:ascii="Arial" w:hAnsi="Arial" w:cs="Arial"/>
          <w:lang w:val="hr-HR"/>
        </w:rPr>
        <w:t xml:space="preserve"> </w:t>
      </w:r>
      <w:r w:rsidR="005B20F8">
        <w:rPr>
          <w:rFonts w:ascii="Arial" w:hAnsi="Arial" w:cs="Arial"/>
          <w:lang w:val="hr-HR"/>
        </w:rPr>
        <w:t>у</w:t>
      </w:r>
      <w:r w:rsidR="007B6BE3" w:rsidRPr="0087376B">
        <w:rPr>
          <w:rFonts w:ascii="Arial" w:hAnsi="Arial" w:cs="Arial"/>
          <w:lang w:val="hr-HR"/>
        </w:rPr>
        <w:t xml:space="preserve"> </w:t>
      </w:r>
      <w:r w:rsidR="005B20F8">
        <w:rPr>
          <w:rFonts w:ascii="Arial" w:hAnsi="Arial" w:cs="Arial"/>
          <w:lang w:val="hr-HR"/>
        </w:rPr>
        <w:t>периоду</w:t>
      </w:r>
      <w:r w:rsidR="007B6BE3" w:rsidRPr="0087376B">
        <w:rPr>
          <w:rFonts w:ascii="Arial" w:hAnsi="Arial" w:cs="Arial"/>
          <w:lang w:val="hr-HR"/>
        </w:rPr>
        <w:t xml:space="preserve"> 2023 – 2025. </w:t>
      </w:r>
      <w:r w:rsidR="005B20F8">
        <w:rPr>
          <w:rFonts w:ascii="Arial" w:hAnsi="Arial" w:cs="Arial"/>
          <w:lang w:val="hr-HR"/>
        </w:rPr>
        <w:t>процјењују</w:t>
      </w:r>
      <w:r w:rsidR="007B6BE3" w:rsidRPr="0087376B">
        <w:rPr>
          <w:rFonts w:ascii="Arial" w:hAnsi="Arial" w:cs="Arial"/>
          <w:lang w:val="hr-HR"/>
        </w:rPr>
        <w:t xml:space="preserve"> </w:t>
      </w:r>
      <w:r w:rsidR="005B20F8">
        <w:rPr>
          <w:rFonts w:ascii="Arial" w:hAnsi="Arial" w:cs="Arial"/>
          <w:lang w:val="hr-HR"/>
        </w:rPr>
        <w:t>се</w:t>
      </w:r>
      <w:r w:rsidR="007B6BE3" w:rsidRPr="0087376B">
        <w:rPr>
          <w:rFonts w:ascii="Arial" w:hAnsi="Arial" w:cs="Arial"/>
          <w:lang w:val="hr-HR"/>
        </w:rPr>
        <w:t xml:space="preserve"> </w:t>
      </w:r>
      <w:r w:rsidR="005B20F8">
        <w:rPr>
          <w:rFonts w:ascii="Arial" w:hAnsi="Arial" w:cs="Arial"/>
          <w:lang w:val="hr-HR"/>
        </w:rPr>
        <w:t>на</w:t>
      </w:r>
      <w:r w:rsidR="007B6BE3" w:rsidRPr="0087376B">
        <w:rPr>
          <w:rFonts w:ascii="Arial" w:hAnsi="Arial" w:cs="Arial"/>
          <w:lang w:val="hr-HR"/>
        </w:rPr>
        <w:t xml:space="preserve"> 1.748,62 </w:t>
      </w:r>
      <w:r w:rsidR="005B20F8">
        <w:rPr>
          <w:rFonts w:ascii="Arial" w:hAnsi="Arial" w:cs="Arial"/>
          <w:lang w:val="hr-HR"/>
        </w:rPr>
        <w:t>мил</w:t>
      </w:r>
      <w:r w:rsidR="007B6BE3" w:rsidRPr="0087376B">
        <w:rPr>
          <w:rFonts w:ascii="Arial" w:hAnsi="Arial" w:cs="Arial"/>
          <w:lang w:val="hr-HR"/>
        </w:rPr>
        <w:t>.</w:t>
      </w:r>
      <w:r w:rsidR="005B20F8">
        <w:rPr>
          <w:rFonts w:ascii="Arial" w:hAnsi="Arial" w:cs="Arial"/>
          <w:lang w:val="hr-HR"/>
        </w:rPr>
        <w:t>КМ</w:t>
      </w:r>
      <w:r w:rsidR="007B6BE3" w:rsidRPr="0087376B">
        <w:rPr>
          <w:rStyle w:val="FootnoteReference"/>
          <w:rFonts w:ascii="Arial" w:hAnsi="Arial" w:cs="Arial"/>
        </w:rPr>
        <w:footnoteReference w:id="7"/>
      </w:r>
      <w:r w:rsidR="007B6BE3" w:rsidRPr="0087376B">
        <w:rPr>
          <w:rFonts w:ascii="Arial" w:hAnsi="Arial" w:cs="Arial"/>
          <w:lang w:val="hr-HR"/>
        </w:rPr>
        <w:t xml:space="preserve"> (</w:t>
      </w:r>
      <w:r w:rsidR="007B6BE3" w:rsidRPr="009A64F7">
        <w:rPr>
          <w:rFonts w:ascii="Arial" w:hAnsi="Arial" w:cs="Arial"/>
          <w:lang w:val="hr-HR"/>
        </w:rPr>
        <w:t xml:space="preserve">953,60 </w:t>
      </w:r>
      <w:r w:rsidR="005B20F8" w:rsidRPr="009A64F7">
        <w:rPr>
          <w:rFonts w:ascii="Arial" w:hAnsi="Arial" w:cs="Arial"/>
          <w:lang w:val="hr-HR"/>
        </w:rPr>
        <w:t>мил</w:t>
      </w:r>
      <w:r w:rsidR="007B6BE3" w:rsidRPr="009A64F7">
        <w:rPr>
          <w:rFonts w:ascii="Arial" w:hAnsi="Arial" w:cs="Arial"/>
          <w:lang w:val="hr-HR"/>
        </w:rPr>
        <w:t xml:space="preserve">. </w:t>
      </w:r>
      <w:r w:rsidRPr="009A64F7">
        <w:rPr>
          <w:rFonts w:ascii="Arial" w:hAnsi="Arial" w:cs="Arial"/>
          <w:lang w:val="hr-HR"/>
        </w:rPr>
        <w:t>USD</w:t>
      </w:r>
      <w:r w:rsidR="007B6BE3" w:rsidRPr="0087376B">
        <w:rPr>
          <w:rStyle w:val="FootnoteReference"/>
          <w:rFonts w:ascii="Arial" w:hAnsi="Arial" w:cs="Arial"/>
        </w:rPr>
        <w:footnoteReference w:id="8"/>
      </w:r>
      <w:r w:rsidR="007B6BE3" w:rsidRPr="0087376B">
        <w:rPr>
          <w:rFonts w:ascii="Arial" w:hAnsi="Arial" w:cs="Arial"/>
          <w:lang w:val="hr-HR"/>
        </w:rPr>
        <w:t xml:space="preserve">). </w:t>
      </w:r>
      <w:r w:rsidR="005B20F8">
        <w:rPr>
          <w:rFonts w:ascii="Arial" w:hAnsi="Arial" w:cs="Arial"/>
          <w:lang w:val="hr-HR"/>
        </w:rPr>
        <w:lastRenderedPageBreak/>
        <w:t>Узимајући</w:t>
      </w:r>
      <w:r w:rsidR="007B6BE3" w:rsidRPr="0087376B">
        <w:rPr>
          <w:rFonts w:ascii="Arial" w:hAnsi="Arial" w:cs="Arial"/>
          <w:lang w:val="hr-HR"/>
        </w:rPr>
        <w:t xml:space="preserve"> </w:t>
      </w:r>
      <w:r w:rsidR="005B20F8">
        <w:rPr>
          <w:rFonts w:ascii="Arial" w:hAnsi="Arial" w:cs="Arial"/>
          <w:lang w:val="hr-HR"/>
        </w:rPr>
        <w:t>у</w:t>
      </w:r>
      <w:r w:rsidR="007B6BE3" w:rsidRPr="0087376B">
        <w:rPr>
          <w:rFonts w:ascii="Arial" w:hAnsi="Arial" w:cs="Arial"/>
          <w:lang w:val="hr-HR"/>
        </w:rPr>
        <w:t xml:space="preserve"> </w:t>
      </w:r>
      <w:r w:rsidR="005B20F8">
        <w:rPr>
          <w:rFonts w:ascii="Arial" w:hAnsi="Arial" w:cs="Arial"/>
          <w:lang w:val="hr-HR"/>
        </w:rPr>
        <w:t>обзир</w:t>
      </w:r>
      <w:r w:rsidR="007B6BE3" w:rsidRPr="0087376B">
        <w:rPr>
          <w:rFonts w:ascii="Arial" w:hAnsi="Arial" w:cs="Arial"/>
          <w:lang w:val="hr-HR"/>
        </w:rPr>
        <w:t xml:space="preserve"> </w:t>
      </w:r>
      <w:r w:rsidR="005B20F8">
        <w:rPr>
          <w:rFonts w:ascii="Arial" w:hAnsi="Arial" w:cs="Arial"/>
          <w:lang w:val="hr-HR"/>
        </w:rPr>
        <w:t>циљеве</w:t>
      </w:r>
      <w:r w:rsidR="007B6BE3" w:rsidRPr="0087376B">
        <w:rPr>
          <w:rFonts w:ascii="Arial" w:hAnsi="Arial" w:cs="Arial"/>
          <w:lang w:val="hr-HR"/>
        </w:rPr>
        <w:t xml:space="preserve"> </w:t>
      </w:r>
      <w:r w:rsidR="005B20F8">
        <w:rPr>
          <w:rFonts w:ascii="Arial" w:hAnsi="Arial" w:cs="Arial"/>
          <w:lang w:val="hr-HR"/>
        </w:rPr>
        <w:t>дефинисане</w:t>
      </w:r>
      <w:r w:rsidR="007B6BE3" w:rsidRPr="0087376B">
        <w:rPr>
          <w:rFonts w:ascii="Arial" w:hAnsi="Arial" w:cs="Arial"/>
          <w:lang w:val="hr-HR"/>
        </w:rPr>
        <w:t xml:space="preserve"> </w:t>
      </w:r>
      <w:r w:rsidR="005B20F8">
        <w:rPr>
          <w:rFonts w:ascii="Arial" w:hAnsi="Arial" w:cs="Arial"/>
          <w:lang w:val="hr-HR"/>
        </w:rPr>
        <w:t>овом</w:t>
      </w:r>
      <w:r w:rsidR="007B6BE3" w:rsidRPr="0087376B">
        <w:rPr>
          <w:rFonts w:ascii="Arial" w:hAnsi="Arial" w:cs="Arial"/>
          <w:lang w:val="hr-HR"/>
        </w:rPr>
        <w:t xml:space="preserve"> </w:t>
      </w:r>
      <w:r w:rsidR="005B20F8">
        <w:rPr>
          <w:rFonts w:ascii="Arial" w:hAnsi="Arial" w:cs="Arial"/>
          <w:lang w:val="hr-HR"/>
        </w:rPr>
        <w:t>Стратегијом</w:t>
      </w:r>
      <w:r w:rsidR="007B6BE3" w:rsidRPr="0087376B">
        <w:rPr>
          <w:rFonts w:ascii="Arial" w:hAnsi="Arial" w:cs="Arial"/>
          <w:lang w:val="hr-HR"/>
        </w:rPr>
        <w:t xml:space="preserve">, </w:t>
      </w:r>
      <w:r w:rsidR="005B20F8">
        <w:rPr>
          <w:rFonts w:ascii="Arial" w:hAnsi="Arial" w:cs="Arial"/>
          <w:lang w:val="hr-HR"/>
        </w:rPr>
        <w:t>трошкове</w:t>
      </w:r>
      <w:r w:rsidR="007B6BE3" w:rsidRPr="0087376B">
        <w:rPr>
          <w:rFonts w:ascii="Arial" w:hAnsi="Arial" w:cs="Arial"/>
          <w:lang w:val="hr-HR"/>
        </w:rPr>
        <w:t xml:space="preserve"> </w:t>
      </w:r>
      <w:r w:rsidR="005B20F8">
        <w:rPr>
          <w:rFonts w:ascii="Arial" w:hAnsi="Arial" w:cs="Arial"/>
          <w:lang w:val="hr-HR"/>
        </w:rPr>
        <w:t>и</w:t>
      </w:r>
      <w:r w:rsidR="007B6BE3" w:rsidRPr="0087376B">
        <w:rPr>
          <w:rFonts w:ascii="Arial" w:hAnsi="Arial" w:cs="Arial"/>
          <w:lang w:val="hr-HR"/>
        </w:rPr>
        <w:t xml:space="preserve"> </w:t>
      </w:r>
      <w:r w:rsidR="005B20F8">
        <w:rPr>
          <w:rFonts w:ascii="Arial" w:hAnsi="Arial" w:cs="Arial"/>
          <w:lang w:val="hr-HR"/>
        </w:rPr>
        <w:t>ризике</w:t>
      </w:r>
      <w:r w:rsidR="007B6BE3" w:rsidRPr="0087376B">
        <w:rPr>
          <w:rFonts w:ascii="Arial" w:hAnsi="Arial" w:cs="Arial"/>
          <w:lang w:val="hr-HR"/>
        </w:rPr>
        <w:t xml:space="preserve"> </w:t>
      </w:r>
      <w:r w:rsidR="005B20F8">
        <w:rPr>
          <w:rFonts w:ascii="Arial" w:hAnsi="Arial" w:cs="Arial"/>
          <w:lang w:val="hr-HR"/>
        </w:rPr>
        <w:t>уговарања</w:t>
      </w:r>
      <w:r w:rsidR="007B6BE3" w:rsidRPr="0087376B">
        <w:rPr>
          <w:rFonts w:ascii="Arial" w:hAnsi="Arial" w:cs="Arial"/>
          <w:lang w:val="hr-HR"/>
        </w:rPr>
        <w:t xml:space="preserve"> </w:t>
      </w:r>
      <w:r w:rsidR="005B20F8">
        <w:rPr>
          <w:rFonts w:ascii="Arial" w:hAnsi="Arial" w:cs="Arial"/>
          <w:lang w:val="hr-HR"/>
        </w:rPr>
        <w:t>зајмова</w:t>
      </w:r>
      <w:r w:rsidR="007B6BE3" w:rsidRPr="0087376B">
        <w:rPr>
          <w:rFonts w:ascii="Arial" w:hAnsi="Arial" w:cs="Arial"/>
          <w:lang w:val="hr-HR"/>
        </w:rPr>
        <w:t xml:space="preserve">, </w:t>
      </w:r>
      <w:r w:rsidR="005B20F8">
        <w:rPr>
          <w:rFonts w:ascii="Arial" w:hAnsi="Arial" w:cs="Arial"/>
          <w:lang w:val="hr-HR"/>
        </w:rPr>
        <w:t>Федерација</w:t>
      </w:r>
      <w:r w:rsidR="007B6BE3" w:rsidRPr="0087376B">
        <w:rPr>
          <w:rFonts w:ascii="Arial" w:hAnsi="Arial" w:cs="Arial"/>
          <w:lang w:val="hr-HR"/>
        </w:rPr>
        <w:t xml:space="preserve"> </w:t>
      </w:r>
      <w:r w:rsidR="005B20F8">
        <w:rPr>
          <w:rFonts w:ascii="Arial" w:hAnsi="Arial" w:cs="Arial"/>
          <w:lang w:val="hr-HR"/>
        </w:rPr>
        <w:t>БиХ</w:t>
      </w:r>
      <w:r w:rsidR="007B6BE3" w:rsidRPr="0087376B">
        <w:rPr>
          <w:rFonts w:ascii="Arial" w:hAnsi="Arial" w:cs="Arial"/>
          <w:lang w:val="hr-HR"/>
        </w:rPr>
        <w:t xml:space="preserve"> </w:t>
      </w:r>
      <w:r w:rsidR="005B20F8">
        <w:rPr>
          <w:rFonts w:ascii="Arial" w:hAnsi="Arial" w:cs="Arial"/>
          <w:lang w:val="hr-HR"/>
        </w:rPr>
        <w:t>ће</w:t>
      </w:r>
      <w:r w:rsidR="007B6BE3" w:rsidRPr="0087376B">
        <w:rPr>
          <w:rFonts w:ascii="Arial" w:hAnsi="Arial" w:cs="Arial"/>
          <w:lang w:val="hr-HR"/>
        </w:rPr>
        <w:t xml:space="preserve"> </w:t>
      </w:r>
      <w:r w:rsidR="005B20F8">
        <w:rPr>
          <w:rFonts w:ascii="Arial" w:hAnsi="Arial" w:cs="Arial"/>
          <w:lang w:val="hr-HR"/>
        </w:rPr>
        <w:t>наставити</w:t>
      </w:r>
      <w:r w:rsidR="007B6BE3" w:rsidRPr="0087376B">
        <w:rPr>
          <w:rFonts w:ascii="Arial" w:hAnsi="Arial" w:cs="Arial"/>
          <w:lang w:val="hr-HR"/>
        </w:rPr>
        <w:t xml:space="preserve"> </w:t>
      </w:r>
      <w:r w:rsidR="005B20F8">
        <w:rPr>
          <w:rFonts w:ascii="Arial" w:hAnsi="Arial" w:cs="Arial"/>
          <w:lang w:val="hr-HR"/>
        </w:rPr>
        <w:t>са</w:t>
      </w:r>
      <w:r w:rsidR="007B6BE3" w:rsidRPr="0087376B">
        <w:rPr>
          <w:rFonts w:ascii="Arial" w:hAnsi="Arial" w:cs="Arial"/>
          <w:lang w:val="hr-HR"/>
        </w:rPr>
        <w:t xml:space="preserve"> </w:t>
      </w:r>
      <w:r w:rsidR="005B20F8">
        <w:rPr>
          <w:rFonts w:ascii="Arial" w:hAnsi="Arial" w:cs="Arial"/>
          <w:lang w:val="hr-HR"/>
        </w:rPr>
        <w:t>политиком</w:t>
      </w:r>
      <w:r w:rsidR="007B6BE3" w:rsidRPr="0087376B">
        <w:rPr>
          <w:rFonts w:ascii="Arial" w:hAnsi="Arial" w:cs="Arial"/>
          <w:lang w:val="hr-HR"/>
        </w:rPr>
        <w:t xml:space="preserve"> </w:t>
      </w:r>
      <w:r w:rsidR="005B20F8">
        <w:rPr>
          <w:rFonts w:ascii="Arial" w:hAnsi="Arial" w:cs="Arial"/>
          <w:lang w:val="hr-HR"/>
        </w:rPr>
        <w:t>максимизирања</w:t>
      </w:r>
      <w:r w:rsidR="007B6BE3" w:rsidRPr="0087376B">
        <w:rPr>
          <w:rFonts w:ascii="Arial" w:hAnsi="Arial" w:cs="Arial"/>
          <w:lang w:val="hr-HR"/>
        </w:rPr>
        <w:t xml:space="preserve"> </w:t>
      </w:r>
      <w:r w:rsidR="005B20F8">
        <w:rPr>
          <w:rFonts w:ascii="Arial" w:hAnsi="Arial" w:cs="Arial"/>
          <w:lang w:val="hr-HR"/>
        </w:rPr>
        <w:t>задуживања</w:t>
      </w:r>
      <w:r w:rsidR="007B6BE3" w:rsidRPr="0087376B">
        <w:rPr>
          <w:rFonts w:ascii="Arial" w:hAnsi="Arial" w:cs="Arial"/>
          <w:lang w:val="hr-HR"/>
        </w:rPr>
        <w:t xml:space="preserve"> </w:t>
      </w:r>
      <w:r w:rsidR="005B20F8">
        <w:rPr>
          <w:rFonts w:ascii="Arial" w:hAnsi="Arial" w:cs="Arial"/>
          <w:lang w:val="hr-HR"/>
        </w:rPr>
        <w:t>код</w:t>
      </w:r>
      <w:r w:rsidR="007B6BE3" w:rsidRPr="0087376B">
        <w:rPr>
          <w:rFonts w:ascii="Arial" w:hAnsi="Arial" w:cs="Arial"/>
          <w:lang w:val="hr-HR"/>
        </w:rPr>
        <w:t xml:space="preserve"> </w:t>
      </w:r>
      <w:r w:rsidR="005B20F8">
        <w:rPr>
          <w:rFonts w:ascii="Arial" w:hAnsi="Arial" w:cs="Arial"/>
          <w:lang w:val="hr-HR"/>
        </w:rPr>
        <w:t>мултилатералних</w:t>
      </w:r>
      <w:r w:rsidR="007B6BE3" w:rsidRPr="0087376B">
        <w:rPr>
          <w:rFonts w:ascii="Arial" w:hAnsi="Arial" w:cs="Arial"/>
          <w:lang w:val="hr-HR"/>
        </w:rPr>
        <w:t xml:space="preserve"> </w:t>
      </w:r>
      <w:r w:rsidR="005B20F8">
        <w:rPr>
          <w:rFonts w:ascii="Arial" w:hAnsi="Arial" w:cs="Arial"/>
          <w:lang w:val="hr-HR"/>
        </w:rPr>
        <w:t>финансијских</w:t>
      </w:r>
      <w:r w:rsidR="007B6BE3" w:rsidRPr="0087376B">
        <w:rPr>
          <w:rFonts w:ascii="Arial" w:hAnsi="Arial" w:cs="Arial"/>
          <w:lang w:val="hr-HR"/>
        </w:rPr>
        <w:t xml:space="preserve"> </w:t>
      </w:r>
      <w:r w:rsidR="005B20F8">
        <w:rPr>
          <w:rFonts w:ascii="Arial" w:hAnsi="Arial" w:cs="Arial"/>
          <w:lang w:val="hr-HR"/>
        </w:rPr>
        <w:t>институција</w:t>
      </w:r>
      <w:r w:rsidR="007B6BE3" w:rsidRPr="0087376B">
        <w:rPr>
          <w:rFonts w:ascii="Arial" w:hAnsi="Arial" w:cs="Arial"/>
          <w:lang w:val="hr-HR"/>
        </w:rPr>
        <w:t xml:space="preserve">, </w:t>
      </w:r>
      <w:r w:rsidR="005B20F8">
        <w:rPr>
          <w:rFonts w:ascii="Arial" w:hAnsi="Arial" w:cs="Arial"/>
          <w:lang w:val="hr-HR"/>
        </w:rPr>
        <w:t>а</w:t>
      </w:r>
      <w:r w:rsidR="007B6BE3" w:rsidRPr="0087376B">
        <w:rPr>
          <w:rFonts w:ascii="Arial" w:hAnsi="Arial" w:cs="Arial"/>
          <w:lang w:val="hr-HR"/>
        </w:rPr>
        <w:t xml:space="preserve"> </w:t>
      </w:r>
      <w:r w:rsidR="005B20F8">
        <w:rPr>
          <w:rFonts w:ascii="Arial" w:hAnsi="Arial" w:cs="Arial"/>
          <w:lang w:val="hr-HR"/>
        </w:rPr>
        <w:t>процјене</w:t>
      </w:r>
      <w:r w:rsidR="007B6BE3" w:rsidRPr="0087376B">
        <w:rPr>
          <w:rFonts w:ascii="Arial" w:hAnsi="Arial" w:cs="Arial"/>
          <w:lang w:val="hr-HR"/>
        </w:rPr>
        <w:t xml:space="preserve"> </w:t>
      </w:r>
      <w:r w:rsidR="005B20F8">
        <w:rPr>
          <w:rFonts w:ascii="Arial" w:hAnsi="Arial" w:cs="Arial"/>
          <w:lang w:val="hr-HR"/>
        </w:rPr>
        <w:t>указују</w:t>
      </w:r>
      <w:r w:rsidR="007B6BE3" w:rsidRPr="0087376B">
        <w:rPr>
          <w:rFonts w:ascii="Arial" w:hAnsi="Arial" w:cs="Arial"/>
          <w:lang w:val="hr-HR"/>
        </w:rPr>
        <w:t xml:space="preserve"> </w:t>
      </w:r>
      <w:r w:rsidR="005B20F8">
        <w:rPr>
          <w:rFonts w:ascii="Arial" w:hAnsi="Arial" w:cs="Arial"/>
          <w:lang w:val="hr-HR"/>
        </w:rPr>
        <w:t>да</w:t>
      </w:r>
      <w:r w:rsidR="007B6BE3" w:rsidRPr="0087376B">
        <w:rPr>
          <w:rFonts w:ascii="Arial" w:hAnsi="Arial" w:cs="Arial"/>
          <w:lang w:val="hr-HR"/>
        </w:rPr>
        <w:t xml:space="preserve"> </w:t>
      </w:r>
      <w:r w:rsidR="005B20F8">
        <w:rPr>
          <w:rFonts w:ascii="Arial" w:hAnsi="Arial" w:cs="Arial"/>
          <w:lang w:val="hr-HR"/>
        </w:rPr>
        <w:t>би</w:t>
      </w:r>
      <w:r w:rsidR="007B6BE3" w:rsidRPr="0087376B">
        <w:rPr>
          <w:rFonts w:ascii="Arial" w:hAnsi="Arial" w:cs="Arial"/>
          <w:lang w:val="hr-HR"/>
        </w:rPr>
        <w:t xml:space="preserve"> </w:t>
      </w:r>
      <w:r w:rsidR="005B20F8">
        <w:rPr>
          <w:rFonts w:ascii="Arial" w:hAnsi="Arial" w:cs="Arial"/>
          <w:lang w:val="hr-HR"/>
        </w:rPr>
        <w:t>се</w:t>
      </w:r>
      <w:r w:rsidR="007B6BE3" w:rsidRPr="0087376B">
        <w:rPr>
          <w:rFonts w:ascii="Arial" w:hAnsi="Arial" w:cs="Arial"/>
          <w:lang w:val="hr-HR"/>
        </w:rPr>
        <w:t xml:space="preserve"> </w:t>
      </w:r>
      <w:r w:rsidR="005B20F8">
        <w:rPr>
          <w:rFonts w:ascii="Arial" w:hAnsi="Arial" w:cs="Arial"/>
          <w:lang w:val="hr-HR"/>
        </w:rPr>
        <w:t>већина</w:t>
      </w:r>
      <w:r w:rsidR="007B6BE3" w:rsidRPr="0087376B">
        <w:rPr>
          <w:rFonts w:ascii="Arial" w:hAnsi="Arial" w:cs="Arial"/>
          <w:lang w:val="hr-HR"/>
        </w:rPr>
        <w:t xml:space="preserve"> </w:t>
      </w:r>
      <w:r w:rsidR="005B20F8">
        <w:rPr>
          <w:rFonts w:ascii="Arial" w:hAnsi="Arial" w:cs="Arial"/>
          <w:lang w:val="hr-HR"/>
        </w:rPr>
        <w:t>планираних</w:t>
      </w:r>
      <w:r w:rsidR="007B6BE3" w:rsidRPr="0087376B">
        <w:rPr>
          <w:rFonts w:ascii="Arial" w:hAnsi="Arial" w:cs="Arial"/>
          <w:lang w:val="hr-HR"/>
        </w:rPr>
        <w:t xml:space="preserve"> </w:t>
      </w:r>
      <w:r w:rsidR="005B20F8">
        <w:rPr>
          <w:rFonts w:ascii="Arial" w:hAnsi="Arial" w:cs="Arial"/>
          <w:lang w:val="hr-HR"/>
        </w:rPr>
        <w:t>потреба</w:t>
      </w:r>
      <w:r w:rsidR="007B6BE3" w:rsidRPr="0087376B">
        <w:rPr>
          <w:rFonts w:ascii="Arial" w:hAnsi="Arial" w:cs="Arial"/>
          <w:lang w:val="hr-HR"/>
        </w:rPr>
        <w:t xml:space="preserve"> </w:t>
      </w:r>
      <w:r w:rsidR="005B20F8">
        <w:rPr>
          <w:rFonts w:ascii="Arial" w:hAnsi="Arial" w:cs="Arial"/>
          <w:lang w:val="hr-HR"/>
        </w:rPr>
        <w:t>могло</w:t>
      </w:r>
      <w:r w:rsidR="007B6BE3" w:rsidRPr="0087376B">
        <w:rPr>
          <w:rFonts w:ascii="Arial" w:hAnsi="Arial" w:cs="Arial"/>
          <w:lang w:val="hr-HR"/>
        </w:rPr>
        <w:t xml:space="preserve"> </w:t>
      </w:r>
      <w:r w:rsidR="005B20F8">
        <w:rPr>
          <w:rFonts w:ascii="Arial" w:hAnsi="Arial" w:cs="Arial"/>
          <w:lang w:val="hr-HR"/>
        </w:rPr>
        <w:t>задовољити</w:t>
      </w:r>
      <w:r w:rsidR="007B6BE3" w:rsidRPr="0087376B">
        <w:rPr>
          <w:rFonts w:ascii="Arial" w:hAnsi="Arial" w:cs="Arial"/>
          <w:lang w:val="hr-HR"/>
        </w:rPr>
        <w:t xml:space="preserve"> </w:t>
      </w:r>
      <w:r w:rsidR="005B20F8">
        <w:rPr>
          <w:rFonts w:ascii="Arial" w:hAnsi="Arial" w:cs="Arial"/>
          <w:lang w:val="hr-HR"/>
        </w:rPr>
        <w:t>финансирањем</w:t>
      </w:r>
      <w:r w:rsidR="007B6BE3" w:rsidRPr="0087376B">
        <w:rPr>
          <w:rFonts w:ascii="Arial" w:hAnsi="Arial" w:cs="Arial"/>
          <w:lang w:val="hr-HR"/>
        </w:rPr>
        <w:t xml:space="preserve"> </w:t>
      </w:r>
      <w:r w:rsidR="005B20F8">
        <w:rPr>
          <w:rFonts w:ascii="Arial" w:hAnsi="Arial" w:cs="Arial"/>
          <w:lang w:val="hr-HR"/>
        </w:rPr>
        <w:t>из</w:t>
      </w:r>
      <w:r w:rsidR="007B6BE3" w:rsidRPr="0087376B">
        <w:rPr>
          <w:rFonts w:ascii="Arial" w:hAnsi="Arial" w:cs="Arial"/>
          <w:lang w:val="hr-HR"/>
        </w:rPr>
        <w:t xml:space="preserve"> </w:t>
      </w:r>
      <w:r w:rsidR="005B20F8">
        <w:rPr>
          <w:rFonts w:ascii="Arial" w:hAnsi="Arial" w:cs="Arial"/>
          <w:lang w:val="hr-HR"/>
        </w:rPr>
        <w:t>ових</w:t>
      </w:r>
      <w:r w:rsidR="007B6BE3" w:rsidRPr="0087376B">
        <w:rPr>
          <w:rFonts w:ascii="Arial" w:hAnsi="Arial" w:cs="Arial"/>
          <w:lang w:val="hr-HR"/>
        </w:rPr>
        <w:t xml:space="preserve"> </w:t>
      </w:r>
      <w:r w:rsidR="005B20F8">
        <w:rPr>
          <w:rFonts w:ascii="Arial" w:hAnsi="Arial" w:cs="Arial"/>
          <w:lang w:val="hr-HR"/>
        </w:rPr>
        <w:t>извора</w:t>
      </w:r>
      <w:r w:rsidR="007B6BE3" w:rsidRPr="0087376B">
        <w:rPr>
          <w:rFonts w:ascii="Arial" w:hAnsi="Arial" w:cs="Arial"/>
          <w:lang w:val="hr-HR"/>
        </w:rPr>
        <w:t xml:space="preserve">. </w:t>
      </w:r>
    </w:p>
    <w:p w14:paraId="0AECDEF6" w14:textId="77777777" w:rsidR="00625E9C" w:rsidRDefault="00625E9C" w:rsidP="00625E9C">
      <w:pPr>
        <w:spacing w:after="0"/>
        <w:rPr>
          <w:rFonts w:ascii="Arial" w:hAnsi="Arial" w:cs="Arial"/>
          <w:szCs w:val="24"/>
        </w:rPr>
      </w:pPr>
    </w:p>
    <w:p w14:paraId="3C32496D" w14:textId="77777777" w:rsidR="007B6BE3" w:rsidRPr="0087376B" w:rsidRDefault="005B20F8" w:rsidP="00625E9C">
      <w:pPr>
        <w:spacing w:after="0"/>
        <w:rPr>
          <w:rFonts w:ascii="Arial" w:hAnsi="Arial" w:cs="Arial"/>
          <w:szCs w:val="24"/>
        </w:rPr>
      </w:pPr>
      <w:r>
        <w:rPr>
          <w:rFonts w:ascii="Arial" w:hAnsi="Arial" w:cs="Arial"/>
          <w:szCs w:val="24"/>
        </w:rPr>
        <w:t>Табела</w:t>
      </w:r>
      <w:r w:rsidR="007B6BE3" w:rsidRPr="0087376B">
        <w:rPr>
          <w:rFonts w:ascii="Arial" w:hAnsi="Arial" w:cs="Arial"/>
          <w:szCs w:val="24"/>
        </w:rPr>
        <w:t xml:space="preserve"> 8: </w:t>
      </w:r>
      <w:r>
        <w:rPr>
          <w:rFonts w:ascii="Arial" w:hAnsi="Arial" w:cs="Arial"/>
          <w:szCs w:val="24"/>
        </w:rPr>
        <w:t>Преглед</w:t>
      </w:r>
      <w:r w:rsidR="007B6BE3" w:rsidRPr="0087376B">
        <w:rPr>
          <w:rFonts w:ascii="Arial" w:hAnsi="Arial" w:cs="Arial"/>
          <w:szCs w:val="24"/>
        </w:rPr>
        <w:t xml:space="preserve"> </w:t>
      </w:r>
      <w:r>
        <w:rPr>
          <w:rFonts w:ascii="Arial" w:hAnsi="Arial" w:cs="Arial"/>
          <w:szCs w:val="24"/>
        </w:rPr>
        <w:t>уговорених</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планираних</w:t>
      </w:r>
      <w:r w:rsidR="007B6BE3" w:rsidRPr="0087376B">
        <w:rPr>
          <w:rFonts w:ascii="Arial" w:hAnsi="Arial" w:cs="Arial"/>
          <w:szCs w:val="24"/>
        </w:rPr>
        <w:t xml:space="preserve"> </w:t>
      </w:r>
      <w:r>
        <w:rPr>
          <w:rFonts w:ascii="Arial" w:hAnsi="Arial" w:cs="Arial"/>
          <w:szCs w:val="24"/>
        </w:rPr>
        <w:t>спољних</w:t>
      </w:r>
      <w:r w:rsidR="007B6BE3" w:rsidRPr="0087376B">
        <w:rPr>
          <w:rFonts w:ascii="Arial" w:hAnsi="Arial" w:cs="Arial"/>
          <w:szCs w:val="24"/>
        </w:rPr>
        <w:t xml:space="preserve"> </w:t>
      </w:r>
      <w:r>
        <w:rPr>
          <w:rFonts w:ascii="Arial" w:hAnsi="Arial" w:cs="Arial"/>
          <w:szCs w:val="24"/>
        </w:rPr>
        <w:t>извора</w:t>
      </w:r>
      <w:r w:rsidR="007B6BE3" w:rsidRPr="0087376B">
        <w:rPr>
          <w:rFonts w:ascii="Arial" w:hAnsi="Arial" w:cs="Arial"/>
          <w:szCs w:val="24"/>
        </w:rPr>
        <w:t xml:space="preserve"> </w:t>
      </w:r>
      <w:r>
        <w:rPr>
          <w:rFonts w:ascii="Arial" w:hAnsi="Arial" w:cs="Arial"/>
          <w:szCs w:val="24"/>
        </w:rPr>
        <w:t>финансирања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периоду</w:t>
      </w:r>
      <w:r w:rsidR="00625E9C">
        <w:rPr>
          <w:rFonts w:ascii="Arial" w:hAnsi="Arial" w:cs="Arial"/>
          <w:szCs w:val="24"/>
        </w:rPr>
        <w:t xml:space="preserve"> 2023 </w:t>
      </w:r>
      <w:r w:rsidR="007B6BE3" w:rsidRPr="0087376B">
        <w:rPr>
          <w:rFonts w:ascii="Arial" w:hAnsi="Arial" w:cs="Arial"/>
          <w:szCs w:val="24"/>
        </w:rPr>
        <w:t xml:space="preserve">– 2025. </w:t>
      </w:r>
      <w:r>
        <w:rPr>
          <w:rFonts w:ascii="Arial" w:hAnsi="Arial" w:cs="Arial"/>
          <w:szCs w:val="24"/>
        </w:rPr>
        <w:t>година</w:t>
      </w:r>
      <w:r w:rsidR="007B6BE3" w:rsidRPr="0087376B">
        <w:rPr>
          <w:rFonts w:ascii="Arial" w:hAnsi="Arial" w:cs="Arial"/>
          <w:szCs w:val="24"/>
        </w:rPr>
        <w:t xml:space="preserve"> </w:t>
      </w:r>
    </w:p>
    <w:tbl>
      <w:tblPr>
        <w:tblW w:w="5000" w:type="pct"/>
        <w:tblLook w:val="04A0" w:firstRow="1" w:lastRow="0" w:firstColumn="1" w:lastColumn="0" w:noHBand="0" w:noVBand="1"/>
      </w:tblPr>
      <w:tblGrid>
        <w:gridCol w:w="1323"/>
        <w:gridCol w:w="1229"/>
        <w:gridCol w:w="894"/>
        <w:gridCol w:w="894"/>
        <w:gridCol w:w="894"/>
        <w:gridCol w:w="1380"/>
        <w:gridCol w:w="928"/>
        <w:gridCol w:w="1771"/>
      </w:tblGrid>
      <w:tr w:rsidR="007B6BE3" w:rsidRPr="0087376B" w14:paraId="33CA8268" w14:textId="77777777" w:rsidTr="007B6BE3">
        <w:trPr>
          <w:trHeight w:val="345"/>
        </w:trPr>
        <w:tc>
          <w:tcPr>
            <w:tcW w:w="710" w:type="pct"/>
            <w:vMerge w:val="restart"/>
            <w:tcBorders>
              <w:top w:val="single" w:sz="8" w:space="0" w:color="4F81BD"/>
              <w:left w:val="single" w:sz="8" w:space="0" w:color="4F81BD"/>
              <w:bottom w:val="single" w:sz="8" w:space="0" w:color="4F81BD"/>
              <w:right w:val="single" w:sz="8" w:space="0" w:color="0070C0"/>
            </w:tcBorders>
            <w:shd w:val="clear" w:color="auto" w:fill="auto"/>
            <w:vAlign w:val="center"/>
            <w:hideMark/>
          </w:tcPr>
          <w:p w14:paraId="7037AE11" w14:textId="77777777" w:rsidR="007B6BE3" w:rsidRPr="00625E9C" w:rsidRDefault="005B20F8" w:rsidP="007B6BE3">
            <w:pPr>
              <w:spacing w:after="0" w:line="240" w:lineRule="auto"/>
              <w:jc w:val="center"/>
              <w:rPr>
                <w:rFonts w:ascii="Arial" w:eastAsia="Times New Roman" w:hAnsi="Arial" w:cs="Arial"/>
                <w:bCs/>
                <w:sz w:val="16"/>
                <w:szCs w:val="16"/>
              </w:rPr>
            </w:pPr>
            <w:r w:rsidRPr="00625E9C">
              <w:rPr>
                <w:rFonts w:ascii="Arial" w:eastAsia="Times New Roman" w:hAnsi="Arial" w:cs="Arial"/>
                <w:bCs/>
                <w:sz w:val="16"/>
                <w:szCs w:val="16"/>
              </w:rPr>
              <w:t>Кредитор</w:t>
            </w:r>
          </w:p>
        </w:tc>
        <w:tc>
          <w:tcPr>
            <w:tcW w:w="660" w:type="pct"/>
            <w:vMerge w:val="restart"/>
            <w:tcBorders>
              <w:top w:val="single" w:sz="8" w:space="0" w:color="4F81BD"/>
              <w:left w:val="single" w:sz="8" w:space="0" w:color="0070C0"/>
              <w:bottom w:val="single" w:sz="8" w:space="0" w:color="4F81BD"/>
              <w:right w:val="single" w:sz="8" w:space="0" w:color="0070C0"/>
            </w:tcBorders>
            <w:shd w:val="clear" w:color="auto" w:fill="auto"/>
            <w:vAlign w:val="center"/>
            <w:hideMark/>
          </w:tcPr>
          <w:p w14:paraId="231DA95B" w14:textId="77777777" w:rsidR="007B6BE3" w:rsidRPr="00625E9C" w:rsidRDefault="005B20F8" w:rsidP="007B6BE3">
            <w:pPr>
              <w:spacing w:after="0" w:line="240" w:lineRule="auto"/>
              <w:jc w:val="center"/>
              <w:rPr>
                <w:rFonts w:ascii="Arial" w:eastAsia="Times New Roman" w:hAnsi="Arial" w:cs="Arial"/>
                <w:bCs/>
                <w:sz w:val="16"/>
                <w:szCs w:val="16"/>
              </w:rPr>
            </w:pPr>
            <w:r w:rsidRPr="00625E9C">
              <w:rPr>
                <w:rFonts w:ascii="Arial" w:eastAsia="Times New Roman" w:hAnsi="Arial" w:cs="Arial"/>
                <w:bCs/>
                <w:sz w:val="16"/>
                <w:szCs w:val="16"/>
              </w:rPr>
              <w:t>Каматна</w:t>
            </w:r>
            <w:r w:rsidR="007B6BE3" w:rsidRPr="00625E9C">
              <w:rPr>
                <w:rFonts w:ascii="Arial" w:eastAsia="Times New Roman" w:hAnsi="Arial" w:cs="Arial"/>
                <w:bCs/>
                <w:sz w:val="16"/>
                <w:szCs w:val="16"/>
              </w:rPr>
              <w:t xml:space="preserve"> </w:t>
            </w:r>
            <w:r w:rsidRPr="00625E9C">
              <w:rPr>
                <w:rFonts w:ascii="Arial" w:eastAsia="Times New Roman" w:hAnsi="Arial" w:cs="Arial"/>
                <w:bCs/>
                <w:sz w:val="16"/>
                <w:szCs w:val="16"/>
              </w:rPr>
              <w:t>стопа</w:t>
            </w:r>
          </w:p>
        </w:tc>
        <w:tc>
          <w:tcPr>
            <w:tcW w:w="480" w:type="pct"/>
            <w:tcBorders>
              <w:top w:val="single" w:sz="8" w:space="0" w:color="4F81BD"/>
              <w:left w:val="nil"/>
              <w:bottom w:val="single" w:sz="8" w:space="0" w:color="0070C0"/>
              <w:right w:val="single" w:sz="8" w:space="0" w:color="0070C0"/>
            </w:tcBorders>
            <w:shd w:val="clear" w:color="auto" w:fill="auto"/>
            <w:vAlign w:val="center"/>
            <w:hideMark/>
          </w:tcPr>
          <w:p w14:paraId="43F6C02E" w14:textId="77777777" w:rsidR="007B6BE3" w:rsidRPr="00625E9C" w:rsidRDefault="00625E9C" w:rsidP="007B6BE3">
            <w:pPr>
              <w:spacing w:after="0" w:line="240" w:lineRule="auto"/>
              <w:jc w:val="center"/>
              <w:rPr>
                <w:rFonts w:ascii="Arial" w:eastAsia="Times New Roman" w:hAnsi="Arial" w:cs="Arial"/>
                <w:bCs/>
                <w:sz w:val="16"/>
                <w:szCs w:val="16"/>
              </w:rPr>
            </w:pPr>
            <w:r w:rsidRPr="00625E9C">
              <w:rPr>
                <w:rFonts w:ascii="Arial" w:eastAsia="Times New Roman" w:hAnsi="Arial" w:cs="Arial"/>
                <w:bCs/>
                <w:sz w:val="16"/>
                <w:szCs w:val="16"/>
              </w:rPr>
              <w:t>Grace</w:t>
            </w:r>
          </w:p>
        </w:tc>
        <w:tc>
          <w:tcPr>
            <w:tcW w:w="480" w:type="pct"/>
            <w:vMerge w:val="restart"/>
            <w:tcBorders>
              <w:top w:val="single" w:sz="8" w:space="0" w:color="4F81BD"/>
              <w:left w:val="single" w:sz="8" w:space="0" w:color="0070C0"/>
              <w:bottom w:val="single" w:sz="8" w:space="0" w:color="4F81BD"/>
              <w:right w:val="single" w:sz="8" w:space="0" w:color="0070C0"/>
            </w:tcBorders>
            <w:shd w:val="clear" w:color="auto" w:fill="auto"/>
            <w:vAlign w:val="center"/>
            <w:hideMark/>
          </w:tcPr>
          <w:p w14:paraId="6C37806C" w14:textId="77777777" w:rsidR="007B6BE3" w:rsidRPr="00625E9C" w:rsidRDefault="005B20F8" w:rsidP="007B6BE3">
            <w:pPr>
              <w:spacing w:after="0" w:line="240" w:lineRule="auto"/>
              <w:jc w:val="center"/>
              <w:rPr>
                <w:rFonts w:ascii="Arial" w:eastAsia="Times New Roman" w:hAnsi="Arial" w:cs="Arial"/>
                <w:bCs/>
                <w:sz w:val="16"/>
                <w:szCs w:val="16"/>
              </w:rPr>
            </w:pPr>
            <w:r w:rsidRPr="00625E9C">
              <w:rPr>
                <w:rFonts w:ascii="Arial" w:eastAsia="Times New Roman" w:hAnsi="Arial" w:cs="Arial"/>
                <w:bCs/>
                <w:sz w:val="16"/>
                <w:szCs w:val="16"/>
              </w:rPr>
              <w:t>Рок</w:t>
            </w:r>
            <w:r w:rsidR="007B6BE3" w:rsidRPr="00625E9C">
              <w:rPr>
                <w:rFonts w:ascii="Arial" w:eastAsia="Times New Roman" w:hAnsi="Arial" w:cs="Arial"/>
                <w:bCs/>
                <w:sz w:val="16"/>
                <w:szCs w:val="16"/>
              </w:rPr>
              <w:t xml:space="preserve"> </w:t>
            </w:r>
            <w:r w:rsidRPr="00625E9C">
              <w:rPr>
                <w:rFonts w:ascii="Arial" w:eastAsia="Times New Roman" w:hAnsi="Arial" w:cs="Arial"/>
                <w:bCs/>
                <w:sz w:val="16"/>
                <w:szCs w:val="16"/>
              </w:rPr>
              <w:t>отплате</w:t>
            </w:r>
          </w:p>
        </w:tc>
        <w:tc>
          <w:tcPr>
            <w:tcW w:w="480" w:type="pct"/>
            <w:vMerge w:val="restart"/>
            <w:tcBorders>
              <w:top w:val="single" w:sz="8" w:space="0" w:color="4F81BD"/>
              <w:left w:val="single" w:sz="8" w:space="0" w:color="0070C0"/>
              <w:bottom w:val="single" w:sz="8" w:space="0" w:color="4F81BD"/>
              <w:right w:val="single" w:sz="8" w:space="0" w:color="0070C0"/>
            </w:tcBorders>
            <w:shd w:val="clear" w:color="auto" w:fill="auto"/>
            <w:vAlign w:val="center"/>
            <w:hideMark/>
          </w:tcPr>
          <w:p w14:paraId="284695AA" w14:textId="77777777" w:rsidR="007B6BE3" w:rsidRPr="00625E9C" w:rsidRDefault="005B20F8" w:rsidP="007B6BE3">
            <w:pPr>
              <w:spacing w:after="0" w:line="240" w:lineRule="auto"/>
              <w:jc w:val="center"/>
              <w:rPr>
                <w:rFonts w:ascii="Arial" w:eastAsia="Times New Roman" w:hAnsi="Arial" w:cs="Arial"/>
                <w:bCs/>
                <w:sz w:val="16"/>
                <w:szCs w:val="16"/>
              </w:rPr>
            </w:pPr>
            <w:r w:rsidRPr="00625E9C">
              <w:rPr>
                <w:rFonts w:ascii="Arial" w:eastAsia="Times New Roman" w:hAnsi="Arial" w:cs="Arial"/>
                <w:bCs/>
                <w:sz w:val="16"/>
                <w:szCs w:val="16"/>
              </w:rPr>
              <w:t>Валута</w:t>
            </w:r>
          </w:p>
        </w:tc>
        <w:tc>
          <w:tcPr>
            <w:tcW w:w="741" w:type="pct"/>
            <w:vMerge w:val="restart"/>
            <w:tcBorders>
              <w:top w:val="single" w:sz="8" w:space="0" w:color="4F81BD"/>
              <w:left w:val="nil"/>
              <w:bottom w:val="single" w:sz="8" w:space="0" w:color="4F81BD"/>
              <w:right w:val="single" w:sz="8" w:space="0" w:color="0070C0"/>
            </w:tcBorders>
            <w:shd w:val="clear" w:color="auto" w:fill="auto"/>
            <w:vAlign w:val="center"/>
            <w:hideMark/>
          </w:tcPr>
          <w:p w14:paraId="36E859EC" w14:textId="77777777" w:rsidR="007B6BE3" w:rsidRPr="00625E9C" w:rsidRDefault="005B20F8" w:rsidP="00625E9C">
            <w:pPr>
              <w:spacing w:after="0" w:line="240" w:lineRule="auto"/>
              <w:jc w:val="center"/>
              <w:rPr>
                <w:rFonts w:ascii="Arial" w:eastAsia="Times New Roman" w:hAnsi="Arial" w:cs="Arial"/>
                <w:bCs/>
                <w:sz w:val="16"/>
                <w:szCs w:val="16"/>
              </w:rPr>
            </w:pPr>
            <w:r w:rsidRPr="00625E9C">
              <w:rPr>
                <w:rFonts w:ascii="Arial" w:eastAsia="Times New Roman" w:hAnsi="Arial" w:cs="Arial"/>
                <w:bCs/>
                <w:sz w:val="16"/>
                <w:szCs w:val="16"/>
              </w:rPr>
              <w:t>Финансирање</w:t>
            </w:r>
            <w:r w:rsidR="007B6BE3" w:rsidRPr="00625E9C">
              <w:rPr>
                <w:rFonts w:ascii="Arial" w:eastAsia="Times New Roman" w:hAnsi="Arial" w:cs="Arial"/>
                <w:bCs/>
                <w:sz w:val="16"/>
                <w:szCs w:val="16"/>
              </w:rPr>
              <w:t xml:space="preserve"> </w:t>
            </w:r>
            <w:r w:rsidRPr="00625E9C">
              <w:rPr>
                <w:rFonts w:ascii="Arial" w:eastAsia="Times New Roman" w:hAnsi="Arial" w:cs="Arial"/>
                <w:bCs/>
                <w:sz w:val="16"/>
                <w:szCs w:val="16"/>
              </w:rPr>
              <w:t>мил</w:t>
            </w:r>
            <w:r w:rsidR="007B6BE3" w:rsidRPr="00625E9C">
              <w:rPr>
                <w:rFonts w:ascii="Arial" w:eastAsia="Times New Roman" w:hAnsi="Arial" w:cs="Arial"/>
                <w:bCs/>
                <w:sz w:val="16"/>
                <w:szCs w:val="16"/>
              </w:rPr>
              <w:t xml:space="preserve">. </w:t>
            </w:r>
            <w:r w:rsidR="00625E9C" w:rsidRPr="00625E9C">
              <w:rPr>
                <w:rFonts w:ascii="Arial" w:eastAsia="Times New Roman" w:hAnsi="Arial" w:cs="Arial"/>
                <w:bCs/>
                <w:sz w:val="16"/>
                <w:szCs w:val="16"/>
              </w:rPr>
              <w:t>USD</w:t>
            </w:r>
          </w:p>
        </w:tc>
        <w:tc>
          <w:tcPr>
            <w:tcW w:w="498" w:type="pct"/>
            <w:vMerge w:val="restart"/>
            <w:tcBorders>
              <w:top w:val="single" w:sz="8" w:space="0" w:color="4F81BD"/>
              <w:left w:val="single" w:sz="8" w:space="0" w:color="0070C0"/>
              <w:bottom w:val="single" w:sz="8" w:space="0" w:color="4F81BD"/>
              <w:right w:val="single" w:sz="8" w:space="0" w:color="0070C0"/>
            </w:tcBorders>
            <w:shd w:val="clear" w:color="auto" w:fill="auto"/>
            <w:vAlign w:val="center"/>
            <w:hideMark/>
          </w:tcPr>
          <w:p w14:paraId="0ACE914C" w14:textId="77777777" w:rsidR="007B6BE3" w:rsidRPr="00625E9C" w:rsidRDefault="007B6BE3" w:rsidP="007B6BE3">
            <w:pPr>
              <w:spacing w:after="0" w:line="240" w:lineRule="auto"/>
              <w:jc w:val="center"/>
              <w:rPr>
                <w:rFonts w:ascii="Arial" w:eastAsia="Times New Roman" w:hAnsi="Arial" w:cs="Arial"/>
                <w:bCs/>
                <w:sz w:val="16"/>
                <w:szCs w:val="16"/>
              </w:rPr>
            </w:pPr>
            <w:r w:rsidRPr="00625E9C">
              <w:rPr>
                <w:rFonts w:ascii="Arial" w:eastAsia="Times New Roman" w:hAnsi="Arial" w:cs="Arial"/>
                <w:bCs/>
                <w:sz w:val="16"/>
                <w:szCs w:val="16"/>
              </w:rPr>
              <w:t>%</w:t>
            </w:r>
          </w:p>
        </w:tc>
        <w:tc>
          <w:tcPr>
            <w:tcW w:w="951" w:type="pct"/>
            <w:vMerge w:val="restart"/>
            <w:tcBorders>
              <w:top w:val="single" w:sz="8" w:space="0" w:color="4F81BD"/>
              <w:left w:val="nil"/>
              <w:bottom w:val="single" w:sz="8" w:space="0" w:color="4F81BD"/>
              <w:right w:val="single" w:sz="8" w:space="0" w:color="4F81BD"/>
            </w:tcBorders>
            <w:shd w:val="clear" w:color="auto" w:fill="auto"/>
            <w:vAlign w:val="center"/>
            <w:hideMark/>
          </w:tcPr>
          <w:p w14:paraId="31A8CCEE" w14:textId="77777777" w:rsidR="007B6BE3" w:rsidRPr="00625E9C" w:rsidRDefault="005B20F8" w:rsidP="007B6BE3">
            <w:pPr>
              <w:spacing w:after="0" w:line="240" w:lineRule="auto"/>
              <w:jc w:val="center"/>
              <w:rPr>
                <w:rFonts w:ascii="Arial" w:eastAsia="Times New Roman" w:hAnsi="Arial" w:cs="Arial"/>
                <w:bCs/>
                <w:sz w:val="16"/>
                <w:szCs w:val="16"/>
              </w:rPr>
            </w:pPr>
            <w:r w:rsidRPr="00625E9C">
              <w:rPr>
                <w:rFonts w:ascii="Arial" w:eastAsia="Times New Roman" w:hAnsi="Arial" w:cs="Arial"/>
                <w:bCs/>
                <w:sz w:val="16"/>
                <w:szCs w:val="16"/>
              </w:rPr>
              <w:t>Ризици</w:t>
            </w:r>
          </w:p>
        </w:tc>
      </w:tr>
      <w:tr w:rsidR="007B6BE3" w:rsidRPr="0087376B" w14:paraId="5A521D53" w14:textId="77777777" w:rsidTr="007B6BE3">
        <w:trPr>
          <w:trHeight w:val="345"/>
        </w:trPr>
        <w:tc>
          <w:tcPr>
            <w:tcW w:w="710" w:type="pct"/>
            <w:vMerge/>
            <w:tcBorders>
              <w:top w:val="single" w:sz="8" w:space="0" w:color="4F81BD"/>
              <w:left w:val="single" w:sz="8" w:space="0" w:color="4F81BD"/>
              <w:bottom w:val="single" w:sz="8" w:space="0" w:color="4F81BD"/>
              <w:right w:val="single" w:sz="8" w:space="0" w:color="0070C0"/>
            </w:tcBorders>
            <w:vAlign w:val="center"/>
            <w:hideMark/>
          </w:tcPr>
          <w:p w14:paraId="7AF98F3E" w14:textId="77777777" w:rsidR="007B6BE3" w:rsidRPr="00625E9C" w:rsidRDefault="007B6BE3" w:rsidP="007B6BE3">
            <w:pPr>
              <w:spacing w:after="0" w:line="240" w:lineRule="auto"/>
              <w:rPr>
                <w:rFonts w:ascii="Arial" w:eastAsia="Times New Roman" w:hAnsi="Arial" w:cs="Arial"/>
                <w:b/>
                <w:bCs/>
                <w:sz w:val="16"/>
                <w:szCs w:val="16"/>
              </w:rPr>
            </w:pPr>
          </w:p>
        </w:tc>
        <w:tc>
          <w:tcPr>
            <w:tcW w:w="660" w:type="pct"/>
            <w:vMerge/>
            <w:tcBorders>
              <w:top w:val="single" w:sz="8" w:space="0" w:color="4F81BD"/>
              <w:left w:val="single" w:sz="8" w:space="0" w:color="0070C0"/>
              <w:bottom w:val="single" w:sz="8" w:space="0" w:color="4F81BD"/>
              <w:right w:val="single" w:sz="8" w:space="0" w:color="0070C0"/>
            </w:tcBorders>
            <w:vAlign w:val="center"/>
            <w:hideMark/>
          </w:tcPr>
          <w:p w14:paraId="52F937F5" w14:textId="77777777" w:rsidR="007B6BE3" w:rsidRPr="00625E9C" w:rsidRDefault="007B6BE3" w:rsidP="007B6BE3">
            <w:pPr>
              <w:spacing w:after="0" w:line="240" w:lineRule="auto"/>
              <w:rPr>
                <w:rFonts w:ascii="Arial" w:eastAsia="Times New Roman" w:hAnsi="Arial" w:cs="Arial"/>
                <w:b/>
                <w:bCs/>
                <w:sz w:val="16"/>
                <w:szCs w:val="16"/>
              </w:rPr>
            </w:pPr>
          </w:p>
        </w:tc>
        <w:tc>
          <w:tcPr>
            <w:tcW w:w="480" w:type="pct"/>
            <w:tcBorders>
              <w:top w:val="nil"/>
              <w:left w:val="nil"/>
              <w:bottom w:val="single" w:sz="8" w:space="0" w:color="4F81BD"/>
              <w:right w:val="single" w:sz="8" w:space="0" w:color="0070C0"/>
            </w:tcBorders>
            <w:shd w:val="clear" w:color="auto" w:fill="auto"/>
            <w:vAlign w:val="center"/>
            <w:hideMark/>
          </w:tcPr>
          <w:p w14:paraId="3DE4845A" w14:textId="77777777" w:rsidR="007B6BE3" w:rsidRPr="00625E9C" w:rsidRDefault="005B20F8" w:rsidP="007B6BE3">
            <w:pPr>
              <w:spacing w:after="0" w:line="240" w:lineRule="auto"/>
              <w:jc w:val="center"/>
              <w:rPr>
                <w:rFonts w:ascii="Arial" w:eastAsia="Times New Roman" w:hAnsi="Arial" w:cs="Arial"/>
                <w:bCs/>
                <w:sz w:val="16"/>
                <w:szCs w:val="16"/>
              </w:rPr>
            </w:pPr>
            <w:r w:rsidRPr="00625E9C">
              <w:rPr>
                <w:rFonts w:ascii="Arial" w:eastAsia="Times New Roman" w:hAnsi="Arial" w:cs="Arial"/>
                <w:bCs/>
                <w:sz w:val="16"/>
                <w:szCs w:val="16"/>
              </w:rPr>
              <w:t>период</w:t>
            </w:r>
          </w:p>
        </w:tc>
        <w:tc>
          <w:tcPr>
            <w:tcW w:w="480" w:type="pct"/>
            <w:vMerge/>
            <w:tcBorders>
              <w:top w:val="single" w:sz="8" w:space="0" w:color="4F81BD"/>
              <w:left w:val="single" w:sz="8" w:space="0" w:color="0070C0"/>
              <w:bottom w:val="single" w:sz="8" w:space="0" w:color="4F81BD"/>
              <w:right w:val="single" w:sz="8" w:space="0" w:color="0070C0"/>
            </w:tcBorders>
            <w:vAlign w:val="center"/>
            <w:hideMark/>
          </w:tcPr>
          <w:p w14:paraId="02B63C14" w14:textId="77777777" w:rsidR="007B6BE3" w:rsidRPr="00625E9C" w:rsidRDefault="007B6BE3" w:rsidP="007B6BE3">
            <w:pPr>
              <w:spacing w:after="0" w:line="240" w:lineRule="auto"/>
              <w:rPr>
                <w:rFonts w:ascii="Arial" w:eastAsia="Times New Roman" w:hAnsi="Arial" w:cs="Arial"/>
                <w:b/>
                <w:bCs/>
                <w:sz w:val="16"/>
                <w:szCs w:val="16"/>
              </w:rPr>
            </w:pPr>
          </w:p>
        </w:tc>
        <w:tc>
          <w:tcPr>
            <w:tcW w:w="480" w:type="pct"/>
            <w:vMerge/>
            <w:tcBorders>
              <w:top w:val="single" w:sz="8" w:space="0" w:color="4F81BD"/>
              <w:left w:val="single" w:sz="8" w:space="0" w:color="0070C0"/>
              <w:bottom w:val="single" w:sz="8" w:space="0" w:color="4F81BD"/>
              <w:right w:val="single" w:sz="8" w:space="0" w:color="0070C0"/>
            </w:tcBorders>
            <w:vAlign w:val="center"/>
            <w:hideMark/>
          </w:tcPr>
          <w:p w14:paraId="242B7467" w14:textId="77777777" w:rsidR="007B6BE3" w:rsidRPr="00625E9C" w:rsidRDefault="007B6BE3" w:rsidP="007B6BE3">
            <w:pPr>
              <w:spacing w:after="0" w:line="240" w:lineRule="auto"/>
              <w:rPr>
                <w:rFonts w:ascii="Arial" w:eastAsia="Times New Roman" w:hAnsi="Arial" w:cs="Arial"/>
                <w:b/>
                <w:bCs/>
                <w:sz w:val="16"/>
                <w:szCs w:val="16"/>
              </w:rPr>
            </w:pPr>
          </w:p>
        </w:tc>
        <w:tc>
          <w:tcPr>
            <w:tcW w:w="741" w:type="pct"/>
            <w:vMerge/>
            <w:tcBorders>
              <w:top w:val="single" w:sz="8" w:space="0" w:color="4F81BD"/>
              <w:left w:val="nil"/>
              <w:bottom w:val="single" w:sz="8" w:space="0" w:color="4F81BD"/>
              <w:right w:val="single" w:sz="8" w:space="0" w:color="0070C0"/>
            </w:tcBorders>
            <w:vAlign w:val="center"/>
            <w:hideMark/>
          </w:tcPr>
          <w:p w14:paraId="321D628C" w14:textId="77777777" w:rsidR="007B6BE3" w:rsidRPr="00625E9C" w:rsidRDefault="007B6BE3" w:rsidP="007B6BE3">
            <w:pPr>
              <w:spacing w:after="0" w:line="240" w:lineRule="auto"/>
              <w:rPr>
                <w:rFonts w:ascii="Arial" w:eastAsia="Times New Roman" w:hAnsi="Arial" w:cs="Arial"/>
                <w:b/>
                <w:bCs/>
                <w:sz w:val="16"/>
                <w:szCs w:val="16"/>
              </w:rPr>
            </w:pPr>
          </w:p>
        </w:tc>
        <w:tc>
          <w:tcPr>
            <w:tcW w:w="498" w:type="pct"/>
            <w:vMerge/>
            <w:tcBorders>
              <w:top w:val="single" w:sz="8" w:space="0" w:color="4F81BD"/>
              <w:left w:val="single" w:sz="8" w:space="0" w:color="0070C0"/>
              <w:bottom w:val="single" w:sz="8" w:space="0" w:color="4F81BD"/>
              <w:right w:val="single" w:sz="8" w:space="0" w:color="0070C0"/>
            </w:tcBorders>
            <w:vAlign w:val="center"/>
            <w:hideMark/>
          </w:tcPr>
          <w:p w14:paraId="2C5A5826" w14:textId="77777777" w:rsidR="007B6BE3" w:rsidRPr="00625E9C" w:rsidRDefault="007B6BE3" w:rsidP="007B6BE3">
            <w:pPr>
              <w:spacing w:after="0" w:line="240" w:lineRule="auto"/>
              <w:rPr>
                <w:rFonts w:ascii="Arial" w:eastAsia="Times New Roman" w:hAnsi="Arial" w:cs="Arial"/>
                <w:b/>
                <w:bCs/>
                <w:sz w:val="16"/>
                <w:szCs w:val="16"/>
              </w:rPr>
            </w:pPr>
          </w:p>
        </w:tc>
        <w:tc>
          <w:tcPr>
            <w:tcW w:w="951" w:type="pct"/>
            <w:vMerge/>
            <w:tcBorders>
              <w:top w:val="single" w:sz="8" w:space="0" w:color="4F81BD"/>
              <w:left w:val="nil"/>
              <w:bottom w:val="single" w:sz="8" w:space="0" w:color="4F81BD"/>
              <w:right w:val="single" w:sz="8" w:space="0" w:color="4F81BD"/>
            </w:tcBorders>
            <w:vAlign w:val="center"/>
            <w:hideMark/>
          </w:tcPr>
          <w:p w14:paraId="20F461A1" w14:textId="77777777" w:rsidR="007B6BE3" w:rsidRPr="00625E9C" w:rsidRDefault="007B6BE3" w:rsidP="007B6BE3">
            <w:pPr>
              <w:spacing w:after="0" w:line="240" w:lineRule="auto"/>
              <w:rPr>
                <w:rFonts w:ascii="Arial" w:eastAsia="Times New Roman" w:hAnsi="Arial" w:cs="Arial"/>
                <w:b/>
                <w:bCs/>
                <w:sz w:val="16"/>
                <w:szCs w:val="16"/>
              </w:rPr>
            </w:pPr>
          </w:p>
        </w:tc>
      </w:tr>
      <w:tr w:rsidR="00625E9C" w:rsidRPr="0087376B" w14:paraId="11CB0FBA" w14:textId="77777777" w:rsidTr="007B6BE3">
        <w:trPr>
          <w:trHeight w:val="46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1B3BF011" w14:textId="77777777" w:rsidR="00625E9C" w:rsidRPr="00625E9C" w:rsidRDefault="00625E9C" w:rsidP="00625E9C">
            <w:pPr>
              <w:spacing w:after="0" w:line="240" w:lineRule="auto"/>
              <w:rPr>
                <w:rFonts w:ascii="Arial" w:eastAsia="Times New Roman" w:hAnsi="Arial" w:cs="Arial"/>
                <w:bCs/>
                <w:color w:val="000000"/>
                <w:sz w:val="16"/>
                <w:szCs w:val="16"/>
              </w:rPr>
            </w:pPr>
            <w:r w:rsidRPr="00625E9C">
              <w:rPr>
                <w:rFonts w:ascii="Arial" w:eastAsia="Times New Roman" w:hAnsi="Arial" w:cs="Arial"/>
                <w:bCs/>
                <w:color w:val="000000"/>
                <w:sz w:val="16"/>
                <w:szCs w:val="16"/>
              </w:rPr>
              <w:t>IBRD</w:t>
            </w:r>
          </w:p>
        </w:tc>
        <w:tc>
          <w:tcPr>
            <w:tcW w:w="660" w:type="pct"/>
            <w:tcBorders>
              <w:top w:val="nil"/>
              <w:left w:val="nil"/>
              <w:bottom w:val="single" w:sz="8" w:space="0" w:color="4F81BD"/>
              <w:right w:val="single" w:sz="8" w:space="0" w:color="4F81BD"/>
            </w:tcBorders>
            <w:shd w:val="clear" w:color="auto" w:fill="auto"/>
            <w:vAlign w:val="center"/>
            <w:hideMark/>
          </w:tcPr>
          <w:p w14:paraId="657579C4"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Фиксна или варијабилна</w:t>
            </w:r>
          </w:p>
        </w:tc>
        <w:tc>
          <w:tcPr>
            <w:tcW w:w="480" w:type="pct"/>
            <w:tcBorders>
              <w:top w:val="nil"/>
              <w:left w:val="nil"/>
              <w:bottom w:val="single" w:sz="8" w:space="0" w:color="4F81BD"/>
              <w:right w:val="single" w:sz="8" w:space="0" w:color="0070C0"/>
            </w:tcBorders>
            <w:shd w:val="clear" w:color="auto" w:fill="auto"/>
            <w:vAlign w:val="center"/>
            <w:hideMark/>
          </w:tcPr>
          <w:p w14:paraId="66CD39E1"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5-10</w:t>
            </w:r>
          </w:p>
        </w:tc>
        <w:tc>
          <w:tcPr>
            <w:tcW w:w="480" w:type="pct"/>
            <w:tcBorders>
              <w:top w:val="nil"/>
              <w:left w:val="nil"/>
              <w:bottom w:val="single" w:sz="8" w:space="0" w:color="4F81BD"/>
              <w:right w:val="single" w:sz="8" w:space="0" w:color="4F81BD"/>
            </w:tcBorders>
            <w:shd w:val="clear" w:color="auto" w:fill="auto"/>
            <w:vAlign w:val="center"/>
            <w:hideMark/>
          </w:tcPr>
          <w:p w14:paraId="6A32593B"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18-30</w:t>
            </w:r>
          </w:p>
        </w:tc>
        <w:tc>
          <w:tcPr>
            <w:tcW w:w="480" w:type="pct"/>
            <w:tcBorders>
              <w:top w:val="nil"/>
              <w:left w:val="nil"/>
              <w:bottom w:val="single" w:sz="8" w:space="0" w:color="4F81BD"/>
              <w:right w:val="single" w:sz="8" w:space="0" w:color="4F81BD"/>
            </w:tcBorders>
            <w:shd w:val="clear" w:color="auto" w:fill="auto"/>
            <w:vAlign w:val="center"/>
            <w:hideMark/>
          </w:tcPr>
          <w:p w14:paraId="28962D3D"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EUR</w:t>
            </w:r>
          </w:p>
        </w:tc>
        <w:tc>
          <w:tcPr>
            <w:tcW w:w="741" w:type="pct"/>
            <w:tcBorders>
              <w:top w:val="nil"/>
              <w:left w:val="nil"/>
              <w:bottom w:val="single" w:sz="8" w:space="0" w:color="4F81BD"/>
              <w:right w:val="single" w:sz="8" w:space="0" w:color="0070C0"/>
            </w:tcBorders>
            <w:shd w:val="clear" w:color="auto" w:fill="auto"/>
            <w:vAlign w:val="center"/>
            <w:hideMark/>
          </w:tcPr>
          <w:p w14:paraId="245239DB"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67,89</w:t>
            </w:r>
          </w:p>
        </w:tc>
        <w:tc>
          <w:tcPr>
            <w:tcW w:w="498" w:type="pct"/>
            <w:tcBorders>
              <w:top w:val="nil"/>
              <w:left w:val="nil"/>
              <w:bottom w:val="single" w:sz="8" w:space="0" w:color="4F81BD"/>
              <w:right w:val="single" w:sz="8" w:space="0" w:color="0070C0"/>
            </w:tcBorders>
            <w:shd w:val="clear" w:color="auto" w:fill="auto"/>
            <w:vAlign w:val="center"/>
            <w:hideMark/>
          </w:tcPr>
          <w:p w14:paraId="01823EFC"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7,12%</w:t>
            </w:r>
          </w:p>
        </w:tc>
        <w:tc>
          <w:tcPr>
            <w:tcW w:w="951" w:type="pct"/>
            <w:tcBorders>
              <w:top w:val="nil"/>
              <w:left w:val="nil"/>
              <w:bottom w:val="single" w:sz="8" w:space="0" w:color="4F81BD"/>
              <w:right w:val="single" w:sz="8" w:space="0" w:color="4F81BD"/>
            </w:tcBorders>
            <w:shd w:val="clear" w:color="auto" w:fill="auto"/>
            <w:vAlign w:val="center"/>
            <w:hideMark/>
          </w:tcPr>
          <w:p w14:paraId="7CB6F467"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Ризик рефиксирања за варијабилну</w:t>
            </w:r>
          </w:p>
        </w:tc>
      </w:tr>
      <w:tr w:rsidR="00625E9C" w:rsidRPr="0087376B" w14:paraId="5F9BEB41" w14:textId="77777777" w:rsidTr="007B6BE3">
        <w:trPr>
          <w:trHeight w:val="46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36271EC6" w14:textId="77777777" w:rsidR="00625E9C" w:rsidRPr="00625E9C" w:rsidRDefault="00625E9C" w:rsidP="00625E9C">
            <w:pPr>
              <w:spacing w:after="0" w:line="240" w:lineRule="auto"/>
              <w:rPr>
                <w:rFonts w:ascii="Arial" w:eastAsia="Times New Roman" w:hAnsi="Arial" w:cs="Arial"/>
                <w:bCs/>
                <w:color w:val="000000"/>
                <w:sz w:val="16"/>
                <w:szCs w:val="16"/>
              </w:rPr>
            </w:pPr>
            <w:r w:rsidRPr="00625E9C">
              <w:rPr>
                <w:rFonts w:ascii="Arial" w:eastAsia="Times New Roman" w:hAnsi="Arial" w:cs="Arial"/>
                <w:bCs/>
                <w:color w:val="000000"/>
                <w:sz w:val="16"/>
                <w:szCs w:val="16"/>
              </w:rPr>
              <w:t>EIB</w:t>
            </w:r>
          </w:p>
        </w:tc>
        <w:tc>
          <w:tcPr>
            <w:tcW w:w="660" w:type="pct"/>
            <w:tcBorders>
              <w:top w:val="nil"/>
              <w:left w:val="nil"/>
              <w:bottom w:val="single" w:sz="8" w:space="0" w:color="4F81BD"/>
              <w:right w:val="single" w:sz="8" w:space="0" w:color="4F81BD"/>
            </w:tcBorders>
            <w:shd w:val="clear" w:color="auto" w:fill="auto"/>
            <w:vAlign w:val="center"/>
            <w:hideMark/>
          </w:tcPr>
          <w:p w14:paraId="15D4615B"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Фиксна или варијабилна</w:t>
            </w:r>
          </w:p>
        </w:tc>
        <w:tc>
          <w:tcPr>
            <w:tcW w:w="480" w:type="pct"/>
            <w:tcBorders>
              <w:top w:val="nil"/>
              <w:left w:val="nil"/>
              <w:bottom w:val="single" w:sz="8" w:space="0" w:color="4F81BD"/>
              <w:right w:val="single" w:sz="8" w:space="0" w:color="4F81BD"/>
            </w:tcBorders>
            <w:shd w:val="clear" w:color="auto" w:fill="auto"/>
            <w:vAlign w:val="center"/>
            <w:hideMark/>
          </w:tcPr>
          <w:p w14:paraId="0FA7A838"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4-5</w:t>
            </w:r>
          </w:p>
        </w:tc>
        <w:tc>
          <w:tcPr>
            <w:tcW w:w="480" w:type="pct"/>
            <w:tcBorders>
              <w:top w:val="nil"/>
              <w:left w:val="nil"/>
              <w:bottom w:val="single" w:sz="8" w:space="0" w:color="4F81BD"/>
              <w:right w:val="single" w:sz="8" w:space="0" w:color="4F81BD"/>
            </w:tcBorders>
            <w:shd w:val="clear" w:color="auto" w:fill="auto"/>
            <w:vAlign w:val="center"/>
            <w:hideMark/>
          </w:tcPr>
          <w:p w14:paraId="2DED1CC0"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25</w:t>
            </w:r>
          </w:p>
        </w:tc>
        <w:tc>
          <w:tcPr>
            <w:tcW w:w="480" w:type="pct"/>
            <w:tcBorders>
              <w:top w:val="nil"/>
              <w:left w:val="nil"/>
              <w:bottom w:val="single" w:sz="8" w:space="0" w:color="4F81BD"/>
              <w:right w:val="single" w:sz="8" w:space="0" w:color="4F81BD"/>
            </w:tcBorders>
            <w:shd w:val="clear" w:color="auto" w:fill="auto"/>
            <w:vAlign w:val="center"/>
            <w:hideMark/>
          </w:tcPr>
          <w:p w14:paraId="7C74B243"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EUR</w:t>
            </w:r>
          </w:p>
        </w:tc>
        <w:tc>
          <w:tcPr>
            <w:tcW w:w="741" w:type="pct"/>
            <w:tcBorders>
              <w:top w:val="nil"/>
              <w:left w:val="nil"/>
              <w:bottom w:val="single" w:sz="8" w:space="0" w:color="4F81BD"/>
              <w:right w:val="single" w:sz="8" w:space="0" w:color="4F81BD"/>
            </w:tcBorders>
            <w:shd w:val="clear" w:color="auto" w:fill="auto"/>
            <w:vAlign w:val="center"/>
            <w:hideMark/>
          </w:tcPr>
          <w:p w14:paraId="23E79D3E"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500,72</w:t>
            </w:r>
          </w:p>
        </w:tc>
        <w:tc>
          <w:tcPr>
            <w:tcW w:w="498" w:type="pct"/>
            <w:tcBorders>
              <w:top w:val="nil"/>
              <w:left w:val="nil"/>
              <w:bottom w:val="single" w:sz="8" w:space="0" w:color="4F81BD"/>
              <w:right w:val="single" w:sz="8" w:space="0" w:color="4F81BD"/>
            </w:tcBorders>
            <w:shd w:val="clear" w:color="auto" w:fill="auto"/>
            <w:vAlign w:val="center"/>
            <w:hideMark/>
          </w:tcPr>
          <w:p w14:paraId="07881264"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52,51%</w:t>
            </w:r>
          </w:p>
        </w:tc>
        <w:tc>
          <w:tcPr>
            <w:tcW w:w="951" w:type="pct"/>
            <w:tcBorders>
              <w:top w:val="nil"/>
              <w:left w:val="nil"/>
              <w:bottom w:val="single" w:sz="8" w:space="0" w:color="4F81BD"/>
              <w:right w:val="single" w:sz="8" w:space="0" w:color="4F81BD"/>
            </w:tcBorders>
            <w:shd w:val="clear" w:color="auto" w:fill="auto"/>
            <w:vAlign w:val="center"/>
            <w:hideMark/>
          </w:tcPr>
          <w:p w14:paraId="0A364905"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Ризик рефиксирања за варијабилну</w:t>
            </w:r>
          </w:p>
        </w:tc>
      </w:tr>
      <w:tr w:rsidR="00625E9C" w:rsidRPr="0087376B" w14:paraId="14AA6141" w14:textId="77777777" w:rsidTr="007B6BE3">
        <w:trPr>
          <w:trHeight w:val="46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7B9CFD6B" w14:textId="77777777" w:rsidR="00625E9C" w:rsidRPr="00625E9C" w:rsidRDefault="00625E9C" w:rsidP="00625E9C">
            <w:pPr>
              <w:spacing w:after="0" w:line="240" w:lineRule="auto"/>
              <w:rPr>
                <w:rFonts w:ascii="Arial" w:eastAsia="Times New Roman" w:hAnsi="Arial" w:cs="Arial"/>
                <w:bCs/>
                <w:color w:val="000000"/>
                <w:sz w:val="16"/>
                <w:szCs w:val="16"/>
              </w:rPr>
            </w:pPr>
            <w:r w:rsidRPr="00625E9C">
              <w:rPr>
                <w:rFonts w:ascii="Arial" w:eastAsia="Times New Roman" w:hAnsi="Arial" w:cs="Arial"/>
                <w:bCs/>
                <w:color w:val="000000"/>
                <w:sz w:val="16"/>
                <w:szCs w:val="16"/>
              </w:rPr>
              <w:t>EBRD</w:t>
            </w:r>
          </w:p>
        </w:tc>
        <w:tc>
          <w:tcPr>
            <w:tcW w:w="660" w:type="pct"/>
            <w:tcBorders>
              <w:top w:val="nil"/>
              <w:left w:val="nil"/>
              <w:bottom w:val="single" w:sz="8" w:space="0" w:color="4F81BD"/>
              <w:right w:val="single" w:sz="8" w:space="0" w:color="4F81BD"/>
            </w:tcBorders>
            <w:shd w:val="clear" w:color="auto" w:fill="auto"/>
            <w:vAlign w:val="center"/>
            <w:hideMark/>
          </w:tcPr>
          <w:p w14:paraId="50B2E5C9"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Фиксна или варијабилна</w:t>
            </w:r>
          </w:p>
        </w:tc>
        <w:tc>
          <w:tcPr>
            <w:tcW w:w="480" w:type="pct"/>
            <w:tcBorders>
              <w:top w:val="nil"/>
              <w:left w:val="nil"/>
              <w:bottom w:val="single" w:sz="8" w:space="0" w:color="4F81BD"/>
              <w:right w:val="single" w:sz="8" w:space="0" w:color="4F81BD"/>
            </w:tcBorders>
            <w:shd w:val="clear" w:color="auto" w:fill="auto"/>
            <w:vAlign w:val="center"/>
            <w:hideMark/>
          </w:tcPr>
          <w:p w14:paraId="7A2629DB"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3-5</w:t>
            </w:r>
          </w:p>
        </w:tc>
        <w:tc>
          <w:tcPr>
            <w:tcW w:w="480" w:type="pct"/>
            <w:tcBorders>
              <w:top w:val="nil"/>
              <w:left w:val="nil"/>
              <w:bottom w:val="single" w:sz="8" w:space="0" w:color="4F81BD"/>
              <w:right w:val="single" w:sz="8" w:space="0" w:color="4F81BD"/>
            </w:tcBorders>
            <w:shd w:val="clear" w:color="auto" w:fill="auto"/>
            <w:vAlign w:val="center"/>
            <w:hideMark/>
          </w:tcPr>
          <w:p w14:paraId="2520AE98"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12-15</w:t>
            </w:r>
          </w:p>
        </w:tc>
        <w:tc>
          <w:tcPr>
            <w:tcW w:w="480" w:type="pct"/>
            <w:tcBorders>
              <w:top w:val="nil"/>
              <w:left w:val="nil"/>
              <w:bottom w:val="single" w:sz="8" w:space="0" w:color="4F81BD"/>
              <w:right w:val="single" w:sz="8" w:space="0" w:color="4F81BD"/>
            </w:tcBorders>
            <w:shd w:val="clear" w:color="auto" w:fill="auto"/>
            <w:vAlign w:val="center"/>
            <w:hideMark/>
          </w:tcPr>
          <w:p w14:paraId="71D6D6C1"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EUR</w:t>
            </w:r>
          </w:p>
        </w:tc>
        <w:tc>
          <w:tcPr>
            <w:tcW w:w="741" w:type="pct"/>
            <w:tcBorders>
              <w:top w:val="nil"/>
              <w:left w:val="nil"/>
              <w:bottom w:val="single" w:sz="8" w:space="0" w:color="4F81BD"/>
              <w:right w:val="single" w:sz="8" w:space="0" w:color="4F81BD"/>
            </w:tcBorders>
            <w:shd w:val="clear" w:color="auto" w:fill="auto"/>
            <w:vAlign w:val="center"/>
            <w:hideMark/>
          </w:tcPr>
          <w:p w14:paraId="59F9ACA3" w14:textId="77777777" w:rsidR="00625E9C" w:rsidRPr="00625E9C" w:rsidRDefault="00625E9C" w:rsidP="00625E9C">
            <w:pPr>
              <w:spacing w:after="0" w:line="240" w:lineRule="auto"/>
              <w:jc w:val="right"/>
              <w:rPr>
                <w:rFonts w:ascii="Arial" w:eastAsia="Times New Roman" w:hAnsi="Arial" w:cs="Arial"/>
                <w:sz w:val="16"/>
                <w:szCs w:val="16"/>
                <w:highlight w:val="green"/>
              </w:rPr>
            </w:pPr>
            <w:r w:rsidRPr="00625E9C">
              <w:rPr>
                <w:rFonts w:ascii="Arial" w:eastAsia="Times New Roman" w:hAnsi="Arial" w:cs="Arial"/>
                <w:sz w:val="16"/>
                <w:szCs w:val="16"/>
              </w:rPr>
              <w:t>298,12</w:t>
            </w:r>
          </w:p>
        </w:tc>
        <w:tc>
          <w:tcPr>
            <w:tcW w:w="498" w:type="pct"/>
            <w:tcBorders>
              <w:top w:val="nil"/>
              <w:left w:val="nil"/>
              <w:bottom w:val="single" w:sz="8" w:space="0" w:color="4F81BD"/>
              <w:right w:val="single" w:sz="8" w:space="0" w:color="4F81BD"/>
            </w:tcBorders>
            <w:shd w:val="clear" w:color="auto" w:fill="auto"/>
            <w:vAlign w:val="center"/>
            <w:hideMark/>
          </w:tcPr>
          <w:p w14:paraId="5A60D33D" w14:textId="77777777" w:rsidR="00625E9C" w:rsidRPr="00625E9C" w:rsidRDefault="00625E9C" w:rsidP="00625E9C">
            <w:pPr>
              <w:spacing w:after="0" w:line="240" w:lineRule="auto"/>
              <w:jc w:val="right"/>
              <w:rPr>
                <w:rFonts w:ascii="Arial" w:eastAsia="Times New Roman" w:hAnsi="Arial" w:cs="Arial"/>
                <w:sz w:val="16"/>
                <w:szCs w:val="16"/>
                <w:highlight w:val="green"/>
              </w:rPr>
            </w:pPr>
            <w:r w:rsidRPr="00625E9C">
              <w:rPr>
                <w:rFonts w:ascii="Arial" w:eastAsia="Times New Roman" w:hAnsi="Arial" w:cs="Arial"/>
                <w:sz w:val="16"/>
                <w:szCs w:val="16"/>
              </w:rPr>
              <w:t>31,26%</w:t>
            </w:r>
          </w:p>
        </w:tc>
        <w:tc>
          <w:tcPr>
            <w:tcW w:w="951" w:type="pct"/>
            <w:tcBorders>
              <w:top w:val="nil"/>
              <w:left w:val="nil"/>
              <w:bottom w:val="single" w:sz="8" w:space="0" w:color="4F81BD"/>
              <w:right w:val="single" w:sz="8" w:space="0" w:color="4F81BD"/>
            </w:tcBorders>
            <w:shd w:val="clear" w:color="auto" w:fill="auto"/>
            <w:vAlign w:val="center"/>
            <w:hideMark/>
          </w:tcPr>
          <w:p w14:paraId="4F94A5D3"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Ризик рефиксирања за варијабилну</w:t>
            </w:r>
          </w:p>
        </w:tc>
      </w:tr>
      <w:tr w:rsidR="00625E9C" w:rsidRPr="0087376B" w14:paraId="40748AA5" w14:textId="77777777" w:rsidTr="007B6BE3">
        <w:trPr>
          <w:trHeight w:val="31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6761A6AB" w14:textId="77777777" w:rsidR="00625E9C" w:rsidRPr="00625E9C" w:rsidRDefault="00625E9C" w:rsidP="00625E9C">
            <w:pPr>
              <w:spacing w:after="0" w:line="240" w:lineRule="auto"/>
              <w:rPr>
                <w:rFonts w:ascii="Arial" w:eastAsia="Times New Roman" w:hAnsi="Arial" w:cs="Arial"/>
                <w:bCs/>
                <w:sz w:val="16"/>
                <w:szCs w:val="16"/>
              </w:rPr>
            </w:pPr>
            <w:r w:rsidRPr="00625E9C">
              <w:rPr>
                <w:rFonts w:ascii="Arial" w:eastAsia="Times New Roman" w:hAnsi="Arial" w:cs="Arial"/>
                <w:bCs/>
                <w:sz w:val="16"/>
                <w:szCs w:val="16"/>
              </w:rPr>
              <w:t>Кувајтски фонд</w:t>
            </w:r>
          </w:p>
        </w:tc>
        <w:tc>
          <w:tcPr>
            <w:tcW w:w="660" w:type="pct"/>
            <w:tcBorders>
              <w:top w:val="nil"/>
              <w:left w:val="nil"/>
              <w:bottom w:val="single" w:sz="8" w:space="0" w:color="4F81BD"/>
              <w:right w:val="single" w:sz="8" w:space="0" w:color="4F81BD"/>
            </w:tcBorders>
            <w:shd w:val="clear" w:color="auto" w:fill="auto"/>
            <w:vAlign w:val="center"/>
            <w:hideMark/>
          </w:tcPr>
          <w:p w14:paraId="2843E6D5"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Фиксна</w:t>
            </w:r>
          </w:p>
        </w:tc>
        <w:tc>
          <w:tcPr>
            <w:tcW w:w="480" w:type="pct"/>
            <w:tcBorders>
              <w:top w:val="nil"/>
              <w:left w:val="nil"/>
              <w:bottom w:val="single" w:sz="8" w:space="0" w:color="4F81BD"/>
              <w:right w:val="single" w:sz="8" w:space="0" w:color="4F81BD"/>
            </w:tcBorders>
            <w:shd w:val="clear" w:color="auto" w:fill="auto"/>
            <w:vAlign w:val="center"/>
            <w:hideMark/>
          </w:tcPr>
          <w:p w14:paraId="4FFB44C2"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5</w:t>
            </w:r>
          </w:p>
        </w:tc>
        <w:tc>
          <w:tcPr>
            <w:tcW w:w="480" w:type="pct"/>
            <w:tcBorders>
              <w:top w:val="nil"/>
              <w:left w:val="nil"/>
              <w:bottom w:val="single" w:sz="8" w:space="0" w:color="4F81BD"/>
              <w:right w:val="single" w:sz="8" w:space="0" w:color="4F81BD"/>
            </w:tcBorders>
            <w:shd w:val="clear" w:color="auto" w:fill="auto"/>
            <w:vAlign w:val="center"/>
            <w:hideMark/>
          </w:tcPr>
          <w:p w14:paraId="758995F9"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25</w:t>
            </w:r>
          </w:p>
        </w:tc>
        <w:tc>
          <w:tcPr>
            <w:tcW w:w="480" w:type="pct"/>
            <w:tcBorders>
              <w:top w:val="nil"/>
              <w:left w:val="nil"/>
              <w:bottom w:val="single" w:sz="8" w:space="0" w:color="4F81BD"/>
              <w:right w:val="single" w:sz="8" w:space="0" w:color="4F81BD"/>
            </w:tcBorders>
            <w:shd w:val="clear" w:color="auto" w:fill="auto"/>
            <w:vAlign w:val="center"/>
            <w:hideMark/>
          </w:tcPr>
          <w:p w14:paraId="3A4B66F2"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KWD</w:t>
            </w:r>
          </w:p>
        </w:tc>
        <w:tc>
          <w:tcPr>
            <w:tcW w:w="741" w:type="pct"/>
            <w:tcBorders>
              <w:top w:val="nil"/>
              <w:left w:val="nil"/>
              <w:bottom w:val="single" w:sz="8" w:space="0" w:color="4F81BD"/>
              <w:right w:val="single" w:sz="8" w:space="0" w:color="4F81BD"/>
            </w:tcBorders>
            <w:shd w:val="clear" w:color="auto" w:fill="auto"/>
            <w:vAlign w:val="center"/>
            <w:hideMark/>
          </w:tcPr>
          <w:p w14:paraId="79B9248F" w14:textId="77777777" w:rsidR="00625E9C" w:rsidRPr="00625E9C" w:rsidRDefault="00625E9C" w:rsidP="00625E9C">
            <w:pPr>
              <w:spacing w:after="0" w:line="240" w:lineRule="auto"/>
              <w:jc w:val="right"/>
              <w:rPr>
                <w:rFonts w:ascii="Arial" w:eastAsia="Times New Roman" w:hAnsi="Arial" w:cs="Arial"/>
                <w:sz w:val="16"/>
                <w:szCs w:val="16"/>
                <w:highlight w:val="green"/>
              </w:rPr>
            </w:pPr>
            <w:r w:rsidRPr="00625E9C">
              <w:rPr>
                <w:rFonts w:ascii="Arial" w:eastAsia="Times New Roman" w:hAnsi="Arial" w:cs="Arial"/>
                <w:sz w:val="16"/>
                <w:szCs w:val="16"/>
              </w:rPr>
              <w:t>26,98</w:t>
            </w:r>
          </w:p>
        </w:tc>
        <w:tc>
          <w:tcPr>
            <w:tcW w:w="498" w:type="pct"/>
            <w:tcBorders>
              <w:top w:val="nil"/>
              <w:left w:val="nil"/>
              <w:bottom w:val="single" w:sz="8" w:space="0" w:color="4F81BD"/>
              <w:right w:val="single" w:sz="8" w:space="0" w:color="4F81BD"/>
            </w:tcBorders>
            <w:shd w:val="clear" w:color="auto" w:fill="auto"/>
            <w:vAlign w:val="center"/>
            <w:hideMark/>
          </w:tcPr>
          <w:p w14:paraId="4EBC6933" w14:textId="77777777" w:rsidR="00625E9C" w:rsidRPr="00625E9C" w:rsidRDefault="00625E9C" w:rsidP="00625E9C">
            <w:pPr>
              <w:spacing w:after="0" w:line="240" w:lineRule="auto"/>
              <w:jc w:val="right"/>
              <w:rPr>
                <w:rFonts w:ascii="Arial" w:eastAsia="Times New Roman" w:hAnsi="Arial" w:cs="Arial"/>
                <w:sz w:val="16"/>
                <w:szCs w:val="16"/>
                <w:highlight w:val="green"/>
              </w:rPr>
            </w:pPr>
            <w:r w:rsidRPr="00625E9C">
              <w:rPr>
                <w:rFonts w:ascii="Arial" w:eastAsia="Times New Roman" w:hAnsi="Arial" w:cs="Arial"/>
                <w:sz w:val="16"/>
                <w:szCs w:val="16"/>
              </w:rPr>
              <w:t>2,83%</w:t>
            </w:r>
          </w:p>
        </w:tc>
        <w:tc>
          <w:tcPr>
            <w:tcW w:w="951" w:type="pct"/>
            <w:tcBorders>
              <w:top w:val="nil"/>
              <w:left w:val="nil"/>
              <w:bottom w:val="single" w:sz="8" w:space="0" w:color="4F81BD"/>
              <w:right w:val="single" w:sz="8" w:space="0" w:color="4F81BD"/>
            </w:tcBorders>
            <w:shd w:val="clear" w:color="auto" w:fill="auto"/>
            <w:vAlign w:val="center"/>
            <w:hideMark/>
          </w:tcPr>
          <w:p w14:paraId="2D1CAF0F"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Валутни ризик</w:t>
            </w:r>
          </w:p>
        </w:tc>
      </w:tr>
      <w:tr w:rsidR="00625E9C" w:rsidRPr="0087376B" w14:paraId="2ED07217" w14:textId="77777777" w:rsidTr="007B6BE3">
        <w:trPr>
          <w:trHeight w:val="31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51F7BE9F" w14:textId="77777777" w:rsidR="00625E9C" w:rsidRPr="00625E9C" w:rsidRDefault="00625E9C" w:rsidP="00625E9C">
            <w:pPr>
              <w:spacing w:after="0" w:line="240" w:lineRule="auto"/>
              <w:rPr>
                <w:rFonts w:ascii="Arial" w:eastAsia="Times New Roman" w:hAnsi="Arial" w:cs="Arial"/>
                <w:bCs/>
                <w:sz w:val="16"/>
                <w:szCs w:val="16"/>
              </w:rPr>
            </w:pPr>
            <w:r w:rsidRPr="00625E9C">
              <w:rPr>
                <w:rFonts w:ascii="Arial" w:eastAsia="Times New Roman" w:hAnsi="Arial" w:cs="Arial"/>
                <w:bCs/>
                <w:sz w:val="16"/>
                <w:szCs w:val="16"/>
              </w:rPr>
              <w:t>Саудијски фонд</w:t>
            </w:r>
          </w:p>
        </w:tc>
        <w:tc>
          <w:tcPr>
            <w:tcW w:w="660" w:type="pct"/>
            <w:tcBorders>
              <w:top w:val="nil"/>
              <w:left w:val="nil"/>
              <w:bottom w:val="single" w:sz="8" w:space="0" w:color="4F81BD"/>
              <w:right w:val="single" w:sz="8" w:space="0" w:color="4F81BD"/>
            </w:tcBorders>
            <w:shd w:val="clear" w:color="auto" w:fill="auto"/>
            <w:vAlign w:val="center"/>
            <w:hideMark/>
          </w:tcPr>
          <w:p w14:paraId="2858BC12"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Фиксна</w:t>
            </w:r>
          </w:p>
        </w:tc>
        <w:tc>
          <w:tcPr>
            <w:tcW w:w="480" w:type="pct"/>
            <w:tcBorders>
              <w:top w:val="nil"/>
              <w:left w:val="nil"/>
              <w:bottom w:val="single" w:sz="8" w:space="0" w:color="4F81BD"/>
              <w:right w:val="single" w:sz="8" w:space="0" w:color="4F81BD"/>
            </w:tcBorders>
            <w:shd w:val="clear" w:color="auto" w:fill="auto"/>
            <w:vAlign w:val="center"/>
            <w:hideMark/>
          </w:tcPr>
          <w:p w14:paraId="6F33BE00"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5</w:t>
            </w:r>
          </w:p>
        </w:tc>
        <w:tc>
          <w:tcPr>
            <w:tcW w:w="480" w:type="pct"/>
            <w:tcBorders>
              <w:top w:val="nil"/>
              <w:left w:val="nil"/>
              <w:bottom w:val="single" w:sz="8" w:space="0" w:color="4F81BD"/>
              <w:right w:val="single" w:sz="8" w:space="0" w:color="4F81BD"/>
            </w:tcBorders>
            <w:shd w:val="clear" w:color="auto" w:fill="auto"/>
            <w:vAlign w:val="center"/>
            <w:hideMark/>
          </w:tcPr>
          <w:p w14:paraId="2F0D006F"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25</w:t>
            </w:r>
          </w:p>
        </w:tc>
        <w:tc>
          <w:tcPr>
            <w:tcW w:w="480" w:type="pct"/>
            <w:tcBorders>
              <w:top w:val="nil"/>
              <w:left w:val="nil"/>
              <w:bottom w:val="single" w:sz="8" w:space="0" w:color="4F81BD"/>
              <w:right w:val="single" w:sz="8" w:space="0" w:color="4F81BD"/>
            </w:tcBorders>
            <w:shd w:val="clear" w:color="auto" w:fill="auto"/>
            <w:vAlign w:val="center"/>
            <w:hideMark/>
          </w:tcPr>
          <w:p w14:paraId="20D674AC"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SAR</w:t>
            </w:r>
          </w:p>
        </w:tc>
        <w:tc>
          <w:tcPr>
            <w:tcW w:w="741" w:type="pct"/>
            <w:tcBorders>
              <w:top w:val="nil"/>
              <w:left w:val="nil"/>
              <w:bottom w:val="single" w:sz="8" w:space="0" w:color="4F81BD"/>
              <w:right w:val="single" w:sz="8" w:space="0" w:color="4F81BD"/>
            </w:tcBorders>
            <w:shd w:val="clear" w:color="auto" w:fill="auto"/>
            <w:vAlign w:val="center"/>
            <w:hideMark/>
          </w:tcPr>
          <w:p w14:paraId="5E46B5DC"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3,12</w:t>
            </w:r>
          </w:p>
        </w:tc>
        <w:tc>
          <w:tcPr>
            <w:tcW w:w="498" w:type="pct"/>
            <w:tcBorders>
              <w:top w:val="nil"/>
              <w:left w:val="nil"/>
              <w:bottom w:val="single" w:sz="8" w:space="0" w:color="4F81BD"/>
              <w:right w:val="single" w:sz="8" w:space="0" w:color="4F81BD"/>
            </w:tcBorders>
            <w:shd w:val="clear" w:color="auto" w:fill="auto"/>
            <w:vAlign w:val="center"/>
            <w:hideMark/>
          </w:tcPr>
          <w:p w14:paraId="59BBAEC8"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0,33%</w:t>
            </w:r>
          </w:p>
        </w:tc>
        <w:tc>
          <w:tcPr>
            <w:tcW w:w="951" w:type="pct"/>
            <w:tcBorders>
              <w:top w:val="nil"/>
              <w:left w:val="nil"/>
              <w:bottom w:val="single" w:sz="8" w:space="0" w:color="4F81BD"/>
              <w:right w:val="single" w:sz="8" w:space="0" w:color="4F81BD"/>
            </w:tcBorders>
            <w:shd w:val="clear" w:color="auto" w:fill="auto"/>
            <w:vAlign w:val="center"/>
            <w:hideMark/>
          </w:tcPr>
          <w:p w14:paraId="102D2426"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Валутни ризик</w:t>
            </w:r>
          </w:p>
        </w:tc>
      </w:tr>
      <w:tr w:rsidR="00625E9C" w:rsidRPr="0087376B" w14:paraId="13979F32" w14:textId="77777777" w:rsidTr="007B6BE3">
        <w:trPr>
          <w:trHeight w:val="31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0DB59D3F" w14:textId="77777777" w:rsidR="00625E9C" w:rsidRPr="00625E9C" w:rsidRDefault="00625E9C" w:rsidP="00625E9C">
            <w:pPr>
              <w:spacing w:after="0" w:line="240" w:lineRule="auto"/>
              <w:rPr>
                <w:rFonts w:ascii="Arial" w:eastAsia="Times New Roman" w:hAnsi="Arial" w:cs="Arial"/>
                <w:bCs/>
                <w:sz w:val="16"/>
                <w:szCs w:val="16"/>
              </w:rPr>
            </w:pPr>
            <w:r w:rsidRPr="00625E9C">
              <w:rPr>
                <w:rFonts w:ascii="Arial" w:eastAsia="Times New Roman" w:hAnsi="Arial" w:cs="Arial"/>
                <w:bCs/>
                <w:sz w:val="16"/>
                <w:szCs w:val="16"/>
              </w:rPr>
              <w:t>OPEC фонд</w:t>
            </w:r>
          </w:p>
        </w:tc>
        <w:tc>
          <w:tcPr>
            <w:tcW w:w="660" w:type="pct"/>
            <w:tcBorders>
              <w:top w:val="nil"/>
              <w:left w:val="nil"/>
              <w:bottom w:val="single" w:sz="8" w:space="0" w:color="4F81BD"/>
              <w:right w:val="single" w:sz="8" w:space="0" w:color="4F81BD"/>
            </w:tcBorders>
            <w:shd w:val="clear" w:color="auto" w:fill="auto"/>
            <w:vAlign w:val="center"/>
            <w:hideMark/>
          </w:tcPr>
          <w:p w14:paraId="0B5E38E8"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Фиксна</w:t>
            </w:r>
          </w:p>
        </w:tc>
        <w:tc>
          <w:tcPr>
            <w:tcW w:w="480" w:type="pct"/>
            <w:tcBorders>
              <w:top w:val="nil"/>
              <w:left w:val="nil"/>
              <w:bottom w:val="single" w:sz="8" w:space="0" w:color="4F81BD"/>
              <w:right w:val="single" w:sz="8" w:space="0" w:color="4F81BD"/>
            </w:tcBorders>
            <w:shd w:val="clear" w:color="auto" w:fill="auto"/>
            <w:vAlign w:val="center"/>
            <w:hideMark/>
          </w:tcPr>
          <w:p w14:paraId="38B9C68B"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10</w:t>
            </w:r>
          </w:p>
        </w:tc>
        <w:tc>
          <w:tcPr>
            <w:tcW w:w="480" w:type="pct"/>
            <w:tcBorders>
              <w:top w:val="nil"/>
              <w:left w:val="nil"/>
              <w:bottom w:val="single" w:sz="8" w:space="0" w:color="4F81BD"/>
              <w:right w:val="single" w:sz="8" w:space="0" w:color="4F81BD"/>
            </w:tcBorders>
            <w:shd w:val="clear" w:color="auto" w:fill="auto"/>
            <w:vAlign w:val="center"/>
            <w:hideMark/>
          </w:tcPr>
          <w:p w14:paraId="4A02870E"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20</w:t>
            </w:r>
          </w:p>
        </w:tc>
        <w:tc>
          <w:tcPr>
            <w:tcW w:w="480" w:type="pct"/>
            <w:tcBorders>
              <w:top w:val="nil"/>
              <w:left w:val="nil"/>
              <w:bottom w:val="single" w:sz="8" w:space="0" w:color="4F81BD"/>
              <w:right w:val="single" w:sz="8" w:space="0" w:color="4F81BD"/>
            </w:tcBorders>
            <w:shd w:val="clear" w:color="auto" w:fill="auto"/>
            <w:vAlign w:val="center"/>
            <w:hideMark/>
          </w:tcPr>
          <w:p w14:paraId="5E0405A4"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USD</w:t>
            </w:r>
          </w:p>
        </w:tc>
        <w:tc>
          <w:tcPr>
            <w:tcW w:w="741" w:type="pct"/>
            <w:tcBorders>
              <w:top w:val="nil"/>
              <w:left w:val="nil"/>
              <w:bottom w:val="single" w:sz="8" w:space="0" w:color="4F81BD"/>
              <w:right w:val="single" w:sz="8" w:space="0" w:color="4F81BD"/>
            </w:tcBorders>
            <w:shd w:val="clear" w:color="auto" w:fill="auto"/>
            <w:vAlign w:val="center"/>
            <w:hideMark/>
          </w:tcPr>
          <w:p w14:paraId="5B595173" w14:textId="77777777" w:rsidR="00625E9C" w:rsidRPr="00625E9C" w:rsidRDefault="00625E9C" w:rsidP="00625E9C">
            <w:pPr>
              <w:spacing w:after="0" w:line="240" w:lineRule="auto"/>
              <w:jc w:val="right"/>
              <w:rPr>
                <w:rFonts w:ascii="Arial" w:eastAsia="Times New Roman" w:hAnsi="Arial" w:cs="Arial"/>
                <w:sz w:val="16"/>
                <w:szCs w:val="16"/>
                <w:highlight w:val="green"/>
              </w:rPr>
            </w:pPr>
            <w:r w:rsidRPr="00625E9C">
              <w:rPr>
                <w:rFonts w:ascii="Arial" w:eastAsia="Times New Roman" w:hAnsi="Arial" w:cs="Arial"/>
                <w:sz w:val="16"/>
                <w:szCs w:val="16"/>
              </w:rPr>
              <w:t>15,85</w:t>
            </w:r>
          </w:p>
        </w:tc>
        <w:tc>
          <w:tcPr>
            <w:tcW w:w="498" w:type="pct"/>
            <w:tcBorders>
              <w:top w:val="nil"/>
              <w:left w:val="nil"/>
              <w:bottom w:val="single" w:sz="8" w:space="0" w:color="4F81BD"/>
              <w:right w:val="single" w:sz="8" w:space="0" w:color="4F81BD"/>
            </w:tcBorders>
            <w:shd w:val="clear" w:color="auto" w:fill="auto"/>
            <w:vAlign w:val="center"/>
            <w:hideMark/>
          </w:tcPr>
          <w:p w14:paraId="0C967FB3" w14:textId="77777777" w:rsidR="00625E9C" w:rsidRPr="00625E9C" w:rsidRDefault="00625E9C" w:rsidP="00625E9C">
            <w:pPr>
              <w:spacing w:after="0" w:line="240" w:lineRule="auto"/>
              <w:jc w:val="right"/>
              <w:rPr>
                <w:rFonts w:ascii="Arial" w:eastAsia="Times New Roman" w:hAnsi="Arial" w:cs="Arial"/>
                <w:sz w:val="16"/>
                <w:szCs w:val="16"/>
                <w:highlight w:val="green"/>
              </w:rPr>
            </w:pPr>
            <w:r w:rsidRPr="00625E9C">
              <w:rPr>
                <w:rFonts w:ascii="Arial" w:eastAsia="Times New Roman" w:hAnsi="Arial" w:cs="Arial"/>
                <w:sz w:val="16"/>
                <w:szCs w:val="16"/>
              </w:rPr>
              <w:t>1,66%</w:t>
            </w:r>
          </w:p>
        </w:tc>
        <w:tc>
          <w:tcPr>
            <w:tcW w:w="951" w:type="pct"/>
            <w:tcBorders>
              <w:top w:val="nil"/>
              <w:left w:val="nil"/>
              <w:bottom w:val="single" w:sz="8" w:space="0" w:color="4F81BD"/>
              <w:right w:val="single" w:sz="8" w:space="0" w:color="4F81BD"/>
            </w:tcBorders>
            <w:shd w:val="clear" w:color="auto" w:fill="auto"/>
            <w:vAlign w:val="center"/>
            <w:hideMark/>
          </w:tcPr>
          <w:p w14:paraId="04AD9E1E"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Валутни ризик</w:t>
            </w:r>
          </w:p>
        </w:tc>
      </w:tr>
      <w:tr w:rsidR="00625E9C" w:rsidRPr="0087376B" w14:paraId="3850E330" w14:textId="77777777" w:rsidTr="007B6BE3">
        <w:trPr>
          <w:trHeight w:val="46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3AC300C7" w14:textId="77777777" w:rsidR="00625E9C" w:rsidRPr="00625E9C" w:rsidRDefault="00625E9C" w:rsidP="00625E9C">
            <w:pPr>
              <w:spacing w:after="0" w:line="240" w:lineRule="auto"/>
              <w:rPr>
                <w:rFonts w:ascii="Arial" w:eastAsia="Times New Roman" w:hAnsi="Arial" w:cs="Arial"/>
                <w:bCs/>
                <w:sz w:val="16"/>
                <w:szCs w:val="16"/>
              </w:rPr>
            </w:pPr>
            <w:r w:rsidRPr="00625E9C">
              <w:rPr>
                <w:rFonts w:ascii="Arial" w:eastAsia="Times New Roman" w:hAnsi="Arial" w:cs="Arial"/>
                <w:bCs/>
                <w:sz w:val="16"/>
                <w:szCs w:val="16"/>
              </w:rPr>
              <w:t>CEB</w:t>
            </w:r>
          </w:p>
        </w:tc>
        <w:tc>
          <w:tcPr>
            <w:tcW w:w="660" w:type="pct"/>
            <w:tcBorders>
              <w:top w:val="nil"/>
              <w:left w:val="nil"/>
              <w:bottom w:val="single" w:sz="8" w:space="0" w:color="4F81BD"/>
              <w:right w:val="single" w:sz="8" w:space="0" w:color="4F81BD"/>
            </w:tcBorders>
            <w:shd w:val="clear" w:color="auto" w:fill="auto"/>
            <w:vAlign w:val="center"/>
            <w:hideMark/>
          </w:tcPr>
          <w:p w14:paraId="6601B44C"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Фиксна или варијабилна</w:t>
            </w:r>
          </w:p>
        </w:tc>
        <w:tc>
          <w:tcPr>
            <w:tcW w:w="480" w:type="pct"/>
            <w:tcBorders>
              <w:top w:val="nil"/>
              <w:left w:val="nil"/>
              <w:bottom w:val="single" w:sz="8" w:space="0" w:color="4F81BD"/>
              <w:right w:val="single" w:sz="8" w:space="0" w:color="4F81BD"/>
            </w:tcBorders>
            <w:shd w:val="clear" w:color="auto" w:fill="auto"/>
            <w:vAlign w:val="center"/>
            <w:hideMark/>
          </w:tcPr>
          <w:p w14:paraId="6A6EB7ED"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5</w:t>
            </w:r>
          </w:p>
        </w:tc>
        <w:tc>
          <w:tcPr>
            <w:tcW w:w="480" w:type="pct"/>
            <w:tcBorders>
              <w:top w:val="nil"/>
              <w:left w:val="nil"/>
              <w:bottom w:val="single" w:sz="8" w:space="0" w:color="4F81BD"/>
              <w:right w:val="single" w:sz="8" w:space="0" w:color="4F81BD"/>
            </w:tcBorders>
            <w:shd w:val="clear" w:color="auto" w:fill="auto"/>
            <w:vAlign w:val="center"/>
            <w:hideMark/>
          </w:tcPr>
          <w:p w14:paraId="3492E3A7"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10</w:t>
            </w:r>
          </w:p>
        </w:tc>
        <w:tc>
          <w:tcPr>
            <w:tcW w:w="480" w:type="pct"/>
            <w:tcBorders>
              <w:top w:val="nil"/>
              <w:left w:val="nil"/>
              <w:bottom w:val="single" w:sz="8" w:space="0" w:color="4F81BD"/>
              <w:right w:val="single" w:sz="8" w:space="0" w:color="4F81BD"/>
            </w:tcBorders>
            <w:shd w:val="clear" w:color="auto" w:fill="auto"/>
            <w:vAlign w:val="center"/>
            <w:hideMark/>
          </w:tcPr>
          <w:p w14:paraId="02344E5F"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EUR</w:t>
            </w:r>
          </w:p>
        </w:tc>
        <w:tc>
          <w:tcPr>
            <w:tcW w:w="741" w:type="pct"/>
            <w:tcBorders>
              <w:top w:val="nil"/>
              <w:left w:val="nil"/>
              <w:bottom w:val="single" w:sz="8" w:space="0" w:color="4F81BD"/>
              <w:right w:val="single" w:sz="8" w:space="0" w:color="4F81BD"/>
            </w:tcBorders>
            <w:shd w:val="clear" w:color="auto" w:fill="auto"/>
            <w:vAlign w:val="center"/>
            <w:hideMark/>
          </w:tcPr>
          <w:p w14:paraId="2BAF37AD"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18,96</w:t>
            </w:r>
          </w:p>
        </w:tc>
        <w:tc>
          <w:tcPr>
            <w:tcW w:w="498" w:type="pct"/>
            <w:tcBorders>
              <w:top w:val="nil"/>
              <w:left w:val="nil"/>
              <w:bottom w:val="single" w:sz="8" w:space="0" w:color="4F81BD"/>
              <w:right w:val="single" w:sz="8" w:space="0" w:color="4F81BD"/>
            </w:tcBorders>
            <w:shd w:val="clear" w:color="auto" w:fill="auto"/>
            <w:vAlign w:val="center"/>
            <w:hideMark/>
          </w:tcPr>
          <w:p w14:paraId="7BF7C548"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1,99%</w:t>
            </w:r>
          </w:p>
        </w:tc>
        <w:tc>
          <w:tcPr>
            <w:tcW w:w="951" w:type="pct"/>
            <w:tcBorders>
              <w:top w:val="nil"/>
              <w:left w:val="nil"/>
              <w:bottom w:val="single" w:sz="8" w:space="0" w:color="4F81BD"/>
              <w:right w:val="single" w:sz="8" w:space="0" w:color="4F81BD"/>
            </w:tcBorders>
            <w:shd w:val="clear" w:color="auto" w:fill="auto"/>
            <w:vAlign w:val="center"/>
            <w:hideMark/>
          </w:tcPr>
          <w:p w14:paraId="6B585F67"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Ризик рефиксирања за варијабилну</w:t>
            </w:r>
          </w:p>
        </w:tc>
      </w:tr>
      <w:tr w:rsidR="00625E9C" w:rsidRPr="0087376B" w14:paraId="4649700C" w14:textId="77777777" w:rsidTr="007B6BE3">
        <w:trPr>
          <w:trHeight w:val="690"/>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12286A27" w14:textId="77777777" w:rsidR="00625E9C" w:rsidRPr="00625E9C" w:rsidRDefault="00625E9C" w:rsidP="00625E9C">
            <w:pPr>
              <w:spacing w:after="0" w:line="240" w:lineRule="auto"/>
              <w:rPr>
                <w:rFonts w:ascii="Arial" w:eastAsia="Times New Roman" w:hAnsi="Arial" w:cs="Arial"/>
                <w:bCs/>
                <w:sz w:val="16"/>
                <w:szCs w:val="16"/>
              </w:rPr>
            </w:pPr>
            <w:r w:rsidRPr="00625E9C">
              <w:rPr>
                <w:rFonts w:ascii="Arial" w:eastAsia="Times New Roman" w:hAnsi="Arial" w:cs="Arial"/>
                <w:bCs/>
                <w:sz w:val="16"/>
                <w:szCs w:val="16"/>
              </w:rPr>
              <w:t>IFAD</w:t>
            </w:r>
          </w:p>
        </w:tc>
        <w:tc>
          <w:tcPr>
            <w:tcW w:w="660" w:type="pct"/>
            <w:tcBorders>
              <w:top w:val="nil"/>
              <w:left w:val="nil"/>
              <w:bottom w:val="single" w:sz="8" w:space="0" w:color="4F81BD"/>
              <w:right w:val="single" w:sz="8" w:space="0" w:color="4F81BD"/>
            </w:tcBorders>
            <w:shd w:val="clear" w:color="auto" w:fill="auto"/>
            <w:vAlign w:val="center"/>
            <w:hideMark/>
          </w:tcPr>
          <w:p w14:paraId="337D191C"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Фиксна</w:t>
            </w:r>
          </w:p>
        </w:tc>
        <w:tc>
          <w:tcPr>
            <w:tcW w:w="480" w:type="pct"/>
            <w:tcBorders>
              <w:top w:val="nil"/>
              <w:left w:val="nil"/>
              <w:bottom w:val="single" w:sz="8" w:space="0" w:color="4F81BD"/>
              <w:right w:val="single" w:sz="8" w:space="0" w:color="4F81BD"/>
            </w:tcBorders>
            <w:shd w:val="clear" w:color="auto" w:fill="auto"/>
            <w:vAlign w:val="center"/>
            <w:hideMark/>
          </w:tcPr>
          <w:p w14:paraId="613910D3"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10</w:t>
            </w:r>
          </w:p>
        </w:tc>
        <w:tc>
          <w:tcPr>
            <w:tcW w:w="480" w:type="pct"/>
            <w:tcBorders>
              <w:top w:val="nil"/>
              <w:left w:val="nil"/>
              <w:bottom w:val="single" w:sz="8" w:space="0" w:color="4F81BD"/>
              <w:right w:val="single" w:sz="8" w:space="0" w:color="4F81BD"/>
            </w:tcBorders>
            <w:shd w:val="clear" w:color="auto" w:fill="auto"/>
            <w:vAlign w:val="center"/>
            <w:hideMark/>
          </w:tcPr>
          <w:p w14:paraId="65475DB2"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30</w:t>
            </w:r>
          </w:p>
        </w:tc>
        <w:tc>
          <w:tcPr>
            <w:tcW w:w="480" w:type="pct"/>
            <w:tcBorders>
              <w:top w:val="nil"/>
              <w:left w:val="nil"/>
              <w:bottom w:val="single" w:sz="8" w:space="0" w:color="4F81BD"/>
              <w:right w:val="single" w:sz="8" w:space="0" w:color="4F81BD"/>
            </w:tcBorders>
            <w:shd w:val="clear" w:color="auto" w:fill="auto"/>
            <w:vAlign w:val="center"/>
            <w:hideMark/>
          </w:tcPr>
          <w:p w14:paraId="7DE256D8"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SDR</w:t>
            </w:r>
          </w:p>
        </w:tc>
        <w:tc>
          <w:tcPr>
            <w:tcW w:w="741" w:type="pct"/>
            <w:tcBorders>
              <w:top w:val="nil"/>
              <w:left w:val="nil"/>
              <w:bottom w:val="single" w:sz="8" w:space="0" w:color="4F81BD"/>
              <w:right w:val="single" w:sz="8" w:space="0" w:color="4F81BD"/>
            </w:tcBorders>
            <w:shd w:val="clear" w:color="auto" w:fill="auto"/>
            <w:vAlign w:val="center"/>
            <w:hideMark/>
          </w:tcPr>
          <w:p w14:paraId="6F2A8CDC"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4,2</w:t>
            </w:r>
          </w:p>
        </w:tc>
        <w:tc>
          <w:tcPr>
            <w:tcW w:w="498" w:type="pct"/>
            <w:tcBorders>
              <w:top w:val="nil"/>
              <w:left w:val="nil"/>
              <w:bottom w:val="single" w:sz="8" w:space="0" w:color="4F81BD"/>
              <w:right w:val="single" w:sz="8" w:space="0" w:color="4F81BD"/>
            </w:tcBorders>
            <w:shd w:val="clear" w:color="auto" w:fill="auto"/>
            <w:vAlign w:val="center"/>
            <w:hideMark/>
          </w:tcPr>
          <w:p w14:paraId="4E6ABF72"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0,44%</w:t>
            </w:r>
          </w:p>
        </w:tc>
        <w:tc>
          <w:tcPr>
            <w:tcW w:w="951" w:type="pct"/>
            <w:tcBorders>
              <w:top w:val="nil"/>
              <w:left w:val="nil"/>
              <w:bottom w:val="single" w:sz="8" w:space="0" w:color="4F81BD"/>
              <w:right w:val="single" w:sz="8" w:space="0" w:color="4F81BD"/>
            </w:tcBorders>
            <w:shd w:val="clear" w:color="auto" w:fill="auto"/>
            <w:vAlign w:val="center"/>
            <w:hideMark/>
          </w:tcPr>
          <w:p w14:paraId="703F4510"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Ризик рефинансирања и валутни ризик</w:t>
            </w:r>
          </w:p>
        </w:tc>
      </w:tr>
      <w:tr w:rsidR="00625E9C" w:rsidRPr="0087376B" w14:paraId="1000A538" w14:textId="77777777" w:rsidTr="007B6BE3">
        <w:trPr>
          <w:trHeight w:val="46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0A5C524E" w14:textId="77777777" w:rsidR="00625E9C" w:rsidRPr="00625E9C" w:rsidRDefault="00625E9C" w:rsidP="00625E9C">
            <w:pPr>
              <w:spacing w:after="0" w:line="240" w:lineRule="auto"/>
              <w:rPr>
                <w:rFonts w:ascii="Arial" w:eastAsia="Times New Roman" w:hAnsi="Arial" w:cs="Arial"/>
                <w:bCs/>
                <w:sz w:val="16"/>
                <w:szCs w:val="16"/>
              </w:rPr>
            </w:pPr>
            <w:r w:rsidRPr="00625E9C">
              <w:rPr>
                <w:rFonts w:ascii="Arial" w:eastAsia="Times New Roman" w:hAnsi="Arial" w:cs="Arial"/>
                <w:bCs/>
                <w:sz w:val="16"/>
                <w:szCs w:val="16"/>
              </w:rPr>
              <w:t>KfW</w:t>
            </w:r>
          </w:p>
        </w:tc>
        <w:tc>
          <w:tcPr>
            <w:tcW w:w="660" w:type="pct"/>
            <w:tcBorders>
              <w:top w:val="nil"/>
              <w:left w:val="nil"/>
              <w:bottom w:val="single" w:sz="8" w:space="0" w:color="4F81BD"/>
              <w:right w:val="single" w:sz="8" w:space="0" w:color="4F81BD"/>
            </w:tcBorders>
            <w:shd w:val="clear" w:color="auto" w:fill="auto"/>
            <w:vAlign w:val="center"/>
            <w:hideMark/>
          </w:tcPr>
          <w:p w14:paraId="12CE3AED"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Фиксна или варијабилна</w:t>
            </w:r>
          </w:p>
        </w:tc>
        <w:tc>
          <w:tcPr>
            <w:tcW w:w="480" w:type="pct"/>
            <w:tcBorders>
              <w:top w:val="nil"/>
              <w:left w:val="nil"/>
              <w:bottom w:val="single" w:sz="8" w:space="0" w:color="4F81BD"/>
              <w:right w:val="single" w:sz="8" w:space="0" w:color="4F81BD"/>
            </w:tcBorders>
            <w:shd w:val="clear" w:color="auto" w:fill="auto"/>
            <w:vAlign w:val="center"/>
            <w:hideMark/>
          </w:tcPr>
          <w:p w14:paraId="0CB75F9B"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2,5 - 10</w:t>
            </w:r>
          </w:p>
        </w:tc>
        <w:tc>
          <w:tcPr>
            <w:tcW w:w="480" w:type="pct"/>
            <w:tcBorders>
              <w:top w:val="nil"/>
              <w:left w:val="nil"/>
              <w:bottom w:val="single" w:sz="8" w:space="0" w:color="4F81BD"/>
              <w:right w:val="single" w:sz="8" w:space="0" w:color="4F81BD"/>
            </w:tcBorders>
            <w:shd w:val="clear" w:color="auto" w:fill="auto"/>
            <w:vAlign w:val="center"/>
            <w:hideMark/>
          </w:tcPr>
          <w:p w14:paraId="71DB780D"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12-20</w:t>
            </w:r>
          </w:p>
        </w:tc>
        <w:tc>
          <w:tcPr>
            <w:tcW w:w="480" w:type="pct"/>
            <w:tcBorders>
              <w:top w:val="nil"/>
              <w:left w:val="nil"/>
              <w:bottom w:val="single" w:sz="8" w:space="0" w:color="4F81BD"/>
              <w:right w:val="single" w:sz="8" w:space="0" w:color="4F81BD"/>
            </w:tcBorders>
            <w:shd w:val="clear" w:color="auto" w:fill="auto"/>
            <w:vAlign w:val="center"/>
            <w:hideMark/>
          </w:tcPr>
          <w:p w14:paraId="0B997426"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EUR</w:t>
            </w:r>
          </w:p>
        </w:tc>
        <w:tc>
          <w:tcPr>
            <w:tcW w:w="741" w:type="pct"/>
            <w:tcBorders>
              <w:top w:val="nil"/>
              <w:left w:val="nil"/>
              <w:bottom w:val="single" w:sz="8" w:space="0" w:color="4F81BD"/>
              <w:right w:val="single" w:sz="8" w:space="0" w:color="4F81BD"/>
            </w:tcBorders>
            <w:shd w:val="clear" w:color="auto" w:fill="auto"/>
            <w:vAlign w:val="center"/>
            <w:hideMark/>
          </w:tcPr>
          <w:p w14:paraId="19099F2A"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15,99</w:t>
            </w:r>
          </w:p>
        </w:tc>
        <w:tc>
          <w:tcPr>
            <w:tcW w:w="498" w:type="pct"/>
            <w:tcBorders>
              <w:top w:val="nil"/>
              <w:left w:val="nil"/>
              <w:bottom w:val="single" w:sz="8" w:space="0" w:color="4F81BD"/>
              <w:right w:val="single" w:sz="8" w:space="0" w:color="4F81BD"/>
            </w:tcBorders>
            <w:shd w:val="clear" w:color="auto" w:fill="auto"/>
            <w:vAlign w:val="center"/>
            <w:hideMark/>
          </w:tcPr>
          <w:p w14:paraId="212BBB11"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1,68%</w:t>
            </w:r>
          </w:p>
        </w:tc>
        <w:tc>
          <w:tcPr>
            <w:tcW w:w="951" w:type="pct"/>
            <w:tcBorders>
              <w:top w:val="nil"/>
              <w:left w:val="nil"/>
              <w:bottom w:val="single" w:sz="8" w:space="0" w:color="4F81BD"/>
              <w:right w:val="single" w:sz="8" w:space="0" w:color="4F81BD"/>
            </w:tcBorders>
            <w:shd w:val="clear" w:color="auto" w:fill="auto"/>
            <w:vAlign w:val="center"/>
            <w:hideMark/>
          </w:tcPr>
          <w:p w14:paraId="25B4467B"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Ризик рефинансирања</w:t>
            </w:r>
          </w:p>
        </w:tc>
      </w:tr>
      <w:tr w:rsidR="00625E9C" w:rsidRPr="0087376B" w14:paraId="7E505610" w14:textId="77777777" w:rsidTr="007B6BE3">
        <w:trPr>
          <w:trHeight w:val="52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03CF023B" w14:textId="77777777" w:rsidR="00625E9C" w:rsidRPr="00625E9C" w:rsidRDefault="00625E9C" w:rsidP="00625E9C">
            <w:pPr>
              <w:spacing w:after="0" w:line="240" w:lineRule="auto"/>
              <w:rPr>
                <w:rFonts w:ascii="Arial" w:eastAsia="Times New Roman" w:hAnsi="Arial" w:cs="Arial"/>
                <w:bCs/>
                <w:sz w:val="16"/>
                <w:szCs w:val="16"/>
              </w:rPr>
            </w:pPr>
            <w:r w:rsidRPr="00625E9C">
              <w:rPr>
                <w:rFonts w:ascii="Arial" w:eastAsia="Times New Roman" w:hAnsi="Arial" w:cs="Arial"/>
                <w:bCs/>
                <w:sz w:val="16"/>
                <w:szCs w:val="16"/>
              </w:rPr>
              <w:t>Остала средства</w:t>
            </w:r>
          </w:p>
        </w:tc>
        <w:tc>
          <w:tcPr>
            <w:tcW w:w="660" w:type="pct"/>
            <w:tcBorders>
              <w:top w:val="nil"/>
              <w:left w:val="nil"/>
              <w:bottom w:val="single" w:sz="8" w:space="0" w:color="4F81BD"/>
              <w:right w:val="single" w:sz="8" w:space="0" w:color="4F81BD"/>
            </w:tcBorders>
            <w:shd w:val="clear" w:color="auto" w:fill="auto"/>
            <w:vAlign w:val="center"/>
            <w:hideMark/>
          </w:tcPr>
          <w:p w14:paraId="37953D58"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Фиксна или варијабилна</w:t>
            </w:r>
          </w:p>
        </w:tc>
        <w:tc>
          <w:tcPr>
            <w:tcW w:w="480" w:type="pct"/>
            <w:tcBorders>
              <w:top w:val="nil"/>
              <w:left w:val="nil"/>
              <w:bottom w:val="single" w:sz="8" w:space="0" w:color="4F81BD"/>
              <w:right w:val="single" w:sz="8" w:space="0" w:color="4F81BD"/>
            </w:tcBorders>
            <w:shd w:val="clear" w:color="auto" w:fill="auto"/>
            <w:vAlign w:val="center"/>
            <w:hideMark/>
          </w:tcPr>
          <w:p w14:paraId="735F1D60"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3-5</w:t>
            </w:r>
          </w:p>
        </w:tc>
        <w:tc>
          <w:tcPr>
            <w:tcW w:w="480" w:type="pct"/>
            <w:tcBorders>
              <w:top w:val="nil"/>
              <w:left w:val="nil"/>
              <w:bottom w:val="single" w:sz="8" w:space="0" w:color="4F81BD"/>
              <w:right w:val="single" w:sz="8" w:space="0" w:color="4F81BD"/>
            </w:tcBorders>
            <w:shd w:val="clear" w:color="auto" w:fill="auto"/>
            <w:vAlign w:val="center"/>
            <w:hideMark/>
          </w:tcPr>
          <w:p w14:paraId="22F6E5DC"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10-15</w:t>
            </w:r>
          </w:p>
        </w:tc>
        <w:tc>
          <w:tcPr>
            <w:tcW w:w="480" w:type="pct"/>
            <w:tcBorders>
              <w:top w:val="nil"/>
              <w:left w:val="nil"/>
              <w:bottom w:val="single" w:sz="8" w:space="0" w:color="4F81BD"/>
              <w:right w:val="single" w:sz="8" w:space="0" w:color="4F81BD"/>
            </w:tcBorders>
            <w:shd w:val="clear" w:color="auto" w:fill="auto"/>
            <w:vAlign w:val="center"/>
            <w:hideMark/>
          </w:tcPr>
          <w:p w14:paraId="74DCF7AB" w14:textId="77777777" w:rsidR="00625E9C" w:rsidRPr="00625E9C" w:rsidRDefault="00625E9C" w:rsidP="00625E9C">
            <w:pPr>
              <w:spacing w:after="0" w:line="240" w:lineRule="auto"/>
              <w:jc w:val="center"/>
              <w:rPr>
                <w:rFonts w:ascii="Arial" w:eastAsia="Times New Roman" w:hAnsi="Arial" w:cs="Arial"/>
                <w:sz w:val="16"/>
                <w:szCs w:val="16"/>
              </w:rPr>
            </w:pPr>
            <w:r w:rsidRPr="00625E9C">
              <w:rPr>
                <w:rFonts w:ascii="Arial" w:eastAsia="Times New Roman" w:hAnsi="Arial" w:cs="Arial"/>
                <w:sz w:val="16"/>
                <w:szCs w:val="16"/>
              </w:rPr>
              <w:t>EUR</w:t>
            </w:r>
          </w:p>
        </w:tc>
        <w:tc>
          <w:tcPr>
            <w:tcW w:w="741" w:type="pct"/>
            <w:tcBorders>
              <w:top w:val="nil"/>
              <w:left w:val="nil"/>
              <w:bottom w:val="single" w:sz="8" w:space="0" w:color="4F81BD"/>
              <w:right w:val="single" w:sz="8" w:space="0" w:color="4F81BD"/>
            </w:tcBorders>
            <w:shd w:val="clear" w:color="auto" w:fill="auto"/>
            <w:vAlign w:val="center"/>
            <w:hideMark/>
          </w:tcPr>
          <w:p w14:paraId="5C1657A7"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1,77</w:t>
            </w:r>
          </w:p>
        </w:tc>
        <w:tc>
          <w:tcPr>
            <w:tcW w:w="498" w:type="pct"/>
            <w:tcBorders>
              <w:top w:val="nil"/>
              <w:left w:val="nil"/>
              <w:bottom w:val="single" w:sz="8" w:space="0" w:color="4F81BD"/>
              <w:right w:val="single" w:sz="8" w:space="0" w:color="4F81BD"/>
            </w:tcBorders>
            <w:shd w:val="clear" w:color="auto" w:fill="auto"/>
            <w:vAlign w:val="center"/>
            <w:hideMark/>
          </w:tcPr>
          <w:p w14:paraId="602D774F" w14:textId="77777777" w:rsidR="00625E9C" w:rsidRPr="00625E9C" w:rsidRDefault="00625E9C" w:rsidP="00625E9C">
            <w:pPr>
              <w:spacing w:after="0" w:line="240" w:lineRule="auto"/>
              <w:jc w:val="right"/>
              <w:rPr>
                <w:rFonts w:ascii="Arial" w:eastAsia="Times New Roman" w:hAnsi="Arial" w:cs="Arial"/>
                <w:sz w:val="16"/>
                <w:szCs w:val="16"/>
              </w:rPr>
            </w:pPr>
            <w:r w:rsidRPr="00625E9C">
              <w:rPr>
                <w:rFonts w:ascii="Arial" w:eastAsia="Times New Roman" w:hAnsi="Arial" w:cs="Arial"/>
                <w:sz w:val="16"/>
                <w:szCs w:val="16"/>
              </w:rPr>
              <w:t>0,19%</w:t>
            </w:r>
          </w:p>
        </w:tc>
        <w:tc>
          <w:tcPr>
            <w:tcW w:w="951" w:type="pct"/>
            <w:tcBorders>
              <w:top w:val="nil"/>
              <w:left w:val="nil"/>
              <w:bottom w:val="single" w:sz="8" w:space="0" w:color="4F81BD"/>
              <w:right w:val="single" w:sz="8" w:space="0" w:color="4F81BD"/>
            </w:tcBorders>
            <w:shd w:val="clear" w:color="auto" w:fill="auto"/>
            <w:vAlign w:val="center"/>
            <w:hideMark/>
          </w:tcPr>
          <w:p w14:paraId="4B470324" w14:textId="77777777" w:rsidR="00625E9C" w:rsidRPr="00625E9C" w:rsidRDefault="00625E9C" w:rsidP="00625E9C">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Ризик рефинансирања и рефиксирања за варијабилну</w:t>
            </w:r>
          </w:p>
        </w:tc>
      </w:tr>
      <w:tr w:rsidR="007B6BE3" w:rsidRPr="0087376B" w14:paraId="52C2D844" w14:textId="77777777" w:rsidTr="007B6BE3">
        <w:trPr>
          <w:trHeight w:val="31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6B02A9C8" w14:textId="77777777" w:rsidR="007B6BE3" w:rsidRPr="00625E9C" w:rsidRDefault="005B20F8" w:rsidP="007B6BE3">
            <w:pPr>
              <w:spacing w:after="0" w:line="240" w:lineRule="auto"/>
              <w:rPr>
                <w:rFonts w:ascii="Arial" w:eastAsia="Times New Roman" w:hAnsi="Arial" w:cs="Arial"/>
                <w:bCs/>
                <w:color w:val="000000"/>
                <w:sz w:val="16"/>
                <w:szCs w:val="16"/>
              </w:rPr>
            </w:pPr>
            <w:r w:rsidRPr="00625E9C">
              <w:rPr>
                <w:rFonts w:ascii="Arial" w:eastAsia="Times New Roman" w:hAnsi="Arial" w:cs="Arial"/>
                <w:bCs/>
                <w:color w:val="000000"/>
                <w:sz w:val="16"/>
                <w:szCs w:val="16"/>
              </w:rPr>
              <w:t>УКУПНО</w:t>
            </w:r>
          </w:p>
        </w:tc>
        <w:tc>
          <w:tcPr>
            <w:tcW w:w="660" w:type="pct"/>
            <w:tcBorders>
              <w:top w:val="nil"/>
              <w:left w:val="nil"/>
              <w:bottom w:val="single" w:sz="8" w:space="0" w:color="4F81BD"/>
              <w:right w:val="single" w:sz="8" w:space="0" w:color="4F81BD"/>
            </w:tcBorders>
            <w:shd w:val="clear" w:color="auto" w:fill="auto"/>
            <w:vAlign w:val="center"/>
            <w:hideMark/>
          </w:tcPr>
          <w:p w14:paraId="6038552A" w14:textId="77777777" w:rsidR="007B6BE3" w:rsidRPr="00625E9C" w:rsidRDefault="007B6BE3" w:rsidP="007B6BE3">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 </w:t>
            </w:r>
          </w:p>
        </w:tc>
        <w:tc>
          <w:tcPr>
            <w:tcW w:w="480" w:type="pct"/>
            <w:tcBorders>
              <w:top w:val="nil"/>
              <w:left w:val="nil"/>
              <w:bottom w:val="single" w:sz="8" w:space="0" w:color="4F81BD"/>
              <w:right w:val="single" w:sz="8" w:space="0" w:color="4F81BD"/>
            </w:tcBorders>
            <w:shd w:val="clear" w:color="auto" w:fill="auto"/>
            <w:vAlign w:val="center"/>
            <w:hideMark/>
          </w:tcPr>
          <w:p w14:paraId="6C2821AB" w14:textId="77777777" w:rsidR="007B6BE3" w:rsidRPr="00625E9C" w:rsidRDefault="007B6BE3" w:rsidP="007B6BE3">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 </w:t>
            </w:r>
          </w:p>
        </w:tc>
        <w:tc>
          <w:tcPr>
            <w:tcW w:w="480" w:type="pct"/>
            <w:tcBorders>
              <w:top w:val="nil"/>
              <w:left w:val="nil"/>
              <w:bottom w:val="single" w:sz="8" w:space="0" w:color="4F81BD"/>
              <w:right w:val="single" w:sz="8" w:space="0" w:color="4F81BD"/>
            </w:tcBorders>
            <w:shd w:val="clear" w:color="auto" w:fill="auto"/>
            <w:vAlign w:val="center"/>
            <w:hideMark/>
          </w:tcPr>
          <w:p w14:paraId="5AA08F29" w14:textId="77777777" w:rsidR="007B6BE3" w:rsidRPr="00625E9C" w:rsidRDefault="007B6BE3" w:rsidP="007B6BE3">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 </w:t>
            </w:r>
          </w:p>
        </w:tc>
        <w:tc>
          <w:tcPr>
            <w:tcW w:w="480" w:type="pct"/>
            <w:tcBorders>
              <w:top w:val="nil"/>
              <w:left w:val="nil"/>
              <w:bottom w:val="single" w:sz="8" w:space="0" w:color="4F81BD"/>
              <w:right w:val="single" w:sz="8" w:space="0" w:color="4F81BD"/>
            </w:tcBorders>
            <w:shd w:val="clear" w:color="auto" w:fill="auto"/>
            <w:vAlign w:val="center"/>
            <w:hideMark/>
          </w:tcPr>
          <w:p w14:paraId="5CA1036A" w14:textId="77777777" w:rsidR="007B6BE3" w:rsidRPr="00625E9C" w:rsidRDefault="007B6BE3" w:rsidP="007B6BE3">
            <w:pPr>
              <w:spacing w:after="0" w:line="240" w:lineRule="auto"/>
              <w:rPr>
                <w:rFonts w:ascii="Arial" w:eastAsia="Times New Roman" w:hAnsi="Arial" w:cs="Arial"/>
                <w:color w:val="000000"/>
                <w:sz w:val="16"/>
                <w:szCs w:val="16"/>
              </w:rPr>
            </w:pPr>
            <w:r w:rsidRPr="00625E9C">
              <w:rPr>
                <w:rFonts w:ascii="Arial" w:eastAsia="Times New Roman" w:hAnsi="Arial" w:cs="Arial"/>
                <w:color w:val="000000"/>
                <w:sz w:val="16"/>
                <w:szCs w:val="16"/>
              </w:rPr>
              <w:t> </w:t>
            </w:r>
          </w:p>
        </w:tc>
        <w:tc>
          <w:tcPr>
            <w:tcW w:w="741" w:type="pct"/>
            <w:tcBorders>
              <w:top w:val="nil"/>
              <w:left w:val="nil"/>
              <w:bottom w:val="single" w:sz="8" w:space="0" w:color="4F81BD"/>
              <w:right w:val="single" w:sz="8" w:space="0" w:color="4F81BD"/>
            </w:tcBorders>
            <w:shd w:val="clear" w:color="auto" w:fill="auto"/>
            <w:vAlign w:val="center"/>
            <w:hideMark/>
          </w:tcPr>
          <w:p w14:paraId="280CEC73" w14:textId="77777777" w:rsidR="007B6BE3" w:rsidRPr="00625E9C" w:rsidRDefault="007B6BE3" w:rsidP="007B6BE3">
            <w:pPr>
              <w:spacing w:after="0" w:line="240" w:lineRule="auto"/>
              <w:jc w:val="right"/>
              <w:rPr>
                <w:rFonts w:ascii="Arial" w:eastAsia="Times New Roman" w:hAnsi="Arial" w:cs="Arial"/>
                <w:color w:val="000000"/>
                <w:sz w:val="16"/>
                <w:szCs w:val="16"/>
              </w:rPr>
            </w:pPr>
            <w:r w:rsidRPr="00625E9C">
              <w:rPr>
                <w:rFonts w:ascii="Arial" w:eastAsia="Times New Roman" w:hAnsi="Arial" w:cs="Arial"/>
                <w:color w:val="000000"/>
                <w:sz w:val="16"/>
                <w:szCs w:val="16"/>
              </w:rPr>
              <w:fldChar w:fldCharType="begin"/>
            </w:r>
            <w:r w:rsidRPr="00625E9C">
              <w:rPr>
                <w:rFonts w:ascii="Arial" w:eastAsia="Times New Roman" w:hAnsi="Arial" w:cs="Arial"/>
                <w:color w:val="000000"/>
                <w:sz w:val="16"/>
                <w:szCs w:val="16"/>
              </w:rPr>
              <w:instrText xml:space="preserve"> =SUM(ABOVE) \# "0.00" </w:instrText>
            </w:r>
            <w:r w:rsidRPr="00625E9C">
              <w:rPr>
                <w:rFonts w:ascii="Arial" w:eastAsia="Times New Roman" w:hAnsi="Arial" w:cs="Arial"/>
                <w:color w:val="000000"/>
                <w:sz w:val="16"/>
                <w:szCs w:val="16"/>
              </w:rPr>
              <w:fldChar w:fldCharType="separate"/>
            </w:r>
            <w:r w:rsidRPr="00625E9C">
              <w:rPr>
                <w:rFonts w:ascii="Arial" w:eastAsia="Times New Roman" w:hAnsi="Arial" w:cs="Arial"/>
                <w:color w:val="000000"/>
                <w:sz w:val="16"/>
                <w:szCs w:val="16"/>
              </w:rPr>
              <w:t>953.</w:t>
            </w:r>
            <w:r w:rsidRPr="00625E9C">
              <w:rPr>
                <w:rFonts w:ascii="Arial" w:eastAsia="Times New Roman" w:hAnsi="Arial" w:cs="Arial"/>
                <w:color w:val="000000"/>
                <w:sz w:val="16"/>
                <w:szCs w:val="16"/>
              </w:rPr>
              <w:fldChar w:fldCharType="end"/>
            </w:r>
            <w:r w:rsidRPr="00625E9C">
              <w:rPr>
                <w:rFonts w:ascii="Arial" w:eastAsia="Times New Roman" w:hAnsi="Arial" w:cs="Arial"/>
                <w:color w:val="000000"/>
                <w:sz w:val="16"/>
                <w:szCs w:val="16"/>
              </w:rPr>
              <w:t>60</w:t>
            </w:r>
          </w:p>
        </w:tc>
        <w:tc>
          <w:tcPr>
            <w:tcW w:w="498" w:type="pct"/>
            <w:tcBorders>
              <w:top w:val="nil"/>
              <w:left w:val="nil"/>
              <w:bottom w:val="single" w:sz="8" w:space="0" w:color="4F81BD"/>
              <w:right w:val="single" w:sz="8" w:space="0" w:color="4F81BD"/>
            </w:tcBorders>
            <w:shd w:val="clear" w:color="auto" w:fill="auto"/>
            <w:vAlign w:val="center"/>
            <w:hideMark/>
          </w:tcPr>
          <w:p w14:paraId="12D7C3AF" w14:textId="77777777" w:rsidR="007B6BE3" w:rsidRPr="00625E9C" w:rsidRDefault="007B6BE3" w:rsidP="007B6BE3">
            <w:pPr>
              <w:spacing w:after="0" w:line="240" w:lineRule="auto"/>
              <w:jc w:val="right"/>
              <w:rPr>
                <w:rFonts w:ascii="Arial" w:eastAsia="Times New Roman" w:hAnsi="Arial" w:cs="Arial"/>
                <w:color w:val="000000"/>
                <w:sz w:val="16"/>
                <w:szCs w:val="16"/>
              </w:rPr>
            </w:pPr>
            <w:r w:rsidRPr="00625E9C">
              <w:rPr>
                <w:rFonts w:ascii="Arial" w:eastAsia="Times New Roman" w:hAnsi="Arial" w:cs="Arial"/>
                <w:color w:val="000000"/>
                <w:sz w:val="16"/>
                <w:szCs w:val="16"/>
              </w:rPr>
              <w:t>100,00%</w:t>
            </w:r>
          </w:p>
        </w:tc>
        <w:tc>
          <w:tcPr>
            <w:tcW w:w="951" w:type="pct"/>
            <w:tcBorders>
              <w:top w:val="nil"/>
              <w:left w:val="nil"/>
              <w:bottom w:val="single" w:sz="8" w:space="0" w:color="4F81BD"/>
              <w:right w:val="single" w:sz="8" w:space="0" w:color="4F81BD"/>
            </w:tcBorders>
            <w:shd w:val="clear" w:color="auto" w:fill="auto"/>
            <w:vAlign w:val="center"/>
            <w:hideMark/>
          </w:tcPr>
          <w:p w14:paraId="7A7AC41F" w14:textId="77777777" w:rsidR="007B6BE3" w:rsidRPr="00625E9C" w:rsidRDefault="007B6BE3" w:rsidP="007B6BE3">
            <w:pPr>
              <w:spacing w:after="0" w:line="240" w:lineRule="auto"/>
              <w:jc w:val="center"/>
              <w:rPr>
                <w:rFonts w:ascii="Arial" w:eastAsia="Times New Roman" w:hAnsi="Arial" w:cs="Arial"/>
                <w:color w:val="000000"/>
                <w:sz w:val="16"/>
                <w:szCs w:val="16"/>
              </w:rPr>
            </w:pPr>
            <w:r w:rsidRPr="00625E9C">
              <w:rPr>
                <w:rFonts w:ascii="Arial" w:eastAsia="Times New Roman" w:hAnsi="Arial" w:cs="Arial"/>
                <w:color w:val="000000"/>
                <w:sz w:val="16"/>
                <w:szCs w:val="16"/>
              </w:rPr>
              <w:t> </w:t>
            </w:r>
          </w:p>
        </w:tc>
      </w:tr>
    </w:tbl>
    <w:p w14:paraId="17EF7E0D" w14:textId="77777777" w:rsidR="00625E9C" w:rsidRPr="0087376B" w:rsidRDefault="00625E9C" w:rsidP="007B6BE3">
      <w:pPr>
        <w:pStyle w:val="NoSpacing"/>
        <w:rPr>
          <w:rFonts w:ascii="Arial" w:hAnsi="Arial" w:cs="Arial"/>
          <w:lang w:val="hr-HR"/>
        </w:rPr>
      </w:pPr>
    </w:p>
    <w:p w14:paraId="59C367ED" w14:textId="77777777" w:rsidR="007B6BE3" w:rsidRPr="0092788C" w:rsidRDefault="005B20F8" w:rsidP="0092788C">
      <w:pPr>
        <w:pStyle w:val="Heading2"/>
        <w:numPr>
          <w:ilvl w:val="1"/>
          <w:numId w:val="1"/>
        </w:numPr>
        <w:spacing w:before="0"/>
        <w:ind w:left="993" w:hanging="709"/>
        <w:rPr>
          <w:rFonts w:ascii="Arial" w:hAnsi="Arial" w:cs="Arial"/>
          <w:b w:val="0"/>
          <w:color w:val="auto"/>
          <w:sz w:val="24"/>
          <w:szCs w:val="24"/>
        </w:rPr>
      </w:pPr>
      <w:bookmarkStart w:id="117" w:name="_Toc149810619"/>
      <w:r w:rsidRPr="0092788C">
        <w:rPr>
          <w:rFonts w:ascii="Arial" w:hAnsi="Arial" w:cs="Arial"/>
          <w:b w:val="0"/>
          <w:color w:val="auto"/>
          <w:sz w:val="24"/>
          <w:szCs w:val="24"/>
        </w:rPr>
        <w:t>Домаћи</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извори</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финансирања</w:t>
      </w:r>
      <w:bookmarkEnd w:id="117"/>
    </w:p>
    <w:p w14:paraId="3876D992" w14:textId="77777777" w:rsidR="007B6BE3" w:rsidRPr="0087376B" w:rsidRDefault="007B6BE3" w:rsidP="007B6BE3">
      <w:pPr>
        <w:spacing w:after="0"/>
      </w:pPr>
    </w:p>
    <w:p w14:paraId="42859426" w14:textId="77777777" w:rsidR="007B6BE3" w:rsidRPr="00625E9C" w:rsidRDefault="005B20F8" w:rsidP="00625E9C">
      <w:pPr>
        <w:pStyle w:val="NoSpacing"/>
        <w:spacing w:line="276" w:lineRule="auto"/>
        <w:ind w:firstLine="284"/>
        <w:jc w:val="both"/>
        <w:rPr>
          <w:rFonts w:ascii="Arial" w:eastAsia="MS Mincho" w:hAnsi="Arial" w:cs="Arial"/>
          <w:kern w:val="24"/>
          <w:lang w:val="hr-HR" w:eastAsia="fr-FR"/>
        </w:rPr>
      </w:pPr>
      <w:r>
        <w:rPr>
          <w:rFonts w:ascii="Arial" w:eastAsia="Times New Roman" w:hAnsi="Arial" w:cs="Arial"/>
          <w:lang w:val="hr-HR"/>
        </w:rPr>
        <w:t>Домаће</w:t>
      </w:r>
      <w:r w:rsidR="007B6BE3" w:rsidRPr="0087376B">
        <w:rPr>
          <w:rFonts w:ascii="Arial" w:eastAsia="Times New Roman" w:hAnsi="Arial" w:cs="Arial"/>
          <w:lang w:val="hr-HR"/>
        </w:rPr>
        <w:t xml:space="preserve"> </w:t>
      </w:r>
      <w:r>
        <w:rPr>
          <w:rFonts w:ascii="Arial" w:eastAsia="Times New Roman" w:hAnsi="Arial" w:cs="Arial"/>
          <w:lang w:val="hr-HR"/>
        </w:rPr>
        <w:t>тржиште</w:t>
      </w:r>
      <w:r w:rsidR="007B6BE3" w:rsidRPr="0087376B">
        <w:rPr>
          <w:rFonts w:ascii="Arial" w:eastAsia="Times New Roman" w:hAnsi="Arial" w:cs="Arial"/>
          <w:lang w:val="hr-HR"/>
        </w:rPr>
        <w:t xml:space="preserve"> </w:t>
      </w:r>
      <w:r>
        <w:rPr>
          <w:rFonts w:ascii="Arial" w:hAnsi="Arial" w:cs="Arial"/>
          <w:lang w:val="hr-HR"/>
        </w:rPr>
        <w:t>хартија</w:t>
      </w:r>
      <w:r w:rsidR="009D7230">
        <w:rPr>
          <w:rFonts w:ascii="Arial" w:hAnsi="Arial" w:cs="Arial"/>
          <w:lang w:val="hr-HR"/>
        </w:rPr>
        <w:t xml:space="preserve"> </w:t>
      </w:r>
      <w:r>
        <w:rPr>
          <w:rFonts w:ascii="Arial" w:hAnsi="Arial" w:cs="Arial"/>
          <w:lang w:val="hr-HR"/>
        </w:rPr>
        <w:t>од</w:t>
      </w:r>
      <w:r w:rsidR="009D7230">
        <w:rPr>
          <w:rFonts w:ascii="Arial" w:hAnsi="Arial" w:cs="Arial"/>
          <w:lang w:val="hr-HR"/>
        </w:rPr>
        <w:t xml:space="preserve"> </w:t>
      </w:r>
      <w:r>
        <w:rPr>
          <w:rFonts w:ascii="Arial" w:hAnsi="Arial" w:cs="Arial"/>
          <w:lang w:val="hr-HR"/>
        </w:rPr>
        <w:t>вриједности</w:t>
      </w:r>
      <w:r w:rsidR="009D7230" w:rsidRPr="0087376B">
        <w:rPr>
          <w:rFonts w:ascii="Arial" w:eastAsia="Times New Roman" w:hAnsi="Arial" w:cs="Arial"/>
          <w:lang w:val="hr-HR"/>
        </w:rPr>
        <w:t xml:space="preserve"> </w:t>
      </w:r>
      <w:r>
        <w:rPr>
          <w:rFonts w:ascii="Arial" w:eastAsia="Times New Roman" w:hAnsi="Arial" w:cs="Arial"/>
          <w:lang w:val="hr-HR"/>
        </w:rPr>
        <w:t>је</w:t>
      </w:r>
      <w:r w:rsidR="007B6BE3" w:rsidRPr="0087376B">
        <w:rPr>
          <w:rFonts w:ascii="Arial" w:eastAsia="Times New Roman" w:hAnsi="Arial" w:cs="Arial"/>
          <w:lang w:val="hr-HR"/>
        </w:rPr>
        <w:t xml:space="preserve"> </w:t>
      </w:r>
      <w:r>
        <w:rPr>
          <w:rFonts w:ascii="Arial" w:eastAsia="Times New Roman" w:hAnsi="Arial" w:cs="Arial"/>
          <w:lang w:val="hr-HR"/>
        </w:rPr>
        <w:t>релативно</w:t>
      </w:r>
      <w:r w:rsidR="007B6BE3" w:rsidRPr="0087376B">
        <w:rPr>
          <w:rFonts w:ascii="Arial" w:eastAsia="Times New Roman" w:hAnsi="Arial" w:cs="Arial"/>
          <w:lang w:val="hr-HR"/>
        </w:rPr>
        <w:t xml:space="preserve"> </w:t>
      </w:r>
      <w:r>
        <w:rPr>
          <w:rFonts w:ascii="Arial" w:eastAsia="Times New Roman" w:hAnsi="Arial" w:cs="Arial"/>
          <w:lang w:val="hr-HR"/>
        </w:rPr>
        <w:t>мало</w:t>
      </w:r>
      <w:r w:rsidR="007B6BE3" w:rsidRPr="0087376B">
        <w:rPr>
          <w:rFonts w:ascii="Arial" w:eastAsia="Times New Roman" w:hAnsi="Arial" w:cs="Arial"/>
          <w:lang w:val="hr-HR"/>
        </w:rPr>
        <w:t xml:space="preserve"> </w:t>
      </w:r>
      <w:r>
        <w:rPr>
          <w:rFonts w:ascii="Arial" w:eastAsia="Times New Roman" w:hAnsi="Arial" w:cs="Arial"/>
          <w:lang w:val="hr-HR"/>
        </w:rPr>
        <w:t>и</w:t>
      </w:r>
      <w:r w:rsidR="007B6BE3" w:rsidRPr="0087376B">
        <w:rPr>
          <w:rFonts w:ascii="Arial" w:eastAsia="Times New Roman" w:hAnsi="Arial" w:cs="Arial"/>
          <w:lang w:val="hr-HR"/>
        </w:rPr>
        <w:t xml:space="preserve"> </w:t>
      </w:r>
      <w:r>
        <w:rPr>
          <w:rFonts w:ascii="Arial" w:eastAsia="Times New Roman" w:hAnsi="Arial" w:cs="Arial"/>
          <w:lang w:val="hr-HR"/>
        </w:rPr>
        <w:t>неразвијено</w:t>
      </w:r>
      <w:r w:rsidR="007B6BE3" w:rsidRPr="0087376B">
        <w:rPr>
          <w:rFonts w:ascii="Arial" w:eastAsia="Times New Roman" w:hAnsi="Arial" w:cs="Arial"/>
          <w:lang w:val="hr-HR"/>
        </w:rPr>
        <w:t xml:space="preserve">, </w:t>
      </w:r>
      <w:r>
        <w:rPr>
          <w:rFonts w:ascii="Arial" w:eastAsia="Times New Roman" w:hAnsi="Arial" w:cs="Arial"/>
          <w:lang w:val="hr-HR"/>
        </w:rPr>
        <w:t>али</w:t>
      </w:r>
      <w:r w:rsidR="007B6BE3" w:rsidRPr="0087376B">
        <w:rPr>
          <w:rFonts w:ascii="Arial" w:eastAsia="Times New Roman" w:hAnsi="Arial" w:cs="Arial"/>
          <w:lang w:val="hr-HR"/>
        </w:rPr>
        <w:t xml:space="preserve"> </w:t>
      </w:r>
      <w:r>
        <w:rPr>
          <w:rFonts w:ascii="Arial" w:eastAsia="Times New Roman" w:hAnsi="Arial" w:cs="Arial"/>
          <w:lang w:val="hr-HR"/>
        </w:rPr>
        <w:t>има</w:t>
      </w:r>
      <w:r w:rsidR="007B6BE3" w:rsidRPr="0087376B">
        <w:rPr>
          <w:rFonts w:ascii="Arial" w:eastAsia="Times New Roman" w:hAnsi="Arial" w:cs="Arial"/>
          <w:lang w:val="hr-HR"/>
        </w:rPr>
        <w:t xml:space="preserve"> </w:t>
      </w:r>
      <w:r>
        <w:rPr>
          <w:rFonts w:ascii="Arial" w:eastAsia="Times New Roman" w:hAnsi="Arial" w:cs="Arial"/>
          <w:lang w:val="hr-HR"/>
        </w:rPr>
        <w:t>тренд</w:t>
      </w:r>
      <w:r w:rsidR="007B6BE3" w:rsidRPr="0087376B">
        <w:rPr>
          <w:rFonts w:ascii="Arial" w:eastAsia="Times New Roman" w:hAnsi="Arial" w:cs="Arial"/>
          <w:lang w:val="hr-HR"/>
        </w:rPr>
        <w:t xml:space="preserve"> </w:t>
      </w:r>
      <w:r>
        <w:rPr>
          <w:rFonts w:ascii="Arial" w:eastAsia="Times New Roman" w:hAnsi="Arial" w:cs="Arial"/>
          <w:lang w:val="hr-HR"/>
        </w:rPr>
        <w:t>раста</w:t>
      </w:r>
      <w:r w:rsidR="007B6BE3" w:rsidRPr="0087376B">
        <w:rPr>
          <w:rFonts w:ascii="Arial" w:eastAsia="Times New Roman" w:hAnsi="Arial" w:cs="Arial"/>
          <w:lang w:val="hr-HR"/>
        </w:rPr>
        <w:t xml:space="preserve"> </w:t>
      </w:r>
      <w:r>
        <w:rPr>
          <w:rFonts w:ascii="Arial" w:eastAsia="Times New Roman" w:hAnsi="Arial" w:cs="Arial"/>
          <w:lang w:val="hr-HR"/>
        </w:rPr>
        <w:t>прилагођавајући</w:t>
      </w:r>
      <w:r w:rsidR="007B6BE3" w:rsidRPr="0087376B">
        <w:rPr>
          <w:rFonts w:ascii="Arial" w:eastAsia="Times New Roman" w:hAnsi="Arial" w:cs="Arial"/>
          <w:lang w:val="hr-HR"/>
        </w:rPr>
        <w:t xml:space="preserve"> </w:t>
      </w:r>
      <w:r>
        <w:rPr>
          <w:rFonts w:ascii="Arial" w:eastAsia="Times New Roman" w:hAnsi="Arial" w:cs="Arial"/>
          <w:lang w:val="hr-HR"/>
        </w:rPr>
        <w:t>се</w:t>
      </w:r>
      <w:r w:rsidR="007B6BE3" w:rsidRPr="0087376B">
        <w:rPr>
          <w:rFonts w:ascii="Arial" w:eastAsia="Times New Roman" w:hAnsi="Arial" w:cs="Arial"/>
          <w:lang w:val="hr-HR"/>
        </w:rPr>
        <w:t xml:space="preserve"> </w:t>
      </w:r>
      <w:r>
        <w:rPr>
          <w:rFonts w:ascii="Arial" w:eastAsia="Times New Roman" w:hAnsi="Arial" w:cs="Arial"/>
          <w:lang w:val="hr-HR"/>
        </w:rPr>
        <w:t>финансијским</w:t>
      </w:r>
      <w:r w:rsidR="007B6BE3" w:rsidRPr="0087376B">
        <w:rPr>
          <w:rFonts w:ascii="Arial" w:eastAsia="Times New Roman" w:hAnsi="Arial" w:cs="Arial"/>
          <w:lang w:val="hr-HR"/>
        </w:rPr>
        <w:t xml:space="preserve"> </w:t>
      </w:r>
      <w:r>
        <w:rPr>
          <w:rFonts w:ascii="Arial" w:eastAsia="Times New Roman" w:hAnsi="Arial" w:cs="Arial"/>
          <w:lang w:val="hr-HR"/>
        </w:rPr>
        <w:t>потребама</w:t>
      </w:r>
      <w:r w:rsidR="007B6BE3" w:rsidRPr="0087376B">
        <w:rPr>
          <w:rFonts w:ascii="Arial" w:eastAsia="Times New Roman" w:hAnsi="Arial" w:cs="Arial"/>
          <w:lang w:val="hr-HR"/>
        </w:rPr>
        <w:t xml:space="preserve"> </w:t>
      </w:r>
      <w:r>
        <w:rPr>
          <w:rFonts w:ascii="Arial" w:eastAsia="Times New Roman" w:hAnsi="Arial" w:cs="Arial"/>
          <w:lang w:val="hr-HR"/>
        </w:rPr>
        <w:t>Владе</w:t>
      </w:r>
      <w:r w:rsidR="007B6BE3" w:rsidRPr="0087376B">
        <w:rPr>
          <w:rFonts w:ascii="Arial" w:eastAsia="Times New Roman" w:hAnsi="Arial" w:cs="Arial"/>
          <w:lang w:val="hr-HR"/>
        </w:rPr>
        <w:t xml:space="preserve"> </w:t>
      </w:r>
      <w:r>
        <w:rPr>
          <w:rFonts w:ascii="Arial" w:eastAsia="Times New Roman" w:hAnsi="Arial" w:cs="Arial"/>
          <w:lang w:val="hr-HR"/>
        </w:rPr>
        <w:t>Федерације</w:t>
      </w:r>
      <w:r w:rsidR="007B6BE3" w:rsidRPr="0087376B">
        <w:rPr>
          <w:rFonts w:ascii="Arial" w:eastAsia="Times New Roman" w:hAnsi="Arial" w:cs="Arial"/>
          <w:lang w:val="hr-HR"/>
        </w:rPr>
        <w:t xml:space="preserve"> </w:t>
      </w:r>
      <w:r>
        <w:rPr>
          <w:rFonts w:ascii="Arial" w:eastAsia="Times New Roman" w:hAnsi="Arial" w:cs="Arial"/>
          <w:lang w:val="hr-HR"/>
        </w:rPr>
        <w:t>БиХ</w:t>
      </w:r>
      <w:r w:rsidR="007B6BE3" w:rsidRPr="0087376B">
        <w:rPr>
          <w:rFonts w:ascii="Arial" w:eastAsia="Times New Roman" w:hAnsi="Arial" w:cs="Arial"/>
          <w:lang w:val="hr-HR"/>
        </w:rPr>
        <w:t xml:space="preserve">. </w:t>
      </w:r>
      <w:r>
        <w:rPr>
          <w:rFonts w:ascii="Arial" w:eastAsia="Times New Roman" w:hAnsi="Arial" w:cs="Arial"/>
          <w:lang w:val="hr-HR"/>
        </w:rPr>
        <w:t>Домаће</w:t>
      </w:r>
      <w:r w:rsidR="007B6BE3" w:rsidRPr="0087376B">
        <w:rPr>
          <w:rFonts w:ascii="Arial" w:eastAsia="Times New Roman" w:hAnsi="Arial" w:cs="Arial"/>
          <w:lang w:val="hr-HR"/>
        </w:rPr>
        <w:t xml:space="preserve"> </w:t>
      </w:r>
      <w:r>
        <w:rPr>
          <w:rFonts w:ascii="Arial" w:eastAsia="Times New Roman" w:hAnsi="Arial" w:cs="Arial"/>
          <w:lang w:val="hr-HR"/>
        </w:rPr>
        <w:t>к</w:t>
      </w:r>
      <w:r>
        <w:rPr>
          <w:rFonts w:ascii="Arial" w:eastAsia="MS Mincho" w:hAnsi="Arial" w:cs="Arial"/>
          <w:kern w:val="24"/>
          <w:lang w:val="hr-HR" w:eastAsia="fr-FR"/>
        </w:rPr>
        <w:t>омерцијалне</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банке</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су</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највећи</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инвеститори</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у</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трезорске</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записе</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и</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тржишне</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обвезнице</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Владе</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Федерације</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БиХ</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и</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углавном</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их</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чувају</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до</w:t>
      </w:r>
      <w:r w:rsidR="007B6BE3" w:rsidRPr="0087376B">
        <w:rPr>
          <w:rFonts w:ascii="Arial" w:eastAsia="MS Mincho" w:hAnsi="Arial" w:cs="Arial"/>
          <w:kern w:val="24"/>
          <w:lang w:val="hr-HR" w:eastAsia="fr-FR"/>
        </w:rPr>
        <w:t xml:space="preserve"> </w:t>
      </w:r>
      <w:r>
        <w:rPr>
          <w:rFonts w:ascii="Arial" w:eastAsia="MS Mincho" w:hAnsi="Arial" w:cs="Arial"/>
          <w:kern w:val="24"/>
          <w:lang w:val="hr-HR" w:eastAsia="fr-FR"/>
        </w:rPr>
        <w:t>доспијећа</w:t>
      </w:r>
      <w:r w:rsidR="00625E9C">
        <w:rPr>
          <w:rFonts w:ascii="Arial" w:eastAsia="MS Mincho" w:hAnsi="Arial" w:cs="Arial"/>
          <w:kern w:val="24"/>
          <w:lang w:val="hr-HR" w:eastAsia="fr-FR"/>
        </w:rPr>
        <w:t>.</w:t>
      </w:r>
    </w:p>
    <w:p w14:paraId="1991550B" w14:textId="23B80C6C" w:rsidR="00625E9C" w:rsidRDefault="00625E9C" w:rsidP="007B6BE3">
      <w:pPr>
        <w:pStyle w:val="NoSpacing"/>
        <w:spacing w:line="276" w:lineRule="auto"/>
        <w:jc w:val="both"/>
        <w:rPr>
          <w:rFonts w:ascii="Arial" w:eastAsia="Times New Roman" w:hAnsi="Arial" w:cs="Arial"/>
          <w:sz w:val="20"/>
          <w:lang w:val="hr-HR"/>
        </w:rPr>
      </w:pPr>
    </w:p>
    <w:p w14:paraId="66C1563C" w14:textId="148E04D4" w:rsidR="0092788C" w:rsidRDefault="0092788C" w:rsidP="007B6BE3">
      <w:pPr>
        <w:pStyle w:val="NoSpacing"/>
        <w:spacing w:line="276" w:lineRule="auto"/>
        <w:jc w:val="both"/>
        <w:rPr>
          <w:rFonts w:ascii="Arial" w:eastAsia="Times New Roman" w:hAnsi="Arial" w:cs="Arial"/>
          <w:sz w:val="20"/>
          <w:lang w:val="hr-HR"/>
        </w:rPr>
      </w:pPr>
    </w:p>
    <w:p w14:paraId="275BE526" w14:textId="0B72BC1F" w:rsidR="0092788C" w:rsidRDefault="0092788C" w:rsidP="007B6BE3">
      <w:pPr>
        <w:pStyle w:val="NoSpacing"/>
        <w:spacing w:line="276" w:lineRule="auto"/>
        <w:jc w:val="both"/>
        <w:rPr>
          <w:rFonts w:ascii="Arial" w:eastAsia="Times New Roman" w:hAnsi="Arial" w:cs="Arial"/>
          <w:sz w:val="20"/>
          <w:lang w:val="hr-HR"/>
        </w:rPr>
      </w:pPr>
    </w:p>
    <w:p w14:paraId="4BA7B885" w14:textId="7C5E9630" w:rsidR="0092788C" w:rsidRDefault="0092788C" w:rsidP="007B6BE3">
      <w:pPr>
        <w:pStyle w:val="NoSpacing"/>
        <w:spacing w:line="276" w:lineRule="auto"/>
        <w:jc w:val="both"/>
        <w:rPr>
          <w:rFonts w:ascii="Arial" w:eastAsia="Times New Roman" w:hAnsi="Arial" w:cs="Arial"/>
          <w:sz w:val="20"/>
          <w:lang w:val="hr-HR"/>
        </w:rPr>
      </w:pPr>
    </w:p>
    <w:p w14:paraId="53B4A167" w14:textId="53A0D0E5" w:rsidR="0092788C" w:rsidRDefault="0092788C" w:rsidP="007B6BE3">
      <w:pPr>
        <w:pStyle w:val="NoSpacing"/>
        <w:spacing w:line="276" w:lineRule="auto"/>
        <w:jc w:val="both"/>
        <w:rPr>
          <w:rFonts w:ascii="Arial" w:eastAsia="Times New Roman" w:hAnsi="Arial" w:cs="Arial"/>
          <w:sz w:val="20"/>
          <w:lang w:val="hr-HR"/>
        </w:rPr>
      </w:pPr>
    </w:p>
    <w:p w14:paraId="5B7AD148" w14:textId="11BBAD2C" w:rsidR="0092788C" w:rsidRDefault="0092788C" w:rsidP="007B6BE3">
      <w:pPr>
        <w:pStyle w:val="NoSpacing"/>
        <w:spacing w:line="276" w:lineRule="auto"/>
        <w:jc w:val="both"/>
        <w:rPr>
          <w:rFonts w:ascii="Arial" w:eastAsia="Times New Roman" w:hAnsi="Arial" w:cs="Arial"/>
          <w:sz w:val="20"/>
          <w:lang w:val="hr-HR"/>
        </w:rPr>
      </w:pPr>
    </w:p>
    <w:p w14:paraId="67EF27AE" w14:textId="5CD22EFA" w:rsidR="0092788C" w:rsidRDefault="0092788C" w:rsidP="007B6BE3">
      <w:pPr>
        <w:pStyle w:val="NoSpacing"/>
        <w:spacing w:line="276" w:lineRule="auto"/>
        <w:jc w:val="both"/>
        <w:rPr>
          <w:rFonts w:ascii="Arial" w:eastAsia="Times New Roman" w:hAnsi="Arial" w:cs="Arial"/>
          <w:sz w:val="20"/>
          <w:lang w:val="hr-HR"/>
        </w:rPr>
      </w:pPr>
    </w:p>
    <w:p w14:paraId="066114D3" w14:textId="55689A9F" w:rsidR="0092788C" w:rsidRDefault="0092788C" w:rsidP="007B6BE3">
      <w:pPr>
        <w:pStyle w:val="NoSpacing"/>
        <w:spacing w:line="276" w:lineRule="auto"/>
        <w:jc w:val="both"/>
        <w:rPr>
          <w:rFonts w:ascii="Arial" w:eastAsia="Times New Roman" w:hAnsi="Arial" w:cs="Arial"/>
          <w:sz w:val="20"/>
          <w:lang w:val="hr-HR"/>
        </w:rPr>
      </w:pPr>
    </w:p>
    <w:p w14:paraId="2900B9E7" w14:textId="1BE89B3A" w:rsidR="0092788C" w:rsidRDefault="0092788C" w:rsidP="007B6BE3">
      <w:pPr>
        <w:pStyle w:val="NoSpacing"/>
        <w:spacing w:line="276" w:lineRule="auto"/>
        <w:jc w:val="both"/>
        <w:rPr>
          <w:rFonts w:ascii="Arial" w:eastAsia="Times New Roman" w:hAnsi="Arial" w:cs="Arial"/>
          <w:sz w:val="20"/>
          <w:lang w:val="hr-HR"/>
        </w:rPr>
      </w:pPr>
    </w:p>
    <w:p w14:paraId="4597BE69" w14:textId="6970A0C7" w:rsidR="0092788C" w:rsidRDefault="0092788C" w:rsidP="007B6BE3">
      <w:pPr>
        <w:pStyle w:val="NoSpacing"/>
        <w:spacing w:line="276" w:lineRule="auto"/>
        <w:jc w:val="both"/>
        <w:rPr>
          <w:rFonts w:ascii="Arial" w:eastAsia="Times New Roman" w:hAnsi="Arial" w:cs="Arial"/>
          <w:sz w:val="20"/>
          <w:lang w:val="hr-HR"/>
        </w:rPr>
      </w:pPr>
    </w:p>
    <w:p w14:paraId="20D4DBF2" w14:textId="21068ABD" w:rsidR="0092788C" w:rsidRDefault="0092788C" w:rsidP="007B6BE3">
      <w:pPr>
        <w:pStyle w:val="NoSpacing"/>
        <w:spacing w:line="276" w:lineRule="auto"/>
        <w:jc w:val="both"/>
        <w:rPr>
          <w:rFonts w:ascii="Arial" w:eastAsia="Times New Roman" w:hAnsi="Arial" w:cs="Arial"/>
          <w:sz w:val="20"/>
          <w:lang w:val="hr-HR"/>
        </w:rPr>
      </w:pPr>
    </w:p>
    <w:p w14:paraId="13053481" w14:textId="49BBE30C" w:rsidR="0092788C" w:rsidRDefault="0092788C" w:rsidP="007B6BE3">
      <w:pPr>
        <w:pStyle w:val="NoSpacing"/>
        <w:spacing w:line="276" w:lineRule="auto"/>
        <w:jc w:val="both"/>
        <w:rPr>
          <w:rFonts w:ascii="Arial" w:eastAsia="Times New Roman" w:hAnsi="Arial" w:cs="Arial"/>
          <w:sz w:val="20"/>
          <w:lang w:val="hr-HR"/>
        </w:rPr>
      </w:pPr>
    </w:p>
    <w:p w14:paraId="48022750" w14:textId="15AB0DBE" w:rsidR="0092788C" w:rsidRDefault="0092788C" w:rsidP="007B6BE3">
      <w:pPr>
        <w:pStyle w:val="NoSpacing"/>
        <w:spacing w:line="276" w:lineRule="auto"/>
        <w:jc w:val="both"/>
        <w:rPr>
          <w:rFonts w:ascii="Arial" w:eastAsia="Times New Roman" w:hAnsi="Arial" w:cs="Arial"/>
          <w:sz w:val="20"/>
          <w:lang w:val="hr-HR"/>
        </w:rPr>
      </w:pPr>
    </w:p>
    <w:p w14:paraId="5E3AF828" w14:textId="174EF0F9" w:rsidR="0092788C" w:rsidRDefault="0092788C" w:rsidP="007B6BE3">
      <w:pPr>
        <w:pStyle w:val="NoSpacing"/>
        <w:spacing w:line="276" w:lineRule="auto"/>
        <w:jc w:val="both"/>
        <w:rPr>
          <w:rFonts w:ascii="Arial" w:eastAsia="Times New Roman" w:hAnsi="Arial" w:cs="Arial"/>
          <w:sz w:val="20"/>
          <w:lang w:val="hr-HR"/>
        </w:rPr>
      </w:pPr>
    </w:p>
    <w:p w14:paraId="4A7F3D26" w14:textId="77777777" w:rsidR="0092788C" w:rsidRDefault="0092788C" w:rsidP="007B6BE3">
      <w:pPr>
        <w:pStyle w:val="NoSpacing"/>
        <w:spacing w:line="276" w:lineRule="auto"/>
        <w:jc w:val="both"/>
        <w:rPr>
          <w:rFonts w:ascii="Arial" w:eastAsia="Times New Roman" w:hAnsi="Arial" w:cs="Arial"/>
          <w:sz w:val="20"/>
          <w:lang w:val="hr-HR"/>
        </w:rPr>
      </w:pPr>
    </w:p>
    <w:p w14:paraId="7778354C" w14:textId="77777777" w:rsidR="007B6BE3" w:rsidRPr="0087376B" w:rsidRDefault="005B20F8" w:rsidP="007B6BE3">
      <w:pPr>
        <w:pStyle w:val="NoSpacing"/>
        <w:spacing w:line="276" w:lineRule="auto"/>
        <w:jc w:val="both"/>
        <w:rPr>
          <w:rFonts w:ascii="Arial" w:eastAsia="Times New Roman" w:hAnsi="Arial" w:cs="Arial"/>
          <w:lang w:val="hr-HR"/>
        </w:rPr>
      </w:pPr>
      <w:r w:rsidRPr="005325A0">
        <w:rPr>
          <w:rFonts w:ascii="Arial" w:eastAsia="Times New Roman" w:hAnsi="Arial" w:cs="Arial"/>
          <w:sz w:val="20"/>
          <w:lang w:val="hr-HR"/>
        </w:rPr>
        <w:lastRenderedPageBreak/>
        <w:t>Слика</w:t>
      </w:r>
      <w:r w:rsidR="007B6BE3" w:rsidRPr="005325A0">
        <w:rPr>
          <w:rFonts w:ascii="Arial" w:eastAsia="Times New Roman" w:hAnsi="Arial" w:cs="Arial"/>
          <w:sz w:val="20"/>
          <w:lang w:val="hr-HR"/>
        </w:rPr>
        <w:t xml:space="preserve"> 8. </w:t>
      </w:r>
      <w:r w:rsidRPr="005325A0">
        <w:rPr>
          <w:rFonts w:ascii="Arial" w:eastAsia="Times New Roman" w:hAnsi="Arial" w:cs="Arial"/>
          <w:sz w:val="20"/>
          <w:lang w:val="hr-HR"/>
        </w:rPr>
        <w:t>Кретање</w:t>
      </w:r>
      <w:r w:rsidR="007B6BE3" w:rsidRPr="005325A0">
        <w:rPr>
          <w:rFonts w:ascii="Arial" w:eastAsia="Times New Roman" w:hAnsi="Arial" w:cs="Arial"/>
          <w:sz w:val="20"/>
          <w:lang w:val="hr-HR"/>
        </w:rPr>
        <w:t xml:space="preserve"> </w:t>
      </w:r>
      <w:r w:rsidRPr="005325A0">
        <w:rPr>
          <w:rFonts w:ascii="Arial" w:eastAsia="Times New Roman" w:hAnsi="Arial" w:cs="Arial"/>
          <w:sz w:val="20"/>
          <w:lang w:val="hr-HR"/>
        </w:rPr>
        <w:t>унутрашњег</w:t>
      </w:r>
      <w:r w:rsidR="007B6BE3" w:rsidRPr="005325A0">
        <w:rPr>
          <w:rFonts w:ascii="Arial" w:eastAsia="Times New Roman" w:hAnsi="Arial" w:cs="Arial"/>
          <w:sz w:val="20"/>
          <w:lang w:val="hr-HR"/>
        </w:rPr>
        <w:t xml:space="preserve"> </w:t>
      </w:r>
      <w:r w:rsidRPr="005325A0">
        <w:rPr>
          <w:rFonts w:ascii="Arial" w:eastAsia="Times New Roman" w:hAnsi="Arial" w:cs="Arial"/>
          <w:sz w:val="20"/>
          <w:lang w:val="hr-HR"/>
        </w:rPr>
        <w:t>дуга</w:t>
      </w:r>
      <w:r w:rsidR="007B6BE3" w:rsidRPr="005325A0">
        <w:rPr>
          <w:rFonts w:ascii="Arial" w:eastAsia="Times New Roman" w:hAnsi="Arial" w:cs="Arial"/>
          <w:sz w:val="20"/>
          <w:lang w:val="hr-HR"/>
        </w:rPr>
        <w:t xml:space="preserve"> </w:t>
      </w:r>
      <w:r w:rsidRPr="005325A0">
        <w:rPr>
          <w:rFonts w:ascii="Arial" w:hAnsi="Arial" w:cs="Arial"/>
          <w:sz w:val="20"/>
          <w:lang w:val="hr-HR"/>
        </w:rPr>
        <w:t>Федерације</w:t>
      </w:r>
      <w:r w:rsidR="007B6BE3" w:rsidRPr="005325A0">
        <w:rPr>
          <w:rFonts w:ascii="Arial" w:hAnsi="Arial" w:cs="Arial"/>
          <w:sz w:val="20"/>
          <w:lang w:val="hr-HR"/>
        </w:rPr>
        <w:t xml:space="preserve"> </w:t>
      </w:r>
      <w:r w:rsidRPr="005325A0">
        <w:rPr>
          <w:rFonts w:ascii="Arial" w:hAnsi="Arial" w:cs="Arial"/>
          <w:sz w:val="20"/>
          <w:lang w:val="hr-HR"/>
        </w:rPr>
        <w:t>БиХ</w:t>
      </w:r>
      <w:r w:rsidR="007B6BE3" w:rsidRPr="005325A0">
        <w:rPr>
          <w:rFonts w:ascii="Arial" w:hAnsi="Arial" w:cs="Arial"/>
          <w:bCs/>
          <w:sz w:val="20"/>
          <w:lang w:val="hr-HR"/>
        </w:rPr>
        <w:t xml:space="preserve"> </w:t>
      </w:r>
      <w:r w:rsidRPr="005325A0">
        <w:rPr>
          <w:rFonts w:ascii="Arial" w:eastAsia="Times New Roman" w:hAnsi="Arial" w:cs="Arial"/>
          <w:sz w:val="20"/>
          <w:lang w:val="hr-HR"/>
        </w:rPr>
        <w:t>по</w:t>
      </w:r>
      <w:r w:rsidR="007B6BE3" w:rsidRPr="005325A0">
        <w:rPr>
          <w:rFonts w:ascii="Arial" w:eastAsia="Times New Roman" w:hAnsi="Arial" w:cs="Arial"/>
          <w:sz w:val="20"/>
          <w:lang w:val="hr-HR"/>
        </w:rPr>
        <w:t xml:space="preserve"> </w:t>
      </w:r>
      <w:r w:rsidRPr="005325A0">
        <w:rPr>
          <w:rFonts w:ascii="Arial" w:eastAsia="Times New Roman" w:hAnsi="Arial" w:cs="Arial"/>
          <w:sz w:val="20"/>
          <w:lang w:val="hr-HR"/>
        </w:rPr>
        <w:t>основу</w:t>
      </w:r>
      <w:r w:rsidR="007B6BE3" w:rsidRPr="005325A0">
        <w:rPr>
          <w:rFonts w:ascii="Arial" w:eastAsia="Times New Roman" w:hAnsi="Arial" w:cs="Arial"/>
          <w:sz w:val="20"/>
          <w:lang w:val="hr-HR"/>
        </w:rPr>
        <w:t xml:space="preserve"> </w:t>
      </w:r>
      <w:r w:rsidRPr="005325A0">
        <w:rPr>
          <w:rFonts w:ascii="Arial" w:eastAsia="Times New Roman" w:hAnsi="Arial" w:cs="Arial"/>
          <w:sz w:val="20"/>
          <w:lang w:val="hr-HR"/>
        </w:rPr>
        <w:t>тржишних</w:t>
      </w:r>
      <w:r w:rsidR="007B6BE3" w:rsidRPr="005325A0">
        <w:rPr>
          <w:rFonts w:ascii="Arial" w:eastAsia="Times New Roman" w:hAnsi="Arial" w:cs="Arial"/>
          <w:sz w:val="20"/>
          <w:lang w:val="hr-HR"/>
        </w:rPr>
        <w:t xml:space="preserve"> </w:t>
      </w:r>
      <w:r w:rsidRPr="005325A0">
        <w:rPr>
          <w:rFonts w:ascii="Arial" w:eastAsia="Times New Roman" w:hAnsi="Arial" w:cs="Arial"/>
          <w:sz w:val="20"/>
          <w:lang w:val="hr-HR"/>
        </w:rPr>
        <w:t>вриједносних</w:t>
      </w:r>
      <w:r w:rsidR="007B6BE3" w:rsidRPr="005325A0">
        <w:rPr>
          <w:rFonts w:ascii="Arial" w:eastAsia="Times New Roman" w:hAnsi="Arial" w:cs="Arial"/>
          <w:sz w:val="20"/>
          <w:lang w:val="hr-HR"/>
        </w:rPr>
        <w:t xml:space="preserve"> </w:t>
      </w:r>
      <w:r w:rsidRPr="005325A0">
        <w:rPr>
          <w:rFonts w:ascii="Arial" w:eastAsia="Times New Roman" w:hAnsi="Arial" w:cs="Arial"/>
          <w:sz w:val="20"/>
          <w:lang w:val="hr-HR"/>
        </w:rPr>
        <w:t>папира</w:t>
      </w:r>
      <w:r w:rsidR="007B6BE3" w:rsidRPr="005325A0">
        <w:rPr>
          <w:rFonts w:ascii="Arial" w:eastAsia="Times New Roman" w:hAnsi="Arial" w:cs="Arial"/>
          <w:sz w:val="20"/>
          <w:lang w:val="hr-HR"/>
        </w:rPr>
        <w:t xml:space="preserve"> </w:t>
      </w:r>
      <w:r w:rsidRPr="005325A0">
        <w:rPr>
          <w:rFonts w:ascii="Arial" w:eastAsia="Times New Roman" w:hAnsi="Arial" w:cs="Arial"/>
          <w:sz w:val="20"/>
          <w:lang w:val="hr-HR"/>
        </w:rPr>
        <w:t>у</w:t>
      </w:r>
      <w:r w:rsidR="007B6BE3" w:rsidRPr="005325A0">
        <w:rPr>
          <w:rFonts w:ascii="Arial" w:eastAsia="Times New Roman" w:hAnsi="Arial" w:cs="Arial"/>
          <w:sz w:val="20"/>
          <w:lang w:val="hr-HR"/>
        </w:rPr>
        <w:t xml:space="preserve"> </w:t>
      </w:r>
      <w:r w:rsidRPr="005325A0">
        <w:rPr>
          <w:rFonts w:ascii="Arial" w:eastAsia="Times New Roman" w:hAnsi="Arial" w:cs="Arial"/>
          <w:sz w:val="20"/>
          <w:lang w:val="hr-HR"/>
        </w:rPr>
        <w:t>периоду</w:t>
      </w:r>
      <w:r w:rsidR="007B6BE3" w:rsidRPr="005325A0">
        <w:rPr>
          <w:rFonts w:ascii="Arial" w:eastAsia="Times New Roman" w:hAnsi="Arial" w:cs="Arial"/>
          <w:sz w:val="20"/>
          <w:lang w:val="hr-HR"/>
        </w:rPr>
        <w:t xml:space="preserve"> 2013 – 2022. (</w:t>
      </w:r>
      <w:r w:rsidRPr="005325A0">
        <w:rPr>
          <w:rFonts w:ascii="Arial" w:eastAsia="Times New Roman" w:hAnsi="Arial" w:cs="Arial"/>
          <w:sz w:val="20"/>
          <w:lang w:val="hr-HR"/>
        </w:rPr>
        <w:t>мил</w:t>
      </w:r>
      <w:r w:rsidR="007B6BE3" w:rsidRPr="005325A0">
        <w:rPr>
          <w:rFonts w:ascii="Arial" w:eastAsia="Times New Roman" w:hAnsi="Arial" w:cs="Arial"/>
          <w:sz w:val="20"/>
          <w:lang w:val="hr-HR"/>
        </w:rPr>
        <w:t xml:space="preserve">. </w:t>
      </w:r>
      <w:r w:rsidRPr="005325A0">
        <w:rPr>
          <w:rFonts w:ascii="Arial" w:eastAsia="Times New Roman" w:hAnsi="Arial" w:cs="Arial"/>
          <w:sz w:val="20"/>
          <w:lang w:val="hr-HR"/>
        </w:rPr>
        <w:t>КМ</w:t>
      </w:r>
      <w:r w:rsidR="007B6BE3" w:rsidRPr="005325A0">
        <w:rPr>
          <w:rFonts w:ascii="Arial" w:eastAsia="Times New Roman" w:hAnsi="Arial" w:cs="Arial"/>
          <w:sz w:val="20"/>
          <w:lang w:val="hr-HR"/>
        </w:rPr>
        <w:t>)</w:t>
      </w:r>
      <w:r w:rsidR="007B6BE3" w:rsidRPr="00625E9C">
        <w:rPr>
          <w:rFonts w:ascii="Arial" w:eastAsia="Times New Roman" w:hAnsi="Arial" w:cs="Arial"/>
          <w:sz w:val="20"/>
          <w:lang w:val="hr-HR"/>
        </w:rPr>
        <w:t xml:space="preserve">    </w:t>
      </w:r>
    </w:p>
    <w:p w14:paraId="1A0CC72C" w14:textId="433D0B6A" w:rsidR="005325A0" w:rsidRPr="00E04BE0" w:rsidRDefault="005325A0" w:rsidP="007B6BE3">
      <w:pPr>
        <w:pStyle w:val="NoSpacing"/>
        <w:spacing w:line="276" w:lineRule="auto"/>
        <w:jc w:val="both"/>
        <w:rPr>
          <w:rFonts w:ascii="Arial" w:eastAsia="Times New Roman" w:hAnsi="Arial" w:cs="Arial"/>
          <w:lang w:val="hr-HR"/>
        </w:rPr>
      </w:pPr>
      <w:r>
        <w:rPr>
          <w:noProof/>
        </w:rPr>
        <w:drawing>
          <wp:inline distT="0" distB="0" distL="0" distR="0" wp14:anchorId="17EBAC84" wp14:editId="103C703C">
            <wp:extent cx="5925600" cy="2253600"/>
            <wp:effectExtent l="0" t="0" r="18415" b="13970"/>
            <wp:docPr id="21" name="Chart 2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AB24080" w14:textId="77777777" w:rsidR="007B6BE3" w:rsidRPr="0087376B" w:rsidRDefault="005B20F8" w:rsidP="007B6BE3">
      <w:pPr>
        <w:pStyle w:val="NoSpacing"/>
        <w:spacing w:line="276" w:lineRule="auto"/>
        <w:ind w:firstLine="426"/>
        <w:jc w:val="both"/>
        <w:rPr>
          <w:rFonts w:ascii="Arial" w:eastAsia="Times New Roman" w:hAnsi="Arial" w:cs="Arial"/>
          <w:szCs w:val="24"/>
          <w:lang w:val="hr-HR"/>
        </w:rPr>
      </w:pPr>
      <w:r>
        <w:rPr>
          <w:rFonts w:ascii="Arial" w:eastAsia="Times New Roman" w:hAnsi="Arial" w:cs="Arial"/>
          <w:szCs w:val="24"/>
          <w:lang w:val="hr-HR"/>
        </w:rPr>
        <w:t>У</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намјери</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да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осигура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даљи</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развој</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домаћег</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тржишта</w:t>
      </w:r>
      <w:r w:rsidR="007B6BE3" w:rsidRPr="0087376B">
        <w:rPr>
          <w:rFonts w:ascii="Arial" w:eastAsia="Times New Roman" w:hAnsi="Arial" w:cs="Arial"/>
          <w:szCs w:val="24"/>
          <w:lang w:val="hr-HR"/>
        </w:rPr>
        <w:t xml:space="preserve"> </w:t>
      </w:r>
      <w:r>
        <w:rPr>
          <w:rFonts w:ascii="Arial" w:hAnsi="Arial" w:cs="Arial"/>
          <w:lang w:val="hr-HR"/>
        </w:rPr>
        <w:t>хартија</w:t>
      </w:r>
      <w:r w:rsidR="009D7230">
        <w:rPr>
          <w:rFonts w:ascii="Arial" w:hAnsi="Arial" w:cs="Arial"/>
          <w:lang w:val="hr-HR"/>
        </w:rPr>
        <w:t xml:space="preserve"> </w:t>
      </w:r>
      <w:r>
        <w:rPr>
          <w:rFonts w:ascii="Arial" w:hAnsi="Arial" w:cs="Arial"/>
          <w:lang w:val="hr-HR"/>
        </w:rPr>
        <w:t>од</w:t>
      </w:r>
      <w:r w:rsidR="009D7230">
        <w:rPr>
          <w:rFonts w:ascii="Arial" w:hAnsi="Arial" w:cs="Arial"/>
          <w:lang w:val="hr-HR"/>
        </w:rPr>
        <w:t xml:space="preserve"> </w:t>
      </w:r>
      <w:r>
        <w:rPr>
          <w:rFonts w:ascii="Arial" w:hAnsi="Arial" w:cs="Arial"/>
          <w:lang w:val="hr-HR"/>
        </w:rPr>
        <w:t>вриједности</w:t>
      </w:r>
      <w:r w:rsidR="009D7230" w:rsidRPr="0087376B">
        <w:rPr>
          <w:rFonts w:ascii="Arial" w:eastAsia="Times New Roman" w:hAnsi="Arial" w:cs="Arial"/>
          <w:szCs w:val="24"/>
          <w:lang w:val="hr-HR"/>
        </w:rPr>
        <w:t xml:space="preserve"> </w:t>
      </w:r>
      <w:r>
        <w:rPr>
          <w:rFonts w:ascii="Arial" w:eastAsia="Times New Roman" w:hAnsi="Arial" w:cs="Arial"/>
          <w:szCs w:val="24"/>
          <w:lang w:val="hr-HR"/>
        </w:rPr>
        <w:t>и</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транспарентност</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задуживања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водећи</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при</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том</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рачуна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о</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својим</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финансијским</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потребама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и</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трошковима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Влада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Федерације</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БиХ</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ће</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наставити</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са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аукцијама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обвезница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у</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мјери</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која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је</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потребна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да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се</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износ</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средстава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на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Јединственом</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рачуну</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трезора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Федерације</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БиХ</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одржава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на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задовољавајућем</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нивоу</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као</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и</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аукцијама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трезорских</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записа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у</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случају</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појаве</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дефицита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јединственог</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рачуна</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узрокованог</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неусклађеношћу</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готовинских</w:t>
      </w:r>
      <w:r w:rsidR="007B6BE3" w:rsidRPr="0087376B">
        <w:rPr>
          <w:rFonts w:ascii="Arial" w:eastAsia="Times New Roman" w:hAnsi="Arial" w:cs="Arial"/>
          <w:szCs w:val="24"/>
          <w:lang w:val="hr-HR"/>
        </w:rPr>
        <w:t xml:space="preserve"> </w:t>
      </w:r>
      <w:r>
        <w:rPr>
          <w:rFonts w:ascii="Arial" w:eastAsia="Times New Roman" w:hAnsi="Arial" w:cs="Arial"/>
          <w:szCs w:val="24"/>
          <w:lang w:val="hr-HR"/>
        </w:rPr>
        <w:t>токова</w:t>
      </w:r>
      <w:r w:rsidR="007B6BE3" w:rsidRPr="0087376B">
        <w:rPr>
          <w:rFonts w:ascii="Arial" w:eastAsia="Times New Roman" w:hAnsi="Arial" w:cs="Arial"/>
          <w:szCs w:val="24"/>
          <w:lang w:val="hr-HR"/>
        </w:rPr>
        <w:t xml:space="preserve">. </w:t>
      </w:r>
    </w:p>
    <w:p w14:paraId="136129D9" w14:textId="77777777" w:rsidR="007B6BE3" w:rsidRPr="0087376B" w:rsidRDefault="007B6BE3" w:rsidP="007B6BE3">
      <w:pPr>
        <w:pStyle w:val="NoSpacing"/>
        <w:spacing w:line="276" w:lineRule="auto"/>
        <w:ind w:firstLine="426"/>
        <w:jc w:val="both"/>
        <w:rPr>
          <w:rFonts w:ascii="Arial" w:eastAsia="MS Mincho" w:hAnsi="Arial" w:cs="Arial"/>
          <w:kern w:val="24"/>
          <w:szCs w:val="24"/>
          <w:lang w:val="hr-HR" w:eastAsia="fr-FR"/>
        </w:rPr>
      </w:pPr>
    </w:p>
    <w:p w14:paraId="118F17EB" w14:textId="77777777" w:rsidR="007B6BE3" w:rsidRPr="0087376B" w:rsidRDefault="005B20F8" w:rsidP="007B6BE3">
      <w:pPr>
        <w:pStyle w:val="NoSpacing"/>
        <w:spacing w:line="276" w:lineRule="auto"/>
        <w:ind w:firstLine="426"/>
        <w:jc w:val="both"/>
        <w:rPr>
          <w:rFonts w:ascii="Arial" w:eastAsia="MS Mincho" w:hAnsi="Arial" w:cs="Arial"/>
          <w:kern w:val="24"/>
          <w:szCs w:val="24"/>
          <w:lang w:val="hr-HR" w:eastAsia="fr-FR"/>
        </w:rPr>
      </w:pPr>
      <w:r>
        <w:rPr>
          <w:rFonts w:ascii="Arial" w:eastAsia="MS Mincho" w:hAnsi="Arial" w:cs="Arial"/>
          <w:kern w:val="24"/>
          <w:szCs w:val="24"/>
          <w:lang w:val="hr-HR" w:eastAsia="fr-FR"/>
        </w:rPr>
        <w:t>Број</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емисија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висина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понуде</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трезорских</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записа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рочности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три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шест</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девет</w:t>
      </w:r>
      <w:r w:rsidR="007B6BE3" w:rsidRPr="0087376B" w:rsidDel="00017C6F">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дванаест</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мјесеци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ће</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варирати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зависно</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од</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потреба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трезора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у</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процесу</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управљања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ликвидношћу</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За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будућа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издања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обвезница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Федерација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ће</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узимати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у</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обзир</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интересе</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инвеститора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али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ће</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настојати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продужити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просјечно</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вријеме</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доспијећа</w:t>
      </w:r>
      <w:r w:rsidR="007B6BE3" w:rsidRPr="0087376B">
        <w:rPr>
          <w:rFonts w:ascii="Arial" w:eastAsia="MS Mincho" w:hAnsi="Arial" w:cs="Arial"/>
          <w:kern w:val="24"/>
          <w:szCs w:val="24"/>
          <w:lang w:val="hr-HR" w:eastAsia="fr-FR"/>
        </w:rPr>
        <w:t xml:space="preserve"> </w:t>
      </w:r>
      <w:r>
        <w:rPr>
          <w:rFonts w:ascii="Arial" w:hAnsi="Arial" w:cs="Arial"/>
          <w:lang w:val="hr-HR"/>
        </w:rPr>
        <w:t>хартија</w:t>
      </w:r>
      <w:r w:rsidR="009D7230">
        <w:rPr>
          <w:rFonts w:ascii="Arial" w:hAnsi="Arial" w:cs="Arial"/>
          <w:lang w:val="hr-HR"/>
        </w:rPr>
        <w:t xml:space="preserve"> </w:t>
      </w:r>
      <w:r>
        <w:rPr>
          <w:rFonts w:ascii="Arial" w:hAnsi="Arial" w:cs="Arial"/>
          <w:lang w:val="hr-HR"/>
        </w:rPr>
        <w:t>од</w:t>
      </w:r>
      <w:r w:rsidR="009D7230">
        <w:rPr>
          <w:rFonts w:ascii="Arial" w:hAnsi="Arial" w:cs="Arial"/>
          <w:lang w:val="hr-HR"/>
        </w:rPr>
        <w:t xml:space="preserve"> </w:t>
      </w:r>
      <w:r>
        <w:rPr>
          <w:rFonts w:ascii="Arial" w:hAnsi="Arial" w:cs="Arial"/>
          <w:lang w:val="hr-HR"/>
        </w:rPr>
        <w:t>вриједности</w:t>
      </w:r>
      <w:r w:rsidR="009D7230"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издавањем</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обвезница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са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доспијећем</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дужим</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од</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пет</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година</w:t>
      </w:r>
      <w:r w:rsidR="007B6BE3" w:rsidRPr="0087376B">
        <w:rPr>
          <w:rFonts w:ascii="Arial" w:eastAsia="MS Mincho" w:hAnsi="Arial" w:cs="Arial"/>
          <w:kern w:val="24"/>
          <w:szCs w:val="24"/>
          <w:lang w:val="hr-HR" w:eastAsia="fr-FR"/>
        </w:rPr>
        <w:t xml:space="preserve">. </w:t>
      </w:r>
    </w:p>
    <w:p w14:paraId="39953AAF" w14:textId="77777777" w:rsidR="007B6BE3" w:rsidRPr="0087376B" w:rsidRDefault="007B6BE3" w:rsidP="007B6BE3">
      <w:pPr>
        <w:pStyle w:val="NoSpacing"/>
        <w:spacing w:line="276" w:lineRule="auto"/>
        <w:ind w:firstLine="426"/>
        <w:jc w:val="both"/>
        <w:rPr>
          <w:rFonts w:ascii="Arial" w:eastAsia="MS Mincho" w:hAnsi="Arial" w:cs="Arial"/>
          <w:kern w:val="24"/>
          <w:szCs w:val="24"/>
          <w:lang w:val="hr-HR" w:eastAsia="fr-FR"/>
        </w:rPr>
      </w:pPr>
    </w:p>
    <w:p w14:paraId="2CF91AC6" w14:textId="77777777" w:rsidR="007B6BE3" w:rsidRPr="0087376B" w:rsidRDefault="005B20F8" w:rsidP="007B6BE3">
      <w:pPr>
        <w:pStyle w:val="NoSpacing"/>
        <w:spacing w:line="276" w:lineRule="auto"/>
        <w:ind w:firstLine="426"/>
        <w:jc w:val="both"/>
        <w:rPr>
          <w:rFonts w:ascii="Arial" w:eastAsia="MS Mincho" w:hAnsi="Arial" w:cs="Arial"/>
          <w:kern w:val="24"/>
          <w:szCs w:val="24"/>
          <w:lang w:val="hr-HR" w:eastAsia="fr-FR"/>
        </w:rPr>
      </w:pPr>
      <w:r>
        <w:rPr>
          <w:rFonts w:ascii="Arial" w:eastAsia="MS Mincho" w:hAnsi="Arial" w:cs="Arial"/>
          <w:kern w:val="24"/>
          <w:szCs w:val="24"/>
          <w:lang w:val="hr-HR" w:eastAsia="fr-FR"/>
        </w:rPr>
        <w:t>Аукције</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тржишних</w:t>
      </w:r>
      <w:r w:rsidR="007B6BE3" w:rsidRPr="0087376B">
        <w:rPr>
          <w:rFonts w:ascii="Arial" w:eastAsia="MS Mincho" w:hAnsi="Arial" w:cs="Arial"/>
          <w:kern w:val="24"/>
          <w:szCs w:val="24"/>
          <w:lang w:val="hr-HR" w:eastAsia="fr-FR"/>
        </w:rPr>
        <w:t xml:space="preserve"> </w:t>
      </w:r>
      <w:r>
        <w:rPr>
          <w:rFonts w:ascii="Arial" w:hAnsi="Arial" w:cs="Arial"/>
          <w:lang w:val="hr-HR"/>
        </w:rPr>
        <w:t>хартија</w:t>
      </w:r>
      <w:r w:rsidR="009D7230">
        <w:rPr>
          <w:rFonts w:ascii="Arial" w:hAnsi="Arial" w:cs="Arial"/>
          <w:lang w:val="hr-HR"/>
        </w:rPr>
        <w:t xml:space="preserve"> </w:t>
      </w:r>
      <w:r>
        <w:rPr>
          <w:rFonts w:ascii="Arial" w:hAnsi="Arial" w:cs="Arial"/>
          <w:lang w:val="hr-HR"/>
        </w:rPr>
        <w:t>од</w:t>
      </w:r>
      <w:r w:rsidR="009D7230">
        <w:rPr>
          <w:rFonts w:ascii="Arial" w:hAnsi="Arial" w:cs="Arial"/>
          <w:lang w:val="hr-HR"/>
        </w:rPr>
        <w:t xml:space="preserve"> </w:t>
      </w:r>
      <w:r>
        <w:rPr>
          <w:rFonts w:ascii="Arial" w:hAnsi="Arial" w:cs="Arial"/>
          <w:lang w:val="hr-HR"/>
        </w:rPr>
        <w:t>вриједности</w:t>
      </w:r>
      <w:r w:rsidR="009D7230"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Федерације</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БиХ</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одржавају</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се</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у</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складу</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са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годишњим</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индикативним</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календаром</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аукција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који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Министарство</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финансија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објављује</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на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својој</w:t>
      </w:r>
      <w:r w:rsidR="007B6BE3" w:rsidRPr="0087376B">
        <w:rPr>
          <w:rFonts w:ascii="Arial" w:eastAsia="MS Mincho" w:hAnsi="Arial" w:cs="Arial"/>
          <w:kern w:val="24"/>
          <w:szCs w:val="24"/>
          <w:lang w:val="hr-HR" w:eastAsia="fr-FR"/>
        </w:rPr>
        <w:t xml:space="preserve"> </w:t>
      </w:r>
      <w:r w:rsidR="007B6BE3" w:rsidRPr="00E04BE0">
        <w:rPr>
          <w:rFonts w:ascii="Arial" w:eastAsia="MS Mincho" w:hAnsi="Arial" w:cs="Arial"/>
          <w:kern w:val="24"/>
          <w:szCs w:val="24"/>
          <w:lang w:val="hr-HR" w:eastAsia="fr-FR"/>
        </w:rPr>
        <w:t>w</w:t>
      </w:r>
      <w:r w:rsidRPr="00E04BE0">
        <w:rPr>
          <w:rFonts w:ascii="Arial" w:eastAsia="MS Mincho" w:hAnsi="Arial" w:cs="Arial"/>
          <w:kern w:val="24"/>
          <w:szCs w:val="24"/>
          <w:lang w:val="hr-HR" w:eastAsia="fr-FR"/>
        </w:rPr>
        <w:t>е</w:t>
      </w:r>
      <w:r w:rsidR="00E04BE0" w:rsidRPr="00E04BE0">
        <w:rPr>
          <w:rFonts w:ascii="Arial" w:eastAsia="MS Mincho" w:hAnsi="Arial" w:cs="Arial"/>
          <w:kern w:val="24"/>
          <w:szCs w:val="24"/>
          <w:lang w:val="hr-HR" w:eastAsia="fr-FR"/>
        </w:rPr>
        <w:t>b</w:t>
      </w:r>
      <w:r w:rsidR="007B6BE3" w:rsidRPr="00E04BE0">
        <w:rPr>
          <w:rFonts w:ascii="Arial" w:eastAsia="MS Mincho" w:hAnsi="Arial" w:cs="Arial"/>
          <w:kern w:val="24"/>
          <w:szCs w:val="24"/>
          <w:lang w:val="hr-HR" w:eastAsia="fr-FR"/>
        </w:rPr>
        <w:t xml:space="preserve"> </w:t>
      </w:r>
      <w:r w:rsidRPr="00E04BE0">
        <w:rPr>
          <w:rFonts w:ascii="Arial" w:eastAsia="MS Mincho" w:hAnsi="Arial" w:cs="Arial"/>
          <w:kern w:val="24"/>
          <w:szCs w:val="24"/>
          <w:lang w:val="hr-HR" w:eastAsia="fr-FR"/>
        </w:rPr>
        <w:t>страници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осим</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у</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случају</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када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због</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задовољавајуће</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ликвидности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јединственог</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рачуна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трезора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Министарство</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финансија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откаже</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најављене</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аукције</w:t>
      </w:r>
      <w:r w:rsidR="007B6BE3" w:rsidRPr="0087376B">
        <w:rPr>
          <w:rFonts w:ascii="Arial" w:eastAsia="MS Mincho" w:hAnsi="Arial" w:cs="Arial"/>
          <w:kern w:val="24"/>
          <w:szCs w:val="24"/>
          <w:lang w:val="hr-HR" w:eastAsia="fr-FR"/>
        </w:rPr>
        <w:t xml:space="preserve">. </w:t>
      </w:r>
      <w:r w:rsidR="009D7230">
        <w:rPr>
          <w:rFonts w:ascii="Arial" w:eastAsia="MS Mincho" w:hAnsi="Arial" w:cs="Arial"/>
          <w:kern w:val="24"/>
          <w:szCs w:val="24"/>
          <w:lang w:val="hr-HR" w:eastAsia="fr-FR"/>
        </w:rPr>
        <w:t xml:space="preserve"> </w:t>
      </w:r>
    </w:p>
    <w:p w14:paraId="6B84F78B" w14:textId="77777777" w:rsidR="007B6BE3" w:rsidRPr="0087376B" w:rsidRDefault="007B6BE3" w:rsidP="007B6BE3">
      <w:pPr>
        <w:pStyle w:val="NoSpacing"/>
        <w:jc w:val="both"/>
        <w:rPr>
          <w:rFonts w:ascii="Arial" w:eastAsia="MS Mincho" w:hAnsi="Arial" w:cs="Arial"/>
          <w:kern w:val="24"/>
          <w:sz w:val="14"/>
          <w:szCs w:val="24"/>
          <w:lang w:val="hr-HR" w:eastAsia="fr-FR"/>
        </w:rPr>
      </w:pPr>
    </w:p>
    <w:p w14:paraId="671972A0" w14:textId="77777777" w:rsidR="007B6BE3" w:rsidRPr="0087376B" w:rsidRDefault="005B20F8" w:rsidP="007B6BE3">
      <w:pPr>
        <w:pStyle w:val="NoSpacing"/>
        <w:jc w:val="both"/>
        <w:rPr>
          <w:rFonts w:ascii="Arial" w:eastAsia="MS Mincho" w:hAnsi="Arial" w:cs="Arial"/>
          <w:kern w:val="24"/>
          <w:szCs w:val="24"/>
          <w:lang w:val="hr-HR" w:eastAsia="fr-FR"/>
        </w:rPr>
      </w:pPr>
      <w:r>
        <w:rPr>
          <w:rFonts w:ascii="Arial" w:eastAsia="MS Mincho" w:hAnsi="Arial" w:cs="Arial"/>
          <w:kern w:val="24"/>
          <w:szCs w:val="24"/>
          <w:lang w:val="hr-HR" w:eastAsia="fr-FR"/>
        </w:rPr>
        <w:t>Табела</w:t>
      </w:r>
      <w:r w:rsidR="007B6BE3" w:rsidRPr="0087376B">
        <w:rPr>
          <w:rFonts w:ascii="Arial" w:eastAsia="MS Mincho" w:hAnsi="Arial" w:cs="Arial"/>
          <w:kern w:val="24"/>
          <w:szCs w:val="24"/>
          <w:lang w:val="hr-HR" w:eastAsia="fr-FR"/>
        </w:rPr>
        <w:t xml:space="preserve"> 9. </w:t>
      </w:r>
      <w:r>
        <w:rPr>
          <w:rFonts w:ascii="Arial" w:eastAsia="MS Mincho" w:hAnsi="Arial" w:cs="Arial"/>
          <w:kern w:val="24"/>
          <w:szCs w:val="24"/>
          <w:lang w:val="hr-HR" w:eastAsia="fr-FR"/>
        </w:rPr>
        <w:t>Структура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трошкови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ризици</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домаћих</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извора</w:t>
      </w:r>
      <w:r w:rsidR="007B6BE3" w:rsidRPr="0087376B">
        <w:rPr>
          <w:rFonts w:ascii="Arial" w:eastAsia="MS Mincho" w:hAnsi="Arial" w:cs="Arial"/>
          <w:kern w:val="24"/>
          <w:szCs w:val="24"/>
          <w:lang w:val="hr-HR" w:eastAsia="fr-FR"/>
        </w:rPr>
        <w:t xml:space="preserve"> </w:t>
      </w:r>
      <w:r>
        <w:rPr>
          <w:rFonts w:ascii="Arial" w:eastAsia="MS Mincho" w:hAnsi="Arial" w:cs="Arial"/>
          <w:kern w:val="24"/>
          <w:szCs w:val="24"/>
          <w:lang w:val="hr-HR" w:eastAsia="fr-FR"/>
        </w:rPr>
        <w:t>финансирања</w:t>
      </w:r>
    </w:p>
    <w:tbl>
      <w:tblPr>
        <w:tblStyle w:val="GridTable4-Accent11"/>
        <w:tblpPr w:leftFromText="180" w:rightFromText="180" w:vertAnchor="text" w:tblpY="50"/>
        <w:tblW w:w="935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53"/>
        <w:gridCol w:w="3429"/>
        <w:gridCol w:w="4369"/>
      </w:tblGrid>
      <w:tr w:rsidR="007B6BE3" w:rsidRPr="0087376B" w14:paraId="246989DE" w14:textId="77777777" w:rsidTr="007B6BE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564F49F4" w14:textId="77777777" w:rsidR="007B6BE3" w:rsidRPr="0087376B" w:rsidRDefault="005B20F8" w:rsidP="007B6BE3">
            <w:pPr>
              <w:pStyle w:val="NoSpacing"/>
              <w:jc w:val="center"/>
              <w:rPr>
                <w:rFonts w:ascii="Arial Narrow" w:hAnsi="Arial Narrow" w:cs="Arial"/>
                <w:b w:val="0"/>
                <w:i/>
                <w:color w:val="auto"/>
                <w:sz w:val="20"/>
                <w:szCs w:val="20"/>
                <w:lang w:val="hr-HR"/>
              </w:rPr>
            </w:pPr>
            <w:r>
              <w:rPr>
                <w:rFonts w:ascii="Arial Narrow" w:hAnsi="Arial Narrow" w:cs="Arial"/>
                <w:b w:val="0"/>
                <w:i/>
                <w:color w:val="auto"/>
                <w:sz w:val="20"/>
                <w:szCs w:val="20"/>
                <w:lang w:val="hr-HR"/>
              </w:rPr>
              <w:t>ОПИС</w:t>
            </w:r>
          </w:p>
        </w:tc>
        <w:tc>
          <w:tcPr>
            <w:tcW w:w="3544" w:type="dxa"/>
            <w:shd w:val="clear" w:color="auto" w:fill="auto"/>
            <w:vAlign w:val="center"/>
          </w:tcPr>
          <w:p w14:paraId="3AD4E9B6" w14:textId="77777777" w:rsidR="007B6BE3" w:rsidRPr="0087376B" w:rsidRDefault="005B20F8" w:rsidP="007B6BE3">
            <w:pPr>
              <w:pStyle w:val="No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i/>
                <w:color w:val="auto"/>
                <w:sz w:val="20"/>
                <w:szCs w:val="20"/>
                <w:lang w:val="hr-HR"/>
              </w:rPr>
            </w:pPr>
            <w:r>
              <w:rPr>
                <w:rFonts w:ascii="Arial Narrow" w:hAnsi="Arial Narrow" w:cs="Arial"/>
                <w:b w:val="0"/>
                <w:i/>
                <w:color w:val="auto"/>
                <w:sz w:val="20"/>
                <w:szCs w:val="20"/>
                <w:lang w:val="hr-HR"/>
              </w:rPr>
              <w:t>Трезорски</w:t>
            </w:r>
            <w:r w:rsidR="007B6BE3" w:rsidRPr="0087376B">
              <w:rPr>
                <w:rFonts w:ascii="Arial Narrow" w:hAnsi="Arial Narrow" w:cs="Arial"/>
                <w:b w:val="0"/>
                <w:i/>
                <w:color w:val="auto"/>
                <w:sz w:val="20"/>
                <w:szCs w:val="20"/>
                <w:lang w:val="hr-HR"/>
              </w:rPr>
              <w:t xml:space="preserve"> </w:t>
            </w:r>
            <w:r>
              <w:rPr>
                <w:rFonts w:ascii="Arial Narrow" w:hAnsi="Arial Narrow" w:cs="Arial"/>
                <w:b w:val="0"/>
                <w:i/>
                <w:color w:val="auto"/>
                <w:sz w:val="20"/>
                <w:szCs w:val="20"/>
                <w:lang w:val="hr-HR"/>
              </w:rPr>
              <w:t>записи</w:t>
            </w:r>
          </w:p>
        </w:tc>
        <w:tc>
          <w:tcPr>
            <w:tcW w:w="4536" w:type="dxa"/>
            <w:shd w:val="clear" w:color="auto" w:fill="auto"/>
            <w:vAlign w:val="center"/>
          </w:tcPr>
          <w:p w14:paraId="1516BD51" w14:textId="77777777" w:rsidR="007B6BE3" w:rsidRPr="0087376B" w:rsidRDefault="005B20F8" w:rsidP="007B6BE3">
            <w:pPr>
              <w:pStyle w:val="No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i/>
                <w:color w:val="auto"/>
                <w:sz w:val="20"/>
                <w:szCs w:val="20"/>
                <w:lang w:val="hr-HR"/>
              </w:rPr>
            </w:pPr>
            <w:r>
              <w:rPr>
                <w:rFonts w:ascii="Arial Narrow" w:hAnsi="Arial Narrow" w:cs="Arial"/>
                <w:b w:val="0"/>
                <w:i/>
                <w:color w:val="auto"/>
                <w:sz w:val="20"/>
                <w:szCs w:val="20"/>
                <w:lang w:val="hr-HR"/>
              </w:rPr>
              <w:t>Обвезнице</w:t>
            </w:r>
            <w:r w:rsidR="007B6BE3" w:rsidRPr="0087376B">
              <w:rPr>
                <w:rFonts w:ascii="Arial Narrow" w:hAnsi="Arial Narrow" w:cs="Arial"/>
                <w:b w:val="0"/>
                <w:i/>
                <w:color w:val="auto"/>
                <w:sz w:val="20"/>
                <w:szCs w:val="20"/>
                <w:lang w:val="hr-HR"/>
              </w:rPr>
              <w:t xml:space="preserve"> </w:t>
            </w:r>
            <w:r>
              <w:rPr>
                <w:rFonts w:ascii="Arial Narrow" w:hAnsi="Arial Narrow" w:cs="Arial"/>
                <w:b w:val="0"/>
                <w:i/>
                <w:color w:val="auto"/>
                <w:sz w:val="20"/>
                <w:szCs w:val="20"/>
                <w:lang w:val="hr-HR"/>
              </w:rPr>
              <w:t>ФБиХ</w:t>
            </w:r>
          </w:p>
        </w:tc>
      </w:tr>
      <w:tr w:rsidR="007B6BE3" w:rsidRPr="0087376B" w14:paraId="56E14F1B" w14:textId="77777777" w:rsidTr="007B6BE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7FDAE163" w14:textId="77777777" w:rsidR="007B6BE3" w:rsidRPr="0087376B" w:rsidRDefault="005B20F8" w:rsidP="007B6BE3">
            <w:pPr>
              <w:rPr>
                <w:rFonts w:ascii="Arial Narrow" w:eastAsia="Times New Roman" w:hAnsi="Arial Narrow" w:cs="Arial"/>
                <w:b w:val="0"/>
                <w:i/>
                <w:sz w:val="20"/>
                <w:szCs w:val="20"/>
              </w:rPr>
            </w:pPr>
            <w:r>
              <w:rPr>
                <w:rFonts w:ascii="Arial Narrow" w:eastAsia="Times New Roman" w:hAnsi="Arial Narrow" w:cs="Arial"/>
                <w:b w:val="0"/>
                <w:i/>
                <w:sz w:val="20"/>
                <w:szCs w:val="20"/>
              </w:rPr>
              <w:t>Структура</w:t>
            </w:r>
            <w:r w:rsidR="007B6BE3" w:rsidRPr="0087376B">
              <w:rPr>
                <w:rFonts w:ascii="Arial Narrow" w:eastAsia="Times New Roman" w:hAnsi="Arial Narrow" w:cs="Arial"/>
                <w:b w:val="0"/>
                <w:i/>
                <w:sz w:val="20"/>
                <w:szCs w:val="20"/>
              </w:rPr>
              <w:t xml:space="preserve"> </w:t>
            </w:r>
          </w:p>
        </w:tc>
        <w:tc>
          <w:tcPr>
            <w:tcW w:w="3544" w:type="dxa"/>
            <w:shd w:val="clear" w:color="auto" w:fill="auto"/>
            <w:vAlign w:val="center"/>
          </w:tcPr>
          <w:p w14:paraId="0B0587B5" w14:textId="77777777" w:rsidR="007B6BE3" w:rsidRPr="0087376B" w:rsidRDefault="005B20F8" w:rsidP="007B6BE3">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i/>
                <w:sz w:val="20"/>
                <w:szCs w:val="20"/>
              </w:rPr>
            </w:pPr>
            <w:r>
              <w:rPr>
                <w:rFonts w:ascii="Arial Narrow" w:eastAsia="Times New Roman" w:hAnsi="Arial Narrow" w:cs="Arial"/>
                <w:i/>
                <w:sz w:val="20"/>
                <w:szCs w:val="20"/>
              </w:rPr>
              <w:t>Дисконт</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једнократна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исплата</w:t>
            </w:r>
          </w:p>
        </w:tc>
        <w:tc>
          <w:tcPr>
            <w:tcW w:w="4536" w:type="dxa"/>
            <w:shd w:val="clear" w:color="auto" w:fill="auto"/>
            <w:vAlign w:val="center"/>
          </w:tcPr>
          <w:p w14:paraId="6E33DE3A" w14:textId="77777777" w:rsidR="007B6BE3" w:rsidRPr="0087376B" w:rsidRDefault="005B20F8" w:rsidP="007B6BE3">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i/>
                <w:sz w:val="20"/>
                <w:szCs w:val="20"/>
              </w:rPr>
            </w:pPr>
            <w:r>
              <w:rPr>
                <w:rFonts w:ascii="Arial Narrow" w:eastAsia="Times New Roman" w:hAnsi="Arial Narrow" w:cs="Arial"/>
                <w:i/>
                <w:sz w:val="20"/>
                <w:szCs w:val="20"/>
              </w:rPr>
              <w:t>Фиксна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или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варијабилна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камата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једнократна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исплата</w:t>
            </w:r>
          </w:p>
        </w:tc>
      </w:tr>
      <w:tr w:rsidR="007B6BE3" w:rsidRPr="0087376B" w14:paraId="0846A61C" w14:textId="77777777" w:rsidTr="007B6BE3">
        <w:trPr>
          <w:trHeight w:val="34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1CA4985A" w14:textId="77777777" w:rsidR="007B6BE3" w:rsidRPr="0087376B" w:rsidRDefault="005B20F8" w:rsidP="007B6BE3">
            <w:pPr>
              <w:rPr>
                <w:rFonts w:ascii="Arial Narrow" w:eastAsia="Times New Roman" w:hAnsi="Arial Narrow" w:cs="Arial"/>
                <w:b w:val="0"/>
                <w:i/>
                <w:sz w:val="20"/>
                <w:szCs w:val="20"/>
              </w:rPr>
            </w:pPr>
            <w:r>
              <w:rPr>
                <w:rFonts w:ascii="Arial Narrow" w:eastAsia="Times New Roman" w:hAnsi="Arial Narrow" w:cs="Arial"/>
                <w:b w:val="0"/>
                <w:i/>
                <w:sz w:val="20"/>
                <w:szCs w:val="20"/>
              </w:rPr>
              <w:t>Карактеристике</w:t>
            </w:r>
            <w:r w:rsidR="007B6BE3" w:rsidRPr="0087376B">
              <w:rPr>
                <w:rFonts w:ascii="Arial Narrow" w:eastAsia="Times New Roman" w:hAnsi="Arial Narrow" w:cs="Arial"/>
                <w:b w:val="0"/>
                <w:i/>
                <w:sz w:val="20"/>
                <w:szCs w:val="20"/>
              </w:rPr>
              <w:t xml:space="preserve"> </w:t>
            </w:r>
          </w:p>
        </w:tc>
        <w:tc>
          <w:tcPr>
            <w:tcW w:w="3544" w:type="dxa"/>
            <w:shd w:val="clear" w:color="auto" w:fill="auto"/>
            <w:vAlign w:val="center"/>
          </w:tcPr>
          <w:p w14:paraId="71756A7E" w14:textId="77777777" w:rsidR="007B6BE3" w:rsidRPr="0087376B" w:rsidRDefault="005B20F8" w:rsidP="007B6BE3">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i/>
                <w:sz w:val="20"/>
                <w:szCs w:val="20"/>
              </w:rPr>
            </w:pPr>
            <w:r>
              <w:rPr>
                <w:rFonts w:ascii="Arial Narrow" w:eastAsia="Times New Roman" w:hAnsi="Arial Narrow" w:cs="Arial"/>
                <w:i/>
                <w:sz w:val="20"/>
                <w:szCs w:val="20"/>
              </w:rPr>
              <w:t>Једноставни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добра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потражња</w:t>
            </w:r>
          </w:p>
        </w:tc>
        <w:tc>
          <w:tcPr>
            <w:tcW w:w="4536" w:type="dxa"/>
            <w:shd w:val="clear" w:color="auto" w:fill="auto"/>
            <w:vAlign w:val="center"/>
          </w:tcPr>
          <w:p w14:paraId="40834DA6" w14:textId="77777777" w:rsidR="007B6BE3" w:rsidRPr="0087376B" w:rsidRDefault="005B20F8" w:rsidP="00917FE8">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i/>
                <w:sz w:val="20"/>
                <w:szCs w:val="20"/>
              </w:rPr>
            </w:pPr>
            <w:r>
              <w:rPr>
                <w:rFonts w:ascii="Arial Narrow" w:eastAsia="Times New Roman" w:hAnsi="Arial Narrow" w:cs="Arial"/>
                <w:i/>
                <w:sz w:val="20"/>
                <w:szCs w:val="20"/>
              </w:rPr>
              <w:t>Тражња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задовољава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тренутне</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потребе</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развој</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тржишта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ће</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утицати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на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потражњу</w:t>
            </w:r>
          </w:p>
        </w:tc>
      </w:tr>
      <w:tr w:rsidR="007B6BE3" w:rsidRPr="0087376B" w14:paraId="41EE10DA" w14:textId="77777777" w:rsidTr="007B6BE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195F3A9E" w14:textId="77777777" w:rsidR="007B6BE3" w:rsidRPr="0087376B" w:rsidRDefault="005B20F8" w:rsidP="007B6BE3">
            <w:pPr>
              <w:rPr>
                <w:rFonts w:ascii="Arial Narrow" w:eastAsia="Times New Roman" w:hAnsi="Arial Narrow" w:cs="Arial"/>
                <w:b w:val="0"/>
                <w:i/>
                <w:sz w:val="20"/>
                <w:szCs w:val="20"/>
              </w:rPr>
            </w:pPr>
            <w:r>
              <w:rPr>
                <w:rFonts w:ascii="Arial Narrow" w:eastAsia="Times New Roman" w:hAnsi="Arial Narrow" w:cs="Arial"/>
                <w:b w:val="0"/>
                <w:i/>
                <w:sz w:val="20"/>
                <w:szCs w:val="20"/>
              </w:rPr>
              <w:t>Трошкови</w:t>
            </w:r>
          </w:p>
        </w:tc>
        <w:tc>
          <w:tcPr>
            <w:tcW w:w="3544" w:type="dxa"/>
            <w:shd w:val="clear" w:color="auto" w:fill="auto"/>
            <w:vAlign w:val="center"/>
          </w:tcPr>
          <w:p w14:paraId="75588CF2" w14:textId="77777777" w:rsidR="007B6BE3" w:rsidRPr="0087376B" w:rsidRDefault="005B20F8" w:rsidP="007B6BE3">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i/>
                <w:sz w:val="20"/>
                <w:szCs w:val="20"/>
              </w:rPr>
            </w:pPr>
            <w:r>
              <w:rPr>
                <w:rFonts w:ascii="Arial Narrow" w:eastAsia="Times New Roman" w:hAnsi="Arial Narrow" w:cs="Arial"/>
                <w:i/>
                <w:sz w:val="20"/>
                <w:szCs w:val="20"/>
              </w:rPr>
              <w:t>Ниски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осим</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у</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случају</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кризе</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ликвидности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или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издања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већих</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волумена</w:t>
            </w:r>
          </w:p>
        </w:tc>
        <w:tc>
          <w:tcPr>
            <w:tcW w:w="4536" w:type="dxa"/>
            <w:shd w:val="clear" w:color="auto" w:fill="auto"/>
            <w:vAlign w:val="center"/>
          </w:tcPr>
          <w:p w14:paraId="6124200A" w14:textId="77777777" w:rsidR="007B6BE3" w:rsidRPr="0087376B" w:rsidRDefault="005B20F8" w:rsidP="007B6BE3">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i/>
                <w:sz w:val="20"/>
                <w:szCs w:val="20"/>
              </w:rPr>
            </w:pPr>
            <w:r>
              <w:rPr>
                <w:rFonts w:ascii="Arial Narrow" w:eastAsia="Times New Roman" w:hAnsi="Arial Narrow" w:cs="Arial"/>
                <w:i/>
                <w:sz w:val="20"/>
                <w:szCs w:val="20"/>
              </w:rPr>
              <w:t>Раст</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волумена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издања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продужетак</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рочности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може</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изазвати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раст</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трошкова</w:t>
            </w:r>
          </w:p>
        </w:tc>
      </w:tr>
      <w:tr w:rsidR="007B6BE3" w:rsidRPr="0087376B" w14:paraId="0AA3249D" w14:textId="77777777" w:rsidTr="007B6BE3">
        <w:trPr>
          <w:trHeight w:val="34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65094047" w14:textId="77777777" w:rsidR="007B6BE3" w:rsidRPr="0087376B" w:rsidRDefault="005B20F8" w:rsidP="007B6BE3">
            <w:pPr>
              <w:rPr>
                <w:rFonts w:ascii="Arial Narrow" w:eastAsia="Times New Roman" w:hAnsi="Arial Narrow" w:cs="Arial"/>
                <w:b w:val="0"/>
                <w:i/>
                <w:sz w:val="20"/>
                <w:szCs w:val="20"/>
              </w:rPr>
            </w:pPr>
            <w:r>
              <w:rPr>
                <w:rFonts w:ascii="Arial Narrow" w:eastAsia="Times New Roman" w:hAnsi="Arial Narrow" w:cs="Arial"/>
                <w:b w:val="0"/>
                <w:i/>
                <w:sz w:val="20"/>
                <w:szCs w:val="20"/>
              </w:rPr>
              <w:t>Ризици</w:t>
            </w:r>
          </w:p>
        </w:tc>
        <w:tc>
          <w:tcPr>
            <w:tcW w:w="3544" w:type="dxa"/>
            <w:shd w:val="clear" w:color="auto" w:fill="auto"/>
            <w:vAlign w:val="center"/>
          </w:tcPr>
          <w:p w14:paraId="2EF3CFC4" w14:textId="77777777" w:rsidR="007B6BE3" w:rsidRPr="0087376B" w:rsidRDefault="005B20F8" w:rsidP="007B6BE3">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i/>
                <w:sz w:val="20"/>
                <w:szCs w:val="20"/>
              </w:rPr>
            </w:pPr>
            <w:r>
              <w:rPr>
                <w:rFonts w:ascii="Arial Narrow" w:eastAsia="Times New Roman" w:hAnsi="Arial Narrow" w:cs="Arial"/>
                <w:i/>
                <w:sz w:val="20"/>
                <w:szCs w:val="20"/>
              </w:rPr>
              <w:t>Ризици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рефиксирања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рефинансирања</w:t>
            </w:r>
          </w:p>
        </w:tc>
        <w:tc>
          <w:tcPr>
            <w:tcW w:w="4536" w:type="dxa"/>
            <w:shd w:val="clear" w:color="auto" w:fill="auto"/>
            <w:vAlign w:val="center"/>
          </w:tcPr>
          <w:p w14:paraId="5A76623A" w14:textId="77777777" w:rsidR="007B6BE3" w:rsidRPr="0087376B" w:rsidRDefault="005B20F8" w:rsidP="007B6BE3">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i/>
                <w:sz w:val="20"/>
                <w:szCs w:val="20"/>
              </w:rPr>
            </w:pPr>
            <w:r>
              <w:rPr>
                <w:rFonts w:ascii="Arial Narrow" w:eastAsia="Times New Roman" w:hAnsi="Arial Narrow" w:cs="Arial"/>
                <w:i/>
                <w:sz w:val="20"/>
                <w:szCs w:val="20"/>
              </w:rPr>
              <w:t>Ризици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зависе</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од</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остварене</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рочности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укључују</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ризик</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рефинансирања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у</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случају</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варијабилних</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стопа</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и</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ризик</w:t>
            </w:r>
            <w:r w:rsidR="007B6BE3" w:rsidRPr="0087376B">
              <w:rPr>
                <w:rFonts w:ascii="Arial Narrow" w:eastAsia="Times New Roman" w:hAnsi="Arial Narrow" w:cs="Arial"/>
                <w:i/>
                <w:sz w:val="20"/>
                <w:szCs w:val="20"/>
              </w:rPr>
              <w:t xml:space="preserve"> </w:t>
            </w:r>
            <w:r>
              <w:rPr>
                <w:rFonts w:ascii="Arial Narrow" w:eastAsia="Times New Roman" w:hAnsi="Arial Narrow" w:cs="Arial"/>
                <w:i/>
                <w:sz w:val="20"/>
                <w:szCs w:val="20"/>
              </w:rPr>
              <w:t>рефиксирања</w:t>
            </w:r>
          </w:p>
        </w:tc>
      </w:tr>
    </w:tbl>
    <w:p w14:paraId="2FC050D6" w14:textId="77777777" w:rsidR="007B6BE3" w:rsidRPr="0087376B" w:rsidRDefault="007B6BE3" w:rsidP="007B6BE3">
      <w:pPr>
        <w:pStyle w:val="NoSpacing"/>
        <w:jc w:val="both"/>
        <w:rPr>
          <w:rFonts w:ascii="Arial" w:eastAsia="MS Mincho" w:hAnsi="Arial" w:cs="Arial"/>
          <w:kern w:val="24"/>
          <w:sz w:val="24"/>
          <w:szCs w:val="24"/>
          <w:lang w:val="hr-HR" w:eastAsia="fr-FR"/>
        </w:rPr>
      </w:pPr>
    </w:p>
    <w:p w14:paraId="7FE9E540" w14:textId="77777777" w:rsidR="007B6BE3" w:rsidRPr="0087376B" w:rsidRDefault="007B6BE3" w:rsidP="007B6BE3">
      <w:pPr>
        <w:pStyle w:val="NoSpacing"/>
        <w:jc w:val="both"/>
        <w:rPr>
          <w:rFonts w:ascii="Arial" w:eastAsia="MS Mincho" w:hAnsi="Arial" w:cs="Arial"/>
          <w:kern w:val="24"/>
          <w:lang w:val="hr-HR" w:eastAsia="fr-FR"/>
        </w:rPr>
      </w:pPr>
    </w:p>
    <w:p w14:paraId="4B0CBB57" w14:textId="77777777" w:rsidR="007B6BE3" w:rsidRPr="0087376B" w:rsidRDefault="007B6BE3" w:rsidP="007B6BE3">
      <w:pPr>
        <w:spacing w:after="0" w:line="240" w:lineRule="auto"/>
      </w:pPr>
    </w:p>
    <w:p w14:paraId="427BD272" w14:textId="77777777" w:rsidR="007B6BE3" w:rsidRPr="0087376B" w:rsidRDefault="005B20F8" w:rsidP="0092788C">
      <w:pPr>
        <w:pStyle w:val="Heading1"/>
        <w:numPr>
          <w:ilvl w:val="0"/>
          <w:numId w:val="1"/>
        </w:numPr>
        <w:spacing w:before="0"/>
        <w:ind w:left="567" w:hanging="425"/>
        <w:jc w:val="both"/>
        <w:rPr>
          <w:rFonts w:ascii="Arial" w:hAnsi="Arial" w:cs="Arial"/>
          <w:b w:val="0"/>
          <w:color w:val="auto"/>
        </w:rPr>
      </w:pPr>
      <w:bookmarkStart w:id="118" w:name="_Toc407962575"/>
      <w:bookmarkStart w:id="119" w:name="_Toc149810620"/>
      <w:r w:rsidRPr="0092788C">
        <w:rPr>
          <w:rFonts w:ascii="Arial" w:hAnsi="Arial" w:cs="Arial"/>
          <w:b w:val="0"/>
          <w:color w:val="auto"/>
        </w:rPr>
        <w:lastRenderedPageBreak/>
        <w:t>ПРЕТПОСТАВКЕ</w:t>
      </w:r>
      <w:r w:rsidR="007B6BE3" w:rsidRPr="0092788C">
        <w:rPr>
          <w:rFonts w:ascii="Arial" w:hAnsi="Arial" w:cs="Arial"/>
          <w:b w:val="0"/>
          <w:color w:val="auto"/>
        </w:rPr>
        <w:t xml:space="preserve"> </w:t>
      </w:r>
      <w:r w:rsidRPr="0092788C">
        <w:rPr>
          <w:rFonts w:ascii="Arial" w:hAnsi="Arial" w:cs="Arial"/>
          <w:b w:val="0"/>
          <w:color w:val="auto"/>
        </w:rPr>
        <w:t>ЦИЈЕНА</w:t>
      </w:r>
      <w:r w:rsidR="007B6BE3" w:rsidRPr="0092788C">
        <w:rPr>
          <w:rFonts w:ascii="Arial" w:hAnsi="Arial" w:cs="Arial"/>
          <w:b w:val="0"/>
          <w:color w:val="auto"/>
        </w:rPr>
        <w:t xml:space="preserve"> </w:t>
      </w:r>
      <w:r w:rsidRPr="0092788C">
        <w:rPr>
          <w:rFonts w:ascii="Arial" w:hAnsi="Arial" w:cs="Arial"/>
          <w:b w:val="0"/>
          <w:color w:val="auto"/>
        </w:rPr>
        <w:t>И</w:t>
      </w:r>
      <w:r w:rsidR="007B6BE3" w:rsidRPr="0092788C">
        <w:rPr>
          <w:rFonts w:ascii="Arial" w:hAnsi="Arial" w:cs="Arial"/>
          <w:b w:val="0"/>
          <w:color w:val="auto"/>
        </w:rPr>
        <w:t xml:space="preserve"> </w:t>
      </w:r>
      <w:r w:rsidRPr="0092788C">
        <w:rPr>
          <w:rFonts w:ascii="Arial" w:hAnsi="Arial" w:cs="Arial"/>
          <w:b w:val="0"/>
          <w:color w:val="auto"/>
        </w:rPr>
        <w:t>ОПИСИ</w:t>
      </w:r>
      <w:r w:rsidR="007B6BE3" w:rsidRPr="0092788C">
        <w:rPr>
          <w:rFonts w:ascii="Arial" w:hAnsi="Arial" w:cs="Arial"/>
          <w:b w:val="0"/>
          <w:color w:val="auto"/>
        </w:rPr>
        <w:t xml:space="preserve"> </w:t>
      </w:r>
      <w:r w:rsidRPr="0092788C">
        <w:rPr>
          <w:rFonts w:ascii="Arial" w:hAnsi="Arial" w:cs="Arial"/>
          <w:b w:val="0"/>
          <w:color w:val="auto"/>
        </w:rPr>
        <w:t>СЦЕНАРИЈА</w:t>
      </w:r>
      <w:r w:rsidR="007B6BE3" w:rsidRPr="0092788C">
        <w:rPr>
          <w:rFonts w:ascii="Arial" w:hAnsi="Arial" w:cs="Arial"/>
          <w:b w:val="0"/>
          <w:color w:val="auto"/>
        </w:rPr>
        <w:t xml:space="preserve"> </w:t>
      </w:r>
      <w:r w:rsidRPr="0092788C">
        <w:rPr>
          <w:rFonts w:ascii="Arial" w:hAnsi="Arial" w:cs="Arial"/>
          <w:b w:val="0"/>
          <w:color w:val="auto"/>
        </w:rPr>
        <w:t>ШОКА</w:t>
      </w:r>
      <w:bookmarkEnd w:id="118"/>
      <w:bookmarkEnd w:id="119"/>
    </w:p>
    <w:p w14:paraId="23453117" w14:textId="77777777" w:rsidR="007B6BE3" w:rsidRPr="0087376B" w:rsidRDefault="007B6BE3" w:rsidP="007B6BE3">
      <w:pPr>
        <w:pStyle w:val="ParagraphNumbering"/>
        <w:keepNext/>
        <w:numPr>
          <w:ilvl w:val="0"/>
          <w:numId w:val="0"/>
        </w:numPr>
        <w:spacing w:after="0" w:line="276" w:lineRule="auto"/>
        <w:ind w:firstLine="420"/>
        <w:jc w:val="both"/>
        <w:rPr>
          <w:rFonts w:ascii="Arial" w:hAnsi="Arial" w:cs="Arial"/>
          <w:sz w:val="22"/>
        </w:rPr>
      </w:pPr>
    </w:p>
    <w:p w14:paraId="3078F262" w14:textId="77777777" w:rsidR="007B6BE3" w:rsidRPr="0087376B" w:rsidRDefault="005B20F8" w:rsidP="007B6BE3">
      <w:pPr>
        <w:pStyle w:val="ParagraphNumbering"/>
        <w:keepNext/>
        <w:numPr>
          <w:ilvl w:val="0"/>
          <w:numId w:val="0"/>
        </w:numPr>
        <w:spacing w:after="0" w:line="276" w:lineRule="auto"/>
        <w:ind w:firstLine="420"/>
        <w:jc w:val="both"/>
        <w:rPr>
          <w:rFonts w:ascii="Arial" w:hAnsi="Arial" w:cs="Arial"/>
          <w:sz w:val="22"/>
        </w:rPr>
      </w:pPr>
      <w:r>
        <w:rPr>
          <w:rFonts w:ascii="Arial" w:hAnsi="Arial" w:cs="Arial"/>
          <w:sz w:val="22"/>
        </w:rPr>
        <w:t>У</w:t>
      </w:r>
      <w:r w:rsidR="007B6BE3" w:rsidRPr="0087376B">
        <w:rPr>
          <w:rFonts w:ascii="Arial" w:hAnsi="Arial" w:cs="Arial"/>
          <w:sz w:val="22"/>
        </w:rPr>
        <w:t xml:space="preserve"> </w:t>
      </w:r>
      <w:r>
        <w:rPr>
          <w:rFonts w:ascii="Arial" w:hAnsi="Arial" w:cs="Arial"/>
          <w:sz w:val="22"/>
        </w:rPr>
        <w:t>овом</w:t>
      </w:r>
      <w:r w:rsidR="007B6BE3" w:rsidRPr="0087376B">
        <w:rPr>
          <w:rFonts w:ascii="Arial" w:hAnsi="Arial" w:cs="Arial"/>
          <w:sz w:val="22"/>
        </w:rPr>
        <w:t xml:space="preserve"> </w:t>
      </w:r>
      <w:r>
        <w:rPr>
          <w:rFonts w:ascii="Arial" w:hAnsi="Arial" w:cs="Arial"/>
          <w:sz w:val="22"/>
        </w:rPr>
        <w:t>дијелу</w:t>
      </w:r>
      <w:r w:rsidR="007B6BE3" w:rsidRPr="0087376B">
        <w:rPr>
          <w:rFonts w:ascii="Arial" w:hAnsi="Arial" w:cs="Arial"/>
          <w:sz w:val="22"/>
        </w:rPr>
        <w:t xml:space="preserve"> </w:t>
      </w:r>
      <w:r>
        <w:rPr>
          <w:rFonts w:ascii="Arial" w:hAnsi="Arial" w:cs="Arial"/>
          <w:sz w:val="22"/>
        </w:rPr>
        <w:t>представљена</w:t>
      </w:r>
      <w:r w:rsidR="007B6BE3" w:rsidRPr="0087376B">
        <w:rPr>
          <w:rFonts w:ascii="Arial" w:hAnsi="Arial" w:cs="Arial"/>
          <w:sz w:val="22"/>
        </w:rPr>
        <w:t xml:space="preserve"> </w:t>
      </w:r>
      <w:r>
        <w:rPr>
          <w:rFonts w:ascii="Arial" w:hAnsi="Arial" w:cs="Arial"/>
          <w:sz w:val="22"/>
        </w:rPr>
        <w:t>су</w:t>
      </w:r>
      <w:r w:rsidR="007B6BE3" w:rsidRPr="0087376B">
        <w:rPr>
          <w:rFonts w:ascii="Arial" w:hAnsi="Arial" w:cs="Arial"/>
          <w:sz w:val="22"/>
        </w:rPr>
        <w:t xml:space="preserve"> </w:t>
      </w:r>
      <w:r>
        <w:rPr>
          <w:rFonts w:ascii="Arial" w:hAnsi="Arial" w:cs="Arial"/>
          <w:sz w:val="22"/>
        </w:rPr>
        <w:t>четири</w:t>
      </w:r>
      <w:r w:rsidR="007B6BE3" w:rsidRPr="0087376B">
        <w:rPr>
          <w:rFonts w:ascii="Arial" w:hAnsi="Arial" w:cs="Arial"/>
          <w:sz w:val="22"/>
        </w:rPr>
        <w:t xml:space="preserve"> </w:t>
      </w:r>
      <w:r>
        <w:rPr>
          <w:rFonts w:ascii="Arial" w:hAnsi="Arial" w:cs="Arial"/>
          <w:sz w:val="22"/>
        </w:rPr>
        <w:t>могуће</w:t>
      </w:r>
      <w:r w:rsidR="007B6BE3" w:rsidRPr="0087376B">
        <w:rPr>
          <w:rFonts w:ascii="Arial" w:hAnsi="Arial" w:cs="Arial"/>
          <w:sz w:val="22"/>
        </w:rPr>
        <w:t xml:space="preserve"> </w:t>
      </w:r>
      <w:r>
        <w:rPr>
          <w:rFonts w:ascii="Arial" w:hAnsi="Arial" w:cs="Arial"/>
          <w:sz w:val="22"/>
        </w:rPr>
        <w:t>стратегије</w:t>
      </w:r>
      <w:r w:rsidR="007B6BE3" w:rsidRPr="0087376B">
        <w:rPr>
          <w:rFonts w:ascii="Arial" w:hAnsi="Arial" w:cs="Arial"/>
          <w:sz w:val="22"/>
        </w:rPr>
        <w:t xml:space="preserve"> </w:t>
      </w:r>
      <w:r>
        <w:rPr>
          <w:rFonts w:ascii="Arial" w:hAnsi="Arial" w:cs="Arial"/>
          <w:sz w:val="22"/>
        </w:rPr>
        <w:t>финансирања</w:t>
      </w:r>
      <w:r w:rsidR="007B6BE3" w:rsidRPr="0087376B">
        <w:rPr>
          <w:rFonts w:ascii="Arial" w:hAnsi="Arial" w:cs="Arial"/>
          <w:sz w:val="22"/>
        </w:rPr>
        <w:t xml:space="preserve"> </w:t>
      </w:r>
      <w:r>
        <w:rPr>
          <w:rFonts w:ascii="Arial" w:hAnsi="Arial" w:cs="Arial"/>
          <w:sz w:val="22"/>
        </w:rPr>
        <w:t>потреба</w:t>
      </w:r>
      <w:r w:rsidR="007B6BE3" w:rsidRPr="0087376B">
        <w:rPr>
          <w:rFonts w:ascii="Arial" w:hAnsi="Arial" w:cs="Arial"/>
          <w:sz w:val="22"/>
        </w:rPr>
        <w:t xml:space="preserve"> </w:t>
      </w:r>
      <w:r>
        <w:rPr>
          <w:rFonts w:ascii="Arial" w:hAnsi="Arial" w:cs="Arial"/>
          <w:sz w:val="22"/>
        </w:rPr>
        <w:t>Владе</w:t>
      </w:r>
      <w:r w:rsidR="007B6BE3" w:rsidRPr="0087376B">
        <w:rPr>
          <w:rFonts w:ascii="Arial" w:hAnsi="Arial" w:cs="Arial"/>
          <w:sz w:val="22"/>
        </w:rPr>
        <w:t xml:space="preserve"> </w:t>
      </w:r>
      <w:r>
        <w:rPr>
          <w:rFonts w:ascii="Arial" w:hAnsi="Arial" w:cs="Arial"/>
          <w:sz w:val="22"/>
        </w:rPr>
        <w:t>Федерације</w:t>
      </w:r>
      <w:r w:rsidR="007B6BE3" w:rsidRPr="0087376B">
        <w:rPr>
          <w:rFonts w:ascii="Arial" w:hAnsi="Arial" w:cs="Arial"/>
          <w:sz w:val="22"/>
        </w:rPr>
        <w:t xml:space="preserve"> </w:t>
      </w:r>
      <w:r>
        <w:rPr>
          <w:rFonts w:ascii="Arial" w:hAnsi="Arial" w:cs="Arial"/>
          <w:sz w:val="22"/>
        </w:rPr>
        <w:t>БиХ</w:t>
      </w:r>
      <w:r w:rsidR="007B6BE3" w:rsidRPr="0087376B">
        <w:rPr>
          <w:rFonts w:ascii="Arial" w:hAnsi="Arial" w:cs="Arial"/>
          <w:sz w:val="22"/>
        </w:rPr>
        <w:t xml:space="preserve"> </w:t>
      </w:r>
      <w:r>
        <w:rPr>
          <w:rFonts w:ascii="Arial" w:hAnsi="Arial" w:cs="Arial"/>
          <w:sz w:val="22"/>
        </w:rPr>
        <w:t>тако</w:t>
      </w:r>
      <w:r w:rsidR="007B6BE3" w:rsidRPr="0087376B">
        <w:rPr>
          <w:rFonts w:ascii="Arial" w:hAnsi="Arial" w:cs="Arial"/>
          <w:sz w:val="22"/>
        </w:rPr>
        <w:t xml:space="preserve"> </w:t>
      </w:r>
      <w:r>
        <w:rPr>
          <w:rFonts w:ascii="Arial" w:hAnsi="Arial" w:cs="Arial"/>
          <w:sz w:val="22"/>
        </w:rPr>
        <w:t>да</w:t>
      </w:r>
      <w:r w:rsidR="007B6BE3" w:rsidRPr="0087376B">
        <w:rPr>
          <w:rFonts w:ascii="Arial" w:hAnsi="Arial" w:cs="Arial"/>
          <w:sz w:val="22"/>
        </w:rPr>
        <w:t xml:space="preserve"> </w:t>
      </w:r>
      <w:r>
        <w:rPr>
          <w:rFonts w:ascii="Arial" w:hAnsi="Arial" w:cs="Arial"/>
          <w:sz w:val="22"/>
        </w:rPr>
        <w:t>је</w:t>
      </w:r>
      <w:r w:rsidR="007B6BE3" w:rsidRPr="0087376B">
        <w:rPr>
          <w:rFonts w:ascii="Arial" w:hAnsi="Arial" w:cs="Arial"/>
          <w:sz w:val="22"/>
        </w:rPr>
        <w:t xml:space="preserve"> </w:t>
      </w:r>
      <w:r>
        <w:rPr>
          <w:rFonts w:ascii="Arial" w:hAnsi="Arial" w:cs="Arial"/>
          <w:sz w:val="22"/>
        </w:rPr>
        <w:t>с</w:t>
      </w:r>
      <w:r>
        <w:rPr>
          <w:rFonts w:ascii="Arial" w:hAnsi="Arial" w:cs="Arial"/>
          <w:sz w:val="22"/>
          <w:szCs w:val="22"/>
        </w:rPr>
        <w:t>вака</w:t>
      </w:r>
      <w:r w:rsidR="007B6BE3" w:rsidRPr="0087376B">
        <w:rPr>
          <w:rFonts w:ascii="Arial" w:hAnsi="Arial" w:cs="Arial"/>
          <w:sz w:val="22"/>
          <w:szCs w:val="22"/>
        </w:rPr>
        <w:t xml:space="preserve"> </w:t>
      </w:r>
      <w:r>
        <w:rPr>
          <w:rFonts w:ascii="Arial" w:hAnsi="Arial" w:cs="Arial"/>
          <w:sz w:val="22"/>
          <w:szCs w:val="22"/>
        </w:rPr>
        <w:t>од</w:t>
      </w:r>
      <w:r w:rsidR="007B6BE3" w:rsidRPr="0087376B">
        <w:rPr>
          <w:rFonts w:ascii="Arial" w:hAnsi="Arial" w:cs="Arial"/>
          <w:sz w:val="22"/>
          <w:szCs w:val="22"/>
        </w:rPr>
        <w:t xml:space="preserve"> </w:t>
      </w:r>
      <w:r>
        <w:rPr>
          <w:rFonts w:ascii="Arial" w:hAnsi="Arial" w:cs="Arial"/>
          <w:sz w:val="22"/>
          <w:szCs w:val="22"/>
        </w:rPr>
        <w:t>стратегија</w:t>
      </w:r>
      <w:r w:rsidR="007B6BE3" w:rsidRPr="0087376B">
        <w:rPr>
          <w:rFonts w:ascii="Arial" w:hAnsi="Arial" w:cs="Arial"/>
          <w:sz w:val="22"/>
          <w:szCs w:val="22"/>
        </w:rPr>
        <w:t xml:space="preserve"> </w:t>
      </w:r>
      <w:r>
        <w:rPr>
          <w:rFonts w:ascii="Arial" w:hAnsi="Arial" w:cs="Arial"/>
          <w:sz w:val="22"/>
          <w:szCs w:val="22"/>
        </w:rPr>
        <w:t>тестирана</w:t>
      </w:r>
      <w:r w:rsidR="007B6BE3" w:rsidRPr="0087376B">
        <w:rPr>
          <w:rFonts w:ascii="Arial" w:hAnsi="Arial" w:cs="Arial"/>
          <w:sz w:val="22"/>
          <w:szCs w:val="22"/>
        </w:rPr>
        <w:t xml:space="preserve"> </w:t>
      </w:r>
      <w:r>
        <w:rPr>
          <w:rFonts w:ascii="Arial" w:hAnsi="Arial" w:cs="Arial"/>
          <w:sz w:val="22"/>
          <w:szCs w:val="22"/>
        </w:rPr>
        <w:t>на</w:t>
      </w:r>
      <w:r w:rsidR="007B6BE3" w:rsidRPr="0087376B">
        <w:rPr>
          <w:rFonts w:ascii="Arial" w:hAnsi="Arial" w:cs="Arial"/>
          <w:sz w:val="22"/>
          <w:szCs w:val="22"/>
        </w:rPr>
        <w:t xml:space="preserve"> </w:t>
      </w:r>
      <w:r>
        <w:rPr>
          <w:rFonts w:ascii="Arial" w:hAnsi="Arial" w:cs="Arial"/>
          <w:sz w:val="22"/>
          <w:szCs w:val="22"/>
        </w:rPr>
        <w:t>изненадне</w:t>
      </w:r>
      <w:r w:rsidR="007B6BE3" w:rsidRPr="0087376B">
        <w:rPr>
          <w:rFonts w:ascii="Arial" w:hAnsi="Arial" w:cs="Arial"/>
          <w:sz w:val="22"/>
          <w:szCs w:val="22"/>
        </w:rPr>
        <w:t xml:space="preserve"> </w:t>
      </w:r>
      <w:r>
        <w:rPr>
          <w:rFonts w:ascii="Arial" w:hAnsi="Arial" w:cs="Arial"/>
          <w:sz w:val="22"/>
          <w:szCs w:val="22"/>
        </w:rPr>
        <w:t>промјене</w:t>
      </w:r>
      <w:r w:rsidR="007B6BE3" w:rsidRPr="0087376B">
        <w:rPr>
          <w:rFonts w:ascii="Arial" w:hAnsi="Arial" w:cs="Arial"/>
          <w:sz w:val="22"/>
          <w:szCs w:val="22"/>
        </w:rPr>
        <w:t xml:space="preserve"> </w:t>
      </w:r>
      <w:r>
        <w:rPr>
          <w:rFonts w:ascii="Arial" w:hAnsi="Arial" w:cs="Arial"/>
          <w:sz w:val="22"/>
          <w:szCs w:val="22"/>
        </w:rPr>
        <w:t>у</w:t>
      </w:r>
      <w:r w:rsidR="007B6BE3" w:rsidRPr="0087376B">
        <w:rPr>
          <w:rFonts w:ascii="Arial" w:hAnsi="Arial" w:cs="Arial"/>
          <w:sz w:val="22"/>
          <w:szCs w:val="22"/>
        </w:rPr>
        <w:t xml:space="preserve"> </w:t>
      </w:r>
      <w:r>
        <w:rPr>
          <w:rFonts w:ascii="Arial" w:hAnsi="Arial" w:cs="Arial"/>
          <w:sz w:val="22"/>
          <w:szCs w:val="22"/>
        </w:rPr>
        <w:t>погледу</w:t>
      </w:r>
      <w:r w:rsidR="007B6BE3" w:rsidRPr="0087376B">
        <w:rPr>
          <w:rFonts w:ascii="Arial" w:hAnsi="Arial" w:cs="Arial"/>
          <w:sz w:val="22"/>
          <w:szCs w:val="22"/>
        </w:rPr>
        <w:t xml:space="preserve"> </w:t>
      </w:r>
      <w:r>
        <w:rPr>
          <w:rFonts w:ascii="Arial" w:hAnsi="Arial" w:cs="Arial"/>
          <w:sz w:val="22"/>
          <w:szCs w:val="22"/>
        </w:rPr>
        <w:t>каматних</w:t>
      </w:r>
      <w:r w:rsidR="007B6BE3" w:rsidRPr="0087376B">
        <w:rPr>
          <w:rFonts w:ascii="Arial" w:hAnsi="Arial" w:cs="Arial"/>
          <w:sz w:val="22"/>
          <w:szCs w:val="22"/>
        </w:rPr>
        <w:t xml:space="preserve"> </w:t>
      </w:r>
      <w:r>
        <w:rPr>
          <w:rFonts w:ascii="Arial" w:hAnsi="Arial" w:cs="Arial"/>
          <w:sz w:val="22"/>
          <w:szCs w:val="22"/>
        </w:rPr>
        <w:t>стопа</w:t>
      </w:r>
      <w:r w:rsidR="007B6BE3" w:rsidRPr="0087376B">
        <w:rPr>
          <w:rFonts w:ascii="Arial" w:hAnsi="Arial" w:cs="Arial"/>
          <w:sz w:val="22"/>
          <w:szCs w:val="22"/>
        </w:rPr>
        <w:t xml:space="preserve"> </w:t>
      </w:r>
      <w:r>
        <w:rPr>
          <w:rFonts w:ascii="Arial" w:hAnsi="Arial" w:cs="Arial"/>
          <w:sz w:val="22"/>
          <w:szCs w:val="22"/>
        </w:rPr>
        <w:t>и</w:t>
      </w:r>
      <w:r w:rsidR="007B6BE3" w:rsidRPr="0087376B">
        <w:rPr>
          <w:rFonts w:ascii="Arial" w:hAnsi="Arial" w:cs="Arial"/>
          <w:sz w:val="22"/>
          <w:szCs w:val="22"/>
        </w:rPr>
        <w:t xml:space="preserve"> </w:t>
      </w:r>
      <w:r>
        <w:rPr>
          <w:rFonts w:ascii="Arial" w:hAnsi="Arial" w:cs="Arial"/>
          <w:sz w:val="22"/>
          <w:szCs w:val="22"/>
        </w:rPr>
        <w:t>девизних</w:t>
      </w:r>
      <w:r w:rsidR="007B6BE3" w:rsidRPr="0087376B">
        <w:rPr>
          <w:rFonts w:ascii="Arial" w:hAnsi="Arial" w:cs="Arial"/>
          <w:sz w:val="22"/>
          <w:szCs w:val="22"/>
        </w:rPr>
        <w:t xml:space="preserve"> </w:t>
      </w:r>
      <w:r>
        <w:rPr>
          <w:rFonts w:ascii="Arial" w:hAnsi="Arial" w:cs="Arial"/>
          <w:sz w:val="22"/>
          <w:szCs w:val="22"/>
        </w:rPr>
        <w:t>курсева</w:t>
      </w:r>
      <w:r w:rsidR="007B6BE3" w:rsidRPr="0087376B">
        <w:rPr>
          <w:rFonts w:ascii="Arial" w:hAnsi="Arial" w:cs="Arial"/>
          <w:sz w:val="22"/>
          <w:szCs w:val="22"/>
        </w:rPr>
        <w:t xml:space="preserve"> </w:t>
      </w:r>
      <w:r>
        <w:rPr>
          <w:rFonts w:ascii="Arial" w:hAnsi="Arial" w:cs="Arial"/>
          <w:sz w:val="22"/>
          <w:szCs w:val="22"/>
        </w:rPr>
        <w:t>у</w:t>
      </w:r>
      <w:r w:rsidR="007B6BE3" w:rsidRPr="0087376B">
        <w:rPr>
          <w:rFonts w:ascii="Arial" w:hAnsi="Arial" w:cs="Arial"/>
          <w:sz w:val="22"/>
          <w:szCs w:val="22"/>
        </w:rPr>
        <w:t xml:space="preserve"> </w:t>
      </w:r>
      <w:r>
        <w:rPr>
          <w:rFonts w:ascii="Arial" w:hAnsi="Arial" w:cs="Arial"/>
          <w:sz w:val="22"/>
          <w:szCs w:val="22"/>
        </w:rPr>
        <w:t>сврху</w:t>
      </w:r>
      <w:r w:rsidR="007B6BE3" w:rsidRPr="0087376B">
        <w:rPr>
          <w:rFonts w:ascii="Arial" w:hAnsi="Arial" w:cs="Arial"/>
          <w:sz w:val="22"/>
          <w:szCs w:val="22"/>
        </w:rPr>
        <w:t xml:space="preserve"> </w:t>
      </w:r>
      <w:r>
        <w:rPr>
          <w:rFonts w:ascii="Arial" w:hAnsi="Arial" w:cs="Arial"/>
          <w:sz w:val="22"/>
          <w:szCs w:val="22"/>
        </w:rPr>
        <w:t>процијене</w:t>
      </w:r>
      <w:r w:rsidR="007B6BE3" w:rsidRPr="0087376B">
        <w:rPr>
          <w:rFonts w:ascii="Arial" w:hAnsi="Arial" w:cs="Arial"/>
          <w:sz w:val="22"/>
          <w:szCs w:val="22"/>
        </w:rPr>
        <w:t xml:space="preserve"> </w:t>
      </w:r>
      <w:r>
        <w:rPr>
          <w:rFonts w:ascii="Arial" w:hAnsi="Arial" w:cs="Arial"/>
          <w:sz w:val="22"/>
          <w:szCs w:val="22"/>
        </w:rPr>
        <w:t>трошкова</w:t>
      </w:r>
      <w:r w:rsidR="007B6BE3" w:rsidRPr="0087376B">
        <w:rPr>
          <w:rFonts w:ascii="Arial" w:hAnsi="Arial" w:cs="Arial"/>
          <w:sz w:val="22"/>
          <w:szCs w:val="22"/>
        </w:rPr>
        <w:t xml:space="preserve"> </w:t>
      </w:r>
      <w:r>
        <w:rPr>
          <w:rFonts w:ascii="Arial" w:hAnsi="Arial" w:cs="Arial"/>
          <w:sz w:val="22"/>
          <w:szCs w:val="22"/>
        </w:rPr>
        <w:t>и</w:t>
      </w:r>
      <w:r w:rsidR="007B6BE3" w:rsidRPr="0087376B">
        <w:rPr>
          <w:rFonts w:ascii="Arial" w:hAnsi="Arial" w:cs="Arial"/>
          <w:sz w:val="22"/>
          <w:szCs w:val="22"/>
        </w:rPr>
        <w:t xml:space="preserve"> </w:t>
      </w:r>
      <w:r>
        <w:rPr>
          <w:rFonts w:ascii="Arial" w:hAnsi="Arial" w:cs="Arial"/>
          <w:sz w:val="22"/>
          <w:szCs w:val="22"/>
        </w:rPr>
        <w:t>ризика</w:t>
      </w:r>
      <w:r w:rsidR="007B6BE3" w:rsidRPr="0087376B">
        <w:rPr>
          <w:rFonts w:ascii="Arial" w:hAnsi="Arial" w:cs="Arial"/>
          <w:sz w:val="22"/>
          <w:szCs w:val="22"/>
        </w:rPr>
        <w:t xml:space="preserve"> </w:t>
      </w:r>
      <w:r>
        <w:rPr>
          <w:rFonts w:ascii="Arial" w:hAnsi="Arial" w:cs="Arial"/>
          <w:sz w:val="22"/>
          <w:szCs w:val="22"/>
        </w:rPr>
        <w:t>на</w:t>
      </w:r>
      <w:r w:rsidR="007B6BE3" w:rsidRPr="0087376B">
        <w:rPr>
          <w:rFonts w:ascii="Arial" w:hAnsi="Arial" w:cs="Arial"/>
          <w:sz w:val="22"/>
          <w:szCs w:val="22"/>
        </w:rPr>
        <w:t xml:space="preserve"> </w:t>
      </w:r>
      <w:r>
        <w:rPr>
          <w:rFonts w:ascii="Arial" w:hAnsi="Arial" w:cs="Arial"/>
          <w:sz w:val="22"/>
          <w:szCs w:val="22"/>
        </w:rPr>
        <w:t>наведене</w:t>
      </w:r>
      <w:r w:rsidR="007B6BE3" w:rsidRPr="0087376B">
        <w:rPr>
          <w:rFonts w:ascii="Arial" w:hAnsi="Arial" w:cs="Arial"/>
          <w:sz w:val="22"/>
          <w:szCs w:val="22"/>
        </w:rPr>
        <w:t xml:space="preserve"> </w:t>
      </w:r>
      <w:r>
        <w:rPr>
          <w:rFonts w:ascii="Arial" w:hAnsi="Arial" w:cs="Arial"/>
          <w:sz w:val="22"/>
          <w:szCs w:val="22"/>
        </w:rPr>
        <w:t>промјене</w:t>
      </w:r>
      <w:r w:rsidR="007B6BE3" w:rsidRPr="0087376B">
        <w:rPr>
          <w:rFonts w:ascii="Arial" w:hAnsi="Arial" w:cs="Arial"/>
          <w:sz w:val="22"/>
          <w:szCs w:val="22"/>
        </w:rPr>
        <w:t xml:space="preserve">. </w:t>
      </w:r>
      <w:r>
        <w:rPr>
          <w:rFonts w:ascii="Arial" w:hAnsi="Arial" w:cs="Arial"/>
          <w:sz w:val="22"/>
          <w:szCs w:val="22"/>
        </w:rPr>
        <w:t>П</w:t>
      </w:r>
      <w:r>
        <w:rPr>
          <w:rFonts w:ascii="Arial" w:hAnsi="Arial" w:cs="Arial"/>
          <w:sz w:val="22"/>
        </w:rPr>
        <w:t>ретпоставке</w:t>
      </w:r>
      <w:r w:rsidR="007B6BE3" w:rsidRPr="0087376B">
        <w:rPr>
          <w:rFonts w:ascii="Arial" w:hAnsi="Arial" w:cs="Arial"/>
          <w:sz w:val="22"/>
        </w:rPr>
        <w:t xml:space="preserve"> </w:t>
      </w:r>
      <w:r>
        <w:rPr>
          <w:rFonts w:ascii="Arial" w:hAnsi="Arial" w:cs="Arial"/>
          <w:sz w:val="22"/>
        </w:rPr>
        <w:t>висине</w:t>
      </w:r>
      <w:r w:rsidR="007B6BE3" w:rsidRPr="0087376B">
        <w:rPr>
          <w:rFonts w:ascii="Arial" w:hAnsi="Arial" w:cs="Arial"/>
          <w:sz w:val="22"/>
        </w:rPr>
        <w:t xml:space="preserve"> </w:t>
      </w:r>
      <w:r>
        <w:rPr>
          <w:rFonts w:ascii="Arial" w:hAnsi="Arial" w:cs="Arial"/>
          <w:sz w:val="22"/>
        </w:rPr>
        <w:t>каматних</w:t>
      </w:r>
      <w:r w:rsidR="007B6BE3" w:rsidRPr="0087376B">
        <w:rPr>
          <w:rFonts w:ascii="Arial" w:hAnsi="Arial" w:cs="Arial"/>
          <w:sz w:val="22"/>
        </w:rPr>
        <w:t xml:space="preserve"> </w:t>
      </w:r>
      <w:r>
        <w:rPr>
          <w:rFonts w:ascii="Arial" w:hAnsi="Arial" w:cs="Arial"/>
          <w:sz w:val="22"/>
        </w:rPr>
        <w:t>стопа</w:t>
      </w:r>
      <w:r w:rsidR="007B6BE3" w:rsidRPr="0087376B">
        <w:rPr>
          <w:rFonts w:ascii="Arial" w:hAnsi="Arial" w:cs="Arial"/>
          <w:sz w:val="22"/>
        </w:rPr>
        <w:t xml:space="preserve"> </w:t>
      </w:r>
      <w:r>
        <w:rPr>
          <w:rFonts w:ascii="Arial" w:hAnsi="Arial" w:cs="Arial"/>
          <w:sz w:val="22"/>
        </w:rPr>
        <w:t>и</w:t>
      </w:r>
      <w:r w:rsidR="007B6BE3" w:rsidRPr="0087376B">
        <w:rPr>
          <w:rFonts w:ascii="Arial" w:hAnsi="Arial" w:cs="Arial"/>
          <w:sz w:val="22"/>
        </w:rPr>
        <w:t xml:space="preserve"> </w:t>
      </w:r>
      <w:r>
        <w:rPr>
          <w:rFonts w:ascii="Arial" w:hAnsi="Arial" w:cs="Arial"/>
          <w:sz w:val="22"/>
        </w:rPr>
        <w:t>процијењено</w:t>
      </w:r>
      <w:r w:rsidR="007B6BE3" w:rsidRPr="0087376B">
        <w:rPr>
          <w:rFonts w:ascii="Arial" w:hAnsi="Arial" w:cs="Arial"/>
          <w:sz w:val="22"/>
        </w:rPr>
        <w:t xml:space="preserve"> </w:t>
      </w:r>
      <w:r>
        <w:rPr>
          <w:rFonts w:ascii="Arial" w:hAnsi="Arial" w:cs="Arial"/>
          <w:sz w:val="22"/>
        </w:rPr>
        <w:t>кретање</w:t>
      </w:r>
      <w:r w:rsidR="007B6BE3" w:rsidRPr="0087376B">
        <w:rPr>
          <w:rFonts w:ascii="Arial" w:hAnsi="Arial" w:cs="Arial"/>
          <w:sz w:val="22"/>
        </w:rPr>
        <w:t xml:space="preserve"> </w:t>
      </w:r>
      <w:r>
        <w:rPr>
          <w:rFonts w:ascii="Arial" w:hAnsi="Arial" w:cs="Arial"/>
          <w:sz w:val="22"/>
        </w:rPr>
        <w:t>вриједности</w:t>
      </w:r>
      <w:r w:rsidR="007B6BE3" w:rsidRPr="0087376B">
        <w:rPr>
          <w:rFonts w:ascii="Arial" w:hAnsi="Arial" w:cs="Arial"/>
          <w:sz w:val="22"/>
        </w:rPr>
        <w:t xml:space="preserve"> </w:t>
      </w:r>
      <w:r>
        <w:rPr>
          <w:rFonts w:ascii="Arial" w:hAnsi="Arial" w:cs="Arial"/>
          <w:sz w:val="22"/>
        </w:rPr>
        <w:t>девизних</w:t>
      </w:r>
      <w:r w:rsidR="007B6BE3" w:rsidRPr="0087376B">
        <w:rPr>
          <w:rFonts w:ascii="Arial" w:hAnsi="Arial" w:cs="Arial"/>
          <w:sz w:val="22"/>
        </w:rPr>
        <w:t xml:space="preserve"> </w:t>
      </w:r>
      <w:r>
        <w:rPr>
          <w:rFonts w:ascii="Arial" w:hAnsi="Arial" w:cs="Arial"/>
          <w:sz w:val="22"/>
        </w:rPr>
        <w:t>курсева</w:t>
      </w:r>
      <w:r w:rsidR="007B6BE3" w:rsidRPr="0087376B">
        <w:rPr>
          <w:rFonts w:ascii="Arial" w:hAnsi="Arial" w:cs="Arial"/>
          <w:sz w:val="22"/>
        </w:rPr>
        <w:t xml:space="preserve"> </w:t>
      </w:r>
      <w:r>
        <w:rPr>
          <w:rFonts w:ascii="Arial" w:hAnsi="Arial" w:cs="Arial"/>
          <w:sz w:val="22"/>
        </w:rPr>
        <w:t>за</w:t>
      </w:r>
      <w:r w:rsidR="007B6BE3" w:rsidRPr="0087376B">
        <w:rPr>
          <w:rFonts w:ascii="Arial" w:hAnsi="Arial" w:cs="Arial"/>
          <w:sz w:val="22"/>
        </w:rPr>
        <w:t xml:space="preserve"> </w:t>
      </w:r>
      <w:r>
        <w:rPr>
          <w:rFonts w:ascii="Arial" w:hAnsi="Arial" w:cs="Arial"/>
          <w:sz w:val="22"/>
        </w:rPr>
        <w:t>спољни</w:t>
      </w:r>
      <w:r w:rsidR="007B6BE3" w:rsidRPr="0087376B">
        <w:rPr>
          <w:rFonts w:ascii="Arial" w:hAnsi="Arial" w:cs="Arial"/>
          <w:sz w:val="22"/>
        </w:rPr>
        <w:t xml:space="preserve"> </w:t>
      </w:r>
      <w:r>
        <w:rPr>
          <w:rFonts w:ascii="Arial" w:hAnsi="Arial" w:cs="Arial"/>
          <w:sz w:val="22"/>
        </w:rPr>
        <w:t>дуг</w:t>
      </w:r>
      <w:r w:rsidR="007B6BE3" w:rsidRPr="0087376B">
        <w:rPr>
          <w:rFonts w:ascii="Arial" w:hAnsi="Arial" w:cs="Arial"/>
          <w:sz w:val="22"/>
        </w:rPr>
        <w:t xml:space="preserve"> </w:t>
      </w:r>
      <w:r>
        <w:rPr>
          <w:rFonts w:ascii="Arial" w:hAnsi="Arial" w:cs="Arial"/>
          <w:sz w:val="22"/>
        </w:rPr>
        <w:t>у</w:t>
      </w:r>
      <w:r w:rsidR="007B6BE3" w:rsidRPr="0087376B">
        <w:rPr>
          <w:rFonts w:ascii="Arial" w:hAnsi="Arial" w:cs="Arial"/>
          <w:sz w:val="22"/>
        </w:rPr>
        <w:t xml:space="preserve"> </w:t>
      </w:r>
      <w:r>
        <w:rPr>
          <w:rFonts w:ascii="Arial" w:hAnsi="Arial" w:cs="Arial"/>
          <w:sz w:val="22"/>
        </w:rPr>
        <w:t>периоду</w:t>
      </w:r>
      <w:r w:rsidR="007B6BE3" w:rsidRPr="0087376B">
        <w:rPr>
          <w:rFonts w:ascii="Arial" w:hAnsi="Arial" w:cs="Arial"/>
          <w:sz w:val="22"/>
        </w:rPr>
        <w:t xml:space="preserve"> 2023 – 2025. </w:t>
      </w:r>
      <w:r>
        <w:rPr>
          <w:rFonts w:ascii="Arial" w:hAnsi="Arial" w:cs="Arial"/>
          <w:sz w:val="22"/>
        </w:rPr>
        <w:t>година</w:t>
      </w:r>
      <w:r w:rsidR="007B6BE3" w:rsidRPr="0087376B">
        <w:rPr>
          <w:rFonts w:ascii="Arial" w:hAnsi="Arial" w:cs="Arial"/>
          <w:sz w:val="22"/>
        </w:rPr>
        <w:t xml:space="preserve"> </w:t>
      </w:r>
      <w:r>
        <w:rPr>
          <w:rFonts w:ascii="Arial" w:hAnsi="Arial" w:cs="Arial"/>
          <w:sz w:val="22"/>
        </w:rPr>
        <w:t>преузети</w:t>
      </w:r>
      <w:r w:rsidR="007B6BE3" w:rsidRPr="0087376B">
        <w:rPr>
          <w:rFonts w:ascii="Arial" w:hAnsi="Arial" w:cs="Arial"/>
          <w:sz w:val="22"/>
        </w:rPr>
        <w:t xml:space="preserve"> </w:t>
      </w:r>
      <w:r>
        <w:rPr>
          <w:rFonts w:ascii="Arial" w:hAnsi="Arial" w:cs="Arial"/>
          <w:sz w:val="22"/>
        </w:rPr>
        <w:t>су</w:t>
      </w:r>
      <w:r w:rsidR="007B6BE3" w:rsidRPr="0087376B">
        <w:rPr>
          <w:rFonts w:ascii="Arial" w:hAnsi="Arial" w:cs="Arial"/>
          <w:sz w:val="22"/>
        </w:rPr>
        <w:t xml:space="preserve"> </w:t>
      </w:r>
      <w:r>
        <w:rPr>
          <w:rFonts w:ascii="Arial" w:hAnsi="Arial" w:cs="Arial"/>
          <w:sz w:val="22"/>
        </w:rPr>
        <w:t>од</w:t>
      </w:r>
      <w:r w:rsidR="007B6BE3" w:rsidRPr="0087376B">
        <w:rPr>
          <w:rFonts w:ascii="Arial" w:hAnsi="Arial" w:cs="Arial"/>
          <w:sz w:val="22"/>
        </w:rPr>
        <w:t xml:space="preserve"> </w:t>
      </w:r>
      <w:r>
        <w:rPr>
          <w:rFonts w:ascii="Arial" w:hAnsi="Arial" w:cs="Arial"/>
          <w:sz w:val="22"/>
        </w:rPr>
        <w:t>Министарства</w:t>
      </w:r>
      <w:r w:rsidR="007B6BE3" w:rsidRPr="0087376B">
        <w:rPr>
          <w:rFonts w:ascii="Arial" w:hAnsi="Arial" w:cs="Arial"/>
          <w:sz w:val="22"/>
        </w:rPr>
        <w:t xml:space="preserve"> </w:t>
      </w:r>
      <w:r>
        <w:rPr>
          <w:rFonts w:ascii="Arial" w:hAnsi="Arial" w:cs="Arial"/>
          <w:sz w:val="22"/>
        </w:rPr>
        <w:t>финансија</w:t>
      </w:r>
      <w:r w:rsidR="007B6BE3" w:rsidRPr="0087376B">
        <w:rPr>
          <w:rFonts w:ascii="Arial" w:hAnsi="Arial" w:cs="Arial"/>
          <w:sz w:val="22"/>
        </w:rPr>
        <w:t xml:space="preserve"> </w:t>
      </w:r>
      <w:r>
        <w:rPr>
          <w:rFonts w:ascii="Arial" w:hAnsi="Arial" w:cs="Arial"/>
          <w:sz w:val="22"/>
        </w:rPr>
        <w:t>и</w:t>
      </w:r>
      <w:r w:rsidR="007B6BE3" w:rsidRPr="0087376B">
        <w:rPr>
          <w:rFonts w:ascii="Arial" w:hAnsi="Arial" w:cs="Arial"/>
          <w:sz w:val="22"/>
        </w:rPr>
        <w:t xml:space="preserve"> </w:t>
      </w:r>
      <w:r>
        <w:rPr>
          <w:rFonts w:ascii="Arial" w:hAnsi="Arial" w:cs="Arial"/>
          <w:sz w:val="22"/>
        </w:rPr>
        <w:t>трезора</w:t>
      </w:r>
      <w:r w:rsidR="007B6BE3" w:rsidRPr="0087376B">
        <w:rPr>
          <w:rFonts w:ascii="Arial" w:hAnsi="Arial" w:cs="Arial"/>
          <w:sz w:val="22"/>
        </w:rPr>
        <w:t xml:space="preserve"> </w:t>
      </w:r>
      <w:r>
        <w:rPr>
          <w:rFonts w:ascii="Arial" w:hAnsi="Arial" w:cs="Arial"/>
          <w:sz w:val="22"/>
        </w:rPr>
        <w:t>БиХ</w:t>
      </w:r>
      <w:r w:rsidR="007B6BE3" w:rsidRPr="0087376B">
        <w:rPr>
          <w:rFonts w:ascii="Arial" w:hAnsi="Arial" w:cs="Arial"/>
          <w:sz w:val="22"/>
        </w:rPr>
        <w:t xml:space="preserve">. </w:t>
      </w:r>
    </w:p>
    <w:p w14:paraId="2AF767D4" w14:textId="77777777" w:rsidR="007B6BE3" w:rsidRPr="0087376B" w:rsidRDefault="007B6BE3" w:rsidP="007B6BE3">
      <w:pPr>
        <w:pStyle w:val="ParagraphNumbering"/>
        <w:keepNext/>
        <w:numPr>
          <w:ilvl w:val="0"/>
          <w:numId w:val="0"/>
        </w:numPr>
        <w:spacing w:after="0" w:line="276" w:lineRule="auto"/>
        <w:ind w:firstLine="420"/>
        <w:jc w:val="both"/>
        <w:rPr>
          <w:rFonts w:ascii="Arial" w:hAnsi="Arial" w:cs="Arial"/>
          <w:sz w:val="22"/>
        </w:rPr>
      </w:pPr>
    </w:p>
    <w:p w14:paraId="7056FBC4" w14:textId="77777777" w:rsidR="007B6BE3" w:rsidRPr="0087376B" w:rsidRDefault="007B6BE3" w:rsidP="007B6BE3">
      <w:pPr>
        <w:pStyle w:val="ParagraphNumbering"/>
        <w:keepNext/>
        <w:numPr>
          <w:ilvl w:val="0"/>
          <w:numId w:val="0"/>
        </w:numPr>
        <w:spacing w:after="0" w:line="276" w:lineRule="auto"/>
        <w:ind w:firstLine="420"/>
        <w:jc w:val="both"/>
        <w:rPr>
          <w:rFonts w:ascii="Arial" w:hAnsi="Arial" w:cs="Arial"/>
          <w:sz w:val="22"/>
        </w:rPr>
      </w:pPr>
    </w:p>
    <w:p w14:paraId="5405808B" w14:textId="19D1FB6F" w:rsidR="007B6BE3" w:rsidRPr="0092788C" w:rsidRDefault="005B20F8" w:rsidP="0092788C">
      <w:pPr>
        <w:pStyle w:val="Heading2"/>
        <w:numPr>
          <w:ilvl w:val="1"/>
          <w:numId w:val="1"/>
        </w:numPr>
        <w:spacing w:before="0"/>
        <w:ind w:left="993" w:hanging="709"/>
        <w:rPr>
          <w:rFonts w:ascii="Arial" w:hAnsi="Arial" w:cs="Arial"/>
          <w:b w:val="0"/>
          <w:color w:val="auto"/>
          <w:sz w:val="24"/>
          <w:szCs w:val="24"/>
        </w:rPr>
      </w:pPr>
      <w:bookmarkStart w:id="120" w:name="_Toc149810621"/>
      <w:r w:rsidRPr="0092788C">
        <w:rPr>
          <w:rFonts w:ascii="Arial" w:hAnsi="Arial" w:cs="Arial"/>
          <w:b w:val="0"/>
          <w:color w:val="auto"/>
          <w:sz w:val="24"/>
          <w:szCs w:val="24"/>
        </w:rPr>
        <w:t>Сценариј</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непредвиђених</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догађаја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Шок</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сценариј</w:t>
      </w:r>
      <w:r w:rsidR="007B6BE3" w:rsidRPr="0092788C">
        <w:rPr>
          <w:rFonts w:ascii="Arial" w:hAnsi="Arial" w:cs="Arial"/>
          <w:b w:val="0"/>
          <w:color w:val="auto"/>
          <w:sz w:val="24"/>
          <w:szCs w:val="24"/>
        </w:rPr>
        <w:t>)</w:t>
      </w:r>
      <w:bookmarkEnd w:id="120"/>
    </w:p>
    <w:p w14:paraId="72213587" w14:textId="77777777" w:rsidR="007B6BE3" w:rsidRPr="0087376B" w:rsidRDefault="007B6BE3" w:rsidP="007B6BE3">
      <w:pPr>
        <w:autoSpaceDE w:val="0"/>
        <w:spacing w:after="0" w:line="240" w:lineRule="auto"/>
        <w:jc w:val="both"/>
        <w:rPr>
          <w:rFonts w:ascii="Arial" w:eastAsia="SimSun" w:hAnsi="Arial" w:cs="Arial"/>
          <w:b/>
          <w:sz w:val="10"/>
          <w:szCs w:val="24"/>
        </w:rPr>
      </w:pPr>
    </w:p>
    <w:p w14:paraId="7F0F5E7F" w14:textId="77777777" w:rsidR="007B6BE3" w:rsidRPr="0087376B" w:rsidRDefault="007B6BE3" w:rsidP="007B6BE3">
      <w:pPr>
        <w:autoSpaceDE w:val="0"/>
        <w:spacing w:after="0" w:line="240" w:lineRule="auto"/>
        <w:jc w:val="both"/>
        <w:rPr>
          <w:rFonts w:ascii="Arial" w:eastAsia="SimSun" w:hAnsi="Arial" w:cs="Arial"/>
          <w:b/>
          <w:sz w:val="10"/>
          <w:szCs w:val="24"/>
        </w:rPr>
      </w:pPr>
    </w:p>
    <w:p w14:paraId="0BA9220E" w14:textId="77777777" w:rsidR="007B6BE3" w:rsidRPr="0087376B" w:rsidRDefault="005B20F8" w:rsidP="007B6BE3">
      <w:pPr>
        <w:pStyle w:val="ParagraphNumbering"/>
        <w:keepNext/>
        <w:numPr>
          <w:ilvl w:val="0"/>
          <w:numId w:val="0"/>
        </w:numPr>
        <w:spacing w:after="0" w:line="276" w:lineRule="auto"/>
        <w:ind w:firstLine="420"/>
        <w:jc w:val="both"/>
        <w:rPr>
          <w:rFonts w:ascii="Arial" w:hAnsi="Arial" w:cs="Arial"/>
          <w:sz w:val="22"/>
        </w:rPr>
      </w:pPr>
      <w:r>
        <w:rPr>
          <w:rFonts w:ascii="Arial" w:hAnsi="Arial" w:cs="Arial"/>
          <w:sz w:val="22"/>
        </w:rPr>
        <w:t>Сценарији</w:t>
      </w:r>
      <w:r w:rsidR="007B6BE3" w:rsidRPr="0087376B">
        <w:rPr>
          <w:rFonts w:ascii="Arial" w:hAnsi="Arial" w:cs="Arial"/>
          <w:sz w:val="22"/>
        </w:rPr>
        <w:t xml:space="preserve"> </w:t>
      </w:r>
      <w:r>
        <w:rPr>
          <w:rFonts w:ascii="Arial" w:hAnsi="Arial" w:cs="Arial"/>
          <w:sz w:val="22"/>
        </w:rPr>
        <w:t>су</w:t>
      </w:r>
      <w:r w:rsidR="007B6BE3" w:rsidRPr="0087376B">
        <w:rPr>
          <w:rFonts w:ascii="Arial" w:hAnsi="Arial" w:cs="Arial"/>
          <w:sz w:val="22"/>
        </w:rPr>
        <w:t xml:space="preserve"> </w:t>
      </w:r>
      <w:r>
        <w:rPr>
          <w:rFonts w:ascii="Arial" w:hAnsi="Arial" w:cs="Arial"/>
          <w:sz w:val="22"/>
        </w:rPr>
        <w:t>тестирани</w:t>
      </w:r>
      <w:r w:rsidR="007B6BE3" w:rsidRPr="0087376B">
        <w:rPr>
          <w:rFonts w:ascii="Arial" w:hAnsi="Arial" w:cs="Arial"/>
          <w:sz w:val="22"/>
        </w:rPr>
        <w:t xml:space="preserve"> </w:t>
      </w:r>
      <w:r>
        <w:rPr>
          <w:rFonts w:ascii="Arial" w:hAnsi="Arial" w:cs="Arial"/>
          <w:sz w:val="22"/>
        </w:rPr>
        <w:t>на</w:t>
      </w:r>
      <w:r w:rsidR="007B6BE3" w:rsidRPr="0087376B">
        <w:rPr>
          <w:rFonts w:ascii="Arial" w:hAnsi="Arial" w:cs="Arial"/>
          <w:sz w:val="22"/>
        </w:rPr>
        <w:t xml:space="preserve"> </w:t>
      </w:r>
      <w:r>
        <w:rPr>
          <w:rFonts w:ascii="Arial" w:hAnsi="Arial" w:cs="Arial"/>
          <w:sz w:val="22"/>
        </w:rPr>
        <w:t>утицај</w:t>
      </w:r>
      <w:r w:rsidR="007B6BE3" w:rsidRPr="0087376B">
        <w:rPr>
          <w:rFonts w:ascii="Arial" w:hAnsi="Arial" w:cs="Arial"/>
          <w:sz w:val="22"/>
        </w:rPr>
        <w:t xml:space="preserve"> </w:t>
      </w:r>
      <w:r>
        <w:rPr>
          <w:rFonts w:ascii="Arial" w:hAnsi="Arial" w:cs="Arial"/>
          <w:sz w:val="22"/>
        </w:rPr>
        <w:t>шокова</w:t>
      </w:r>
      <w:r w:rsidR="007B6BE3" w:rsidRPr="0087376B">
        <w:rPr>
          <w:rFonts w:ascii="Arial" w:hAnsi="Arial" w:cs="Arial"/>
          <w:sz w:val="22"/>
        </w:rPr>
        <w:t xml:space="preserve">, </w:t>
      </w:r>
      <w:r>
        <w:rPr>
          <w:rFonts w:ascii="Arial" w:hAnsi="Arial" w:cs="Arial"/>
          <w:sz w:val="22"/>
        </w:rPr>
        <w:t>одвојено</w:t>
      </w:r>
      <w:r w:rsidR="007B6BE3" w:rsidRPr="0087376B">
        <w:rPr>
          <w:rFonts w:ascii="Arial" w:hAnsi="Arial" w:cs="Arial"/>
          <w:sz w:val="22"/>
        </w:rPr>
        <w:t xml:space="preserve"> </w:t>
      </w:r>
      <w:r>
        <w:rPr>
          <w:rFonts w:ascii="Arial" w:hAnsi="Arial" w:cs="Arial"/>
          <w:sz w:val="22"/>
        </w:rPr>
        <w:t>каматни</w:t>
      </w:r>
      <w:r w:rsidR="007B6BE3" w:rsidRPr="0087376B">
        <w:rPr>
          <w:rFonts w:ascii="Arial" w:hAnsi="Arial" w:cs="Arial"/>
          <w:sz w:val="22"/>
        </w:rPr>
        <w:t xml:space="preserve"> </w:t>
      </w:r>
      <w:r>
        <w:rPr>
          <w:rFonts w:ascii="Arial" w:hAnsi="Arial" w:cs="Arial"/>
          <w:sz w:val="22"/>
        </w:rPr>
        <w:t>и</w:t>
      </w:r>
      <w:r w:rsidR="007B6BE3" w:rsidRPr="0087376B">
        <w:rPr>
          <w:rFonts w:ascii="Arial" w:hAnsi="Arial" w:cs="Arial"/>
          <w:sz w:val="22"/>
        </w:rPr>
        <w:t xml:space="preserve"> </w:t>
      </w:r>
      <w:r>
        <w:rPr>
          <w:rFonts w:ascii="Arial" w:hAnsi="Arial" w:cs="Arial"/>
          <w:sz w:val="22"/>
        </w:rPr>
        <w:t>валутни</w:t>
      </w:r>
      <w:r w:rsidR="007B6BE3" w:rsidRPr="0087376B">
        <w:rPr>
          <w:rFonts w:ascii="Arial" w:hAnsi="Arial" w:cs="Arial"/>
          <w:sz w:val="22"/>
        </w:rPr>
        <w:t xml:space="preserve"> </w:t>
      </w:r>
      <w:r>
        <w:rPr>
          <w:rFonts w:ascii="Arial" w:hAnsi="Arial" w:cs="Arial"/>
          <w:sz w:val="22"/>
        </w:rPr>
        <w:t>шок</w:t>
      </w:r>
      <w:r w:rsidR="007B6BE3" w:rsidRPr="0087376B">
        <w:rPr>
          <w:rFonts w:ascii="Arial" w:hAnsi="Arial" w:cs="Arial"/>
          <w:sz w:val="22"/>
        </w:rPr>
        <w:t xml:space="preserve"> </w:t>
      </w:r>
      <w:r>
        <w:rPr>
          <w:rFonts w:ascii="Arial" w:hAnsi="Arial" w:cs="Arial"/>
          <w:sz w:val="22"/>
        </w:rPr>
        <w:t>те</w:t>
      </w:r>
      <w:r w:rsidR="007B6BE3" w:rsidRPr="0087376B">
        <w:rPr>
          <w:rFonts w:ascii="Arial" w:hAnsi="Arial" w:cs="Arial"/>
          <w:sz w:val="22"/>
        </w:rPr>
        <w:t xml:space="preserve"> </w:t>
      </w:r>
      <w:r>
        <w:rPr>
          <w:rFonts w:ascii="Arial" w:hAnsi="Arial" w:cs="Arial"/>
          <w:sz w:val="22"/>
        </w:rPr>
        <w:t>комбиновани</w:t>
      </w:r>
      <w:r w:rsidR="007B6BE3" w:rsidRPr="0087376B">
        <w:rPr>
          <w:rFonts w:ascii="Arial" w:hAnsi="Arial" w:cs="Arial"/>
          <w:sz w:val="22"/>
        </w:rPr>
        <w:t xml:space="preserve"> </w:t>
      </w:r>
      <w:r>
        <w:rPr>
          <w:rFonts w:ascii="Arial" w:hAnsi="Arial" w:cs="Arial"/>
          <w:sz w:val="22"/>
        </w:rPr>
        <w:t>каматно</w:t>
      </w:r>
      <w:r w:rsidR="007B6BE3" w:rsidRPr="0087376B">
        <w:rPr>
          <w:rFonts w:ascii="Arial" w:hAnsi="Arial" w:cs="Arial"/>
          <w:sz w:val="22"/>
        </w:rPr>
        <w:t>-</w:t>
      </w:r>
      <w:r>
        <w:rPr>
          <w:rFonts w:ascii="Arial" w:hAnsi="Arial" w:cs="Arial"/>
          <w:sz w:val="22"/>
        </w:rPr>
        <w:t>валутни</w:t>
      </w:r>
      <w:r w:rsidR="007B6BE3" w:rsidRPr="0087376B">
        <w:rPr>
          <w:rFonts w:ascii="Arial" w:hAnsi="Arial" w:cs="Arial"/>
          <w:sz w:val="22"/>
        </w:rPr>
        <w:t xml:space="preserve"> </w:t>
      </w:r>
      <w:r>
        <w:rPr>
          <w:rFonts w:ascii="Arial" w:hAnsi="Arial" w:cs="Arial"/>
          <w:sz w:val="22"/>
        </w:rPr>
        <w:t>шок</w:t>
      </w:r>
      <w:r w:rsidR="007B6BE3" w:rsidRPr="0087376B">
        <w:rPr>
          <w:rFonts w:ascii="Arial" w:hAnsi="Arial" w:cs="Arial"/>
          <w:sz w:val="22"/>
        </w:rPr>
        <w:t xml:space="preserve"> </w:t>
      </w:r>
      <w:r>
        <w:rPr>
          <w:rFonts w:ascii="Arial" w:hAnsi="Arial" w:cs="Arial"/>
          <w:sz w:val="22"/>
        </w:rPr>
        <w:t>на</w:t>
      </w:r>
      <w:r w:rsidR="007B6BE3" w:rsidRPr="0087376B">
        <w:rPr>
          <w:rFonts w:ascii="Arial" w:hAnsi="Arial" w:cs="Arial"/>
          <w:sz w:val="22"/>
        </w:rPr>
        <w:t xml:space="preserve"> </w:t>
      </w:r>
      <w:r>
        <w:rPr>
          <w:rFonts w:ascii="Arial" w:hAnsi="Arial" w:cs="Arial"/>
          <w:sz w:val="22"/>
        </w:rPr>
        <w:t>основу</w:t>
      </w:r>
      <w:r w:rsidR="007B6BE3" w:rsidRPr="0087376B">
        <w:rPr>
          <w:rFonts w:ascii="Arial" w:hAnsi="Arial" w:cs="Arial"/>
          <w:sz w:val="22"/>
        </w:rPr>
        <w:t xml:space="preserve"> </w:t>
      </w:r>
      <w:r>
        <w:rPr>
          <w:rFonts w:ascii="Arial" w:hAnsi="Arial" w:cs="Arial"/>
          <w:sz w:val="22"/>
        </w:rPr>
        <w:t>постојећег</w:t>
      </w:r>
      <w:r w:rsidR="007B6BE3" w:rsidRPr="0087376B">
        <w:rPr>
          <w:rFonts w:ascii="Arial" w:hAnsi="Arial" w:cs="Arial"/>
          <w:sz w:val="22"/>
        </w:rPr>
        <w:t xml:space="preserve"> </w:t>
      </w:r>
      <w:r>
        <w:rPr>
          <w:rFonts w:ascii="Arial" w:hAnsi="Arial" w:cs="Arial"/>
          <w:sz w:val="22"/>
        </w:rPr>
        <w:t>стања</w:t>
      </w:r>
      <w:r w:rsidR="007B6BE3" w:rsidRPr="0087376B">
        <w:rPr>
          <w:rFonts w:ascii="Arial" w:hAnsi="Arial" w:cs="Arial"/>
          <w:sz w:val="22"/>
        </w:rPr>
        <w:t xml:space="preserve"> </w:t>
      </w:r>
      <w:r>
        <w:rPr>
          <w:rFonts w:ascii="Arial" w:hAnsi="Arial" w:cs="Arial"/>
          <w:sz w:val="22"/>
        </w:rPr>
        <w:t>дуга</w:t>
      </w:r>
      <w:r w:rsidR="007B6BE3" w:rsidRPr="0087376B">
        <w:rPr>
          <w:rFonts w:ascii="Arial" w:hAnsi="Arial" w:cs="Arial"/>
          <w:sz w:val="22"/>
        </w:rPr>
        <w:t>.</w:t>
      </w:r>
    </w:p>
    <w:p w14:paraId="728C268F" w14:textId="77777777" w:rsidR="007B6BE3" w:rsidRPr="0087376B" w:rsidRDefault="007B6BE3" w:rsidP="007B6BE3">
      <w:pPr>
        <w:spacing w:after="0"/>
        <w:jc w:val="both"/>
        <w:rPr>
          <w:rFonts w:ascii="Arial" w:hAnsi="Arial" w:cs="Arial"/>
          <w:szCs w:val="24"/>
        </w:rPr>
      </w:pPr>
    </w:p>
    <w:p w14:paraId="05B033FD" w14:textId="7AD3EBF8" w:rsidR="007B6BE3" w:rsidRDefault="005B20F8" w:rsidP="007B6BE3">
      <w:pPr>
        <w:spacing w:after="0"/>
        <w:jc w:val="both"/>
        <w:rPr>
          <w:rFonts w:ascii="Arial" w:hAnsi="Arial" w:cs="Arial"/>
          <w:szCs w:val="24"/>
        </w:rPr>
      </w:pPr>
      <w:r>
        <w:rPr>
          <w:rFonts w:ascii="Arial" w:hAnsi="Arial" w:cs="Arial"/>
          <w:szCs w:val="24"/>
        </w:rPr>
        <w:t>Шок</w:t>
      </w:r>
      <w:r w:rsidR="007B6BE3" w:rsidRPr="0087376B">
        <w:rPr>
          <w:rFonts w:ascii="Arial" w:hAnsi="Arial" w:cs="Arial"/>
          <w:szCs w:val="24"/>
        </w:rPr>
        <w:t xml:space="preserve"> </w:t>
      </w:r>
      <w:r>
        <w:rPr>
          <w:rFonts w:ascii="Arial" w:hAnsi="Arial" w:cs="Arial"/>
          <w:szCs w:val="24"/>
        </w:rPr>
        <w:t>валутног</w:t>
      </w:r>
      <w:r w:rsidR="007B6BE3" w:rsidRPr="0087376B">
        <w:rPr>
          <w:rFonts w:ascii="Arial" w:hAnsi="Arial" w:cs="Arial"/>
          <w:szCs w:val="24"/>
        </w:rPr>
        <w:t xml:space="preserve"> (</w:t>
      </w:r>
      <w:r>
        <w:rPr>
          <w:rFonts w:ascii="Arial" w:hAnsi="Arial" w:cs="Arial"/>
          <w:szCs w:val="24"/>
        </w:rPr>
        <w:t>девизног</w:t>
      </w:r>
      <w:r w:rsidR="007B6BE3" w:rsidRPr="0087376B">
        <w:rPr>
          <w:rFonts w:ascii="Arial" w:hAnsi="Arial" w:cs="Arial"/>
          <w:szCs w:val="24"/>
        </w:rPr>
        <w:t xml:space="preserve">) </w:t>
      </w:r>
      <w:r>
        <w:rPr>
          <w:rFonts w:ascii="Arial" w:hAnsi="Arial" w:cs="Arial"/>
          <w:szCs w:val="24"/>
        </w:rPr>
        <w:t>курса</w:t>
      </w:r>
      <w:r w:rsidR="007B6BE3" w:rsidRPr="0087376B">
        <w:rPr>
          <w:rFonts w:ascii="Arial" w:hAnsi="Arial" w:cs="Arial"/>
          <w:szCs w:val="24"/>
        </w:rPr>
        <w:t xml:space="preserve"> </w:t>
      </w:r>
      <w:r>
        <w:rPr>
          <w:rFonts w:ascii="Arial" w:hAnsi="Arial" w:cs="Arial"/>
          <w:szCs w:val="24"/>
        </w:rPr>
        <w:t>подразумијева</w:t>
      </w:r>
      <w:r w:rsidR="007B6BE3">
        <w:rPr>
          <w:rFonts w:ascii="Arial" w:hAnsi="Arial" w:cs="Arial"/>
          <w:szCs w:val="24"/>
        </w:rPr>
        <w:t xml:space="preserve"> </w:t>
      </w:r>
      <w:r>
        <w:rPr>
          <w:rFonts w:ascii="Arial" w:hAnsi="Arial" w:cs="Arial"/>
          <w:szCs w:val="24"/>
        </w:rPr>
        <w:t>сљедеће</w:t>
      </w:r>
      <w:r w:rsidR="007B6BE3" w:rsidRPr="0087376B">
        <w:rPr>
          <w:rFonts w:ascii="Arial" w:hAnsi="Arial" w:cs="Arial"/>
          <w:szCs w:val="24"/>
        </w:rPr>
        <w:t xml:space="preserve">: </w:t>
      </w:r>
    </w:p>
    <w:p w14:paraId="2F1080AE" w14:textId="77777777" w:rsidR="00762711" w:rsidRPr="0087376B" w:rsidRDefault="00762711" w:rsidP="007B6BE3">
      <w:pPr>
        <w:spacing w:after="0"/>
        <w:jc w:val="both"/>
        <w:rPr>
          <w:rFonts w:ascii="Arial" w:hAnsi="Arial" w:cs="Arial"/>
          <w:szCs w:val="24"/>
        </w:rPr>
      </w:pPr>
    </w:p>
    <w:p w14:paraId="53C72416" w14:textId="77777777" w:rsidR="007B6BE3" w:rsidRPr="00E04BE0" w:rsidRDefault="005B20F8" w:rsidP="007B6BE3">
      <w:pPr>
        <w:numPr>
          <w:ilvl w:val="0"/>
          <w:numId w:val="6"/>
        </w:numPr>
        <w:spacing w:after="0"/>
        <w:ind w:left="567"/>
        <w:contextualSpacing/>
        <w:jc w:val="both"/>
        <w:rPr>
          <w:rFonts w:ascii="Arial" w:hAnsi="Arial" w:cs="Arial"/>
          <w:szCs w:val="24"/>
        </w:rPr>
      </w:pPr>
      <w:r>
        <w:rPr>
          <w:rFonts w:ascii="Arial" w:hAnsi="Arial" w:cs="Arial"/>
          <w:szCs w:val="24"/>
        </w:rPr>
        <w:t>мањи</w:t>
      </w:r>
      <w:r w:rsidR="007B6BE3" w:rsidRPr="0087376B">
        <w:rPr>
          <w:rFonts w:ascii="Arial" w:hAnsi="Arial" w:cs="Arial"/>
          <w:szCs w:val="24"/>
        </w:rPr>
        <w:t xml:space="preserve"> </w:t>
      </w:r>
      <w:r>
        <w:rPr>
          <w:rFonts w:ascii="Arial" w:hAnsi="Arial" w:cs="Arial"/>
          <w:szCs w:val="24"/>
        </w:rPr>
        <w:t>шок</w:t>
      </w:r>
      <w:r w:rsidR="007B6BE3" w:rsidRPr="0087376B">
        <w:rPr>
          <w:rFonts w:ascii="Arial" w:hAnsi="Arial" w:cs="Arial"/>
          <w:szCs w:val="24"/>
        </w:rPr>
        <w:t xml:space="preserve">: </w:t>
      </w:r>
      <w:r>
        <w:rPr>
          <w:rFonts w:ascii="Arial" w:hAnsi="Arial" w:cs="Arial"/>
          <w:szCs w:val="24"/>
        </w:rPr>
        <w:t>депрецијација</w:t>
      </w:r>
      <w:r w:rsidR="007B6BE3" w:rsidRPr="0087376B">
        <w:rPr>
          <w:rFonts w:ascii="Arial" w:hAnsi="Arial" w:cs="Arial"/>
          <w:szCs w:val="24"/>
        </w:rPr>
        <w:t xml:space="preserve"> </w:t>
      </w:r>
      <w:r>
        <w:rPr>
          <w:rFonts w:ascii="Arial" w:hAnsi="Arial" w:cs="Arial"/>
          <w:szCs w:val="24"/>
        </w:rPr>
        <w:t>вриједности</w:t>
      </w:r>
      <w:r w:rsidR="007B6BE3" w:rsidRPr="0087376B">
        <w:rPr>
          <w:rFonts w:ascii="Arial" w:hAnsi="Arial" w:cs="Arial"/>
          <w:szCs w:val="24"/>
        </w:rPr>
        <w:t xml:space="preserve"> </w:t>
      </w:r>
      <w:r w:rsidRPr="00E04BE0">
        <w:rPr>
          <w:rFonts w:ascii="Arial" w:hAnsi="Arial" w:cs="Arial"/>
          <w:szCs w:val="24"/>
        </w:rPr>
        <w:t>КМ</w:t>
      </w:r>
      <w:r w:rsidR="007B6BE3" w:rsidRPr="00E04BE0">
        <w:rPr>
          <w:rFonts w:ascii="Arial" w:hAnsi="Arial" w:cs="Arial"/>
          <w:szCs w:val="24"/>
        </w:rPr>
        <w:t xml:space="preserve"> </w:t>
      </w:r>
      <w:r w:rsidRPr="00E04BE0">
        <w:rPr>
          <w:rFonts w:ascii="Arial" w:hAnsi="Arial" w:cs="Arial"/>
          <w:szCs w:val="24"/>
        </w:rPr>
        <w:t>за</w:t>
      </w:r>
      <w:r w:rsidR="007B6BE3" w:rsidRPr="00E04BE0">
        <w:rPr>
          <w:rFonts w:ascii="Arial" w:hAnsi="Arial" w:cs="Arial"/>
          <w:szCs w:val="24"/>
        </w:rPr>
        <w:t xml:space="preserve"> 20% </w:t>
      </w:r>
      <w:r w:rsidRPr="00E04BE0">
        <w:rPr>
          <w:rFonts w:ascii="Arial" w:hAnsi="Arial" w:cs="Arial"/>
          <w:szCs w:val="24"/>
        </w:rPr>
        <w:t>у</w:t>
      </w:r>
      <w:r w:rsidR="007B6BE3" w:rsidRPr="00E04BE0">
        <w:rPr>
          <w:rFonts w:ascii="Arial" w:hAnsi="Arial" w:cs="Arial"/>
          <w:szCs w:val="24"/>
        </w:rPr>
        <w:t xml:space="preserve"> </w:t>
      </w:r>
      <w:r w:rsidRPr="00E04BE0">
        <w:rPr>
          <w:rFonts w:ascii="Arial" w:hAnsi="Arial" w:cs="Arial"/>
          <w:szCs w:val="24"/>
        </w:rPr>
        <w:t>односу</w:t>
      </w:r>
      <w:r w:rsidR="007B6BE3" w:rsidRPr="00E04BE0">
        <w:rPr>
          <w:rFonts w:ascii="Arial" w:hAnsi="Arial" w:cs="Arial"/>
          <w:szCs w:val="24"/>
        </w:rPr>
        <w:t xml:space="preserve"> </w:t>
      </w:r>
      <w:r w:rsidRPr="00E04BE0">
        <w:rPr>
          <w:rFonts w:ascii="Arial" w:hAnsi="Arial" w:cs="Arial"/>
          <w:szCs w:val="24"/>
        </w:rPr>
        <w:t>на</w:t>
      </w:r>
      <w:r w:rsidR="007B6BE3" w:rsidRPr="00E04BE0">
        <w:rPr>
          <w:rFonts w:ascii="Arial" w:hAnsi="Arial" w:cs="Arial"/>
          <w:szCs w:val="24"/>
        </w:rPr>
        <w:t xml:space="preserve"> </w:t>
      </w:r>
      <w:r w:rsidR="00E04BE0" w:rsidRPr="00E04BE0">
        <w:rPr>
          <w:rFonts w:ascii="Arial" w:hAnsi="Arial" w:cs="Arial"/>
          <w:szCs w:val="24"/>
        </w:rPr>
        <w:t>USD</w:t>
      </w:r>
      <w:r w:rsidR="007B6BE3" w:rsidRPr="00E04BE0">
        <w:rPr>
          <w:rFonts w:ascii="Arial" w:hAnsi="Arial" w:cs="Arial"/>
          <w:szCs w:val="24"/>
        </w:rPr>
        <w:t xml:space="preserve"> </w:t>
      </w:r>
      <w:r w:rsidRPr="00E04BE0">
        <w:rPr>
          <w:rFonts w:ascii="Arial" w:hAnsi="Arial" w:cs="Arial"/>
          <w:szCs w:val="24"/>
        </w:rPr>
        <w:t>у</w:t>
      </w:r>
      <w:r w:rsidR="007B6BE3" w:rsidRPr="00E04BE0">
        <w:rPr>
          <w:rFonts w:ascii="Arial" w:hAnsi="Arial" w:cs="Arial"/>
          <w:szCs w:val="24"/>
        </w:rPr>
        <w:t xml:space="preserve"> </w:t>
      </w:r>
      <w:r w:rsidRPr="00E04BE0">
        <w:rPr>
          <w:rFonts w:ascii="Arial" w:hAnsi="Arial" w:cs="Arial"/>
          <w:szCs w:val="24"/>
        </w:rPr>
        <w:t>другој</w:t>
      </w:r>
      <w:r w:rsidR="007B6BE3" w:rsidRPr="00E04BE0">
        <w:rPr>
          <w:rFonts w:ascii="Arial" w:hAnsi="Arial" w:cs="Arial"/>
          <w:szCs w:val="24"/>
        </w:rPr>
        <w:t xml:space="preserve"> </w:t>
      </w:r>
      <w:r w:rsidRPr="00E04BE0">
        <w:rPr>
          <w:rFonts w:ascii="Arial" w:hAnsi="Arial" w:cs="Arial"/>
          <w:szCs w:val="24"/>
        </w:rPr>
        <w:t>години</w:t>
      </w:r>
      <w:r w:rsidR="007B6BE3" w:rsidRPr="00E04BE0">
        <w:rPr>
          <w:rFonts w:ascii="Arial" w:hAnsi="Arial" w:cs="Arial"/>
          <w:szCs w:val="24"/>
        </w:rPr>
        <w:t xml:space="preserve">,  </w:t>
      </w:r>
    </w:p>
    <w:p w14:paraId="19C03C28" w14:textId="77777777" w:rsidR="007B6BE3" w:rsidRPr="0087376B" w:rsidRDefault="005B20F8" w:rsidP="007B6BE3">
      <w:pPr>
        <w:numPr>
          <w:ilvl w:val="0"/>
          <w:numId w:val="6"/>
        </w:numPr>
        <w:spacing w:after="0"/>
        <w:ind w:left="567"/>
        <w:contextualSpacing/>
        <w:jc w:val="both"/>
        <w:rPr>
          <w:rFonts w:ascii="Arial" w:hAnsi="Arial" w:cs="Arial"/>
          <w:szCs w:val="24"/>
        </w:rPr>
      </w:pPr>
      <w:r w:rsidRPr="00E04BE0">
        <w:rPr>
          <w:rFonts w:ascii="Arial" w:hAnsi="Arial" w:cs="Arial"/>
          <w:szCs w:val="24"/>
        </w:rPr>
        <w:t>велики</w:t>
      </w:r>
      <w:r w:rsidR="007B6BE3" w:rsidRPr="00E04BE0">
        <w:rPr>
          <w:rFonts w:ascii="Arial" w:hAnsi="Arial" w:cs="Arial"/>
          <w:szCs w:val="24"/>
        </w:rPr>
        <w:t xml:space="preserve"> </w:t>
      </w:r>
      <w:r w:rsidRPr="00E04BE0">
        <w:rPr>
          <w:rFonts w:ascii="Arial" w:hAnsi="Arial" w:cs="Arial"/>
          <w:szCs w:val="24"/>
        </w:rPr>
        <w:t>шок</w:t>
      </w:r>
      <w:r w:rsidR="007B6BE3" w:rsidRPr="00E04BE0">
        <w:rPr>
          <w:rFonts w:ascii="Arial" w:hAnsi="Arial" w:cs="Arial"/>
          <w:szCs w:val="24"/>
        </w:rPr>
        <w:t xml:space="preserve">: </w:t>
      </w:r>
      <w:r w:rsidRPr="00E04BE0">
        <w:rPr>
          <w:rFonts w:ascii="Arial" w:hAnsi="Arial" w:cs="Arial"/>
          <w:szCs w:val="24"/>
        </w:rPr>
        <w:t>депрецијација</w:t>
      </w:r>
      <w:r w:rsidR="007B6BE3" w:rsidRPr="00E04BE0">
        <w:rPr>
          <w:rFonts w:ascii="Arial" w:hAnsi="Arial" w:cs="Arial"/>
          <w:szCs w:val="24"/>
        </w:rPr>
        <w:t xml:space="preserve"> </w:t>
      </w:r>
      <w:r w:rsidRPr="00E04BE0">
        <w:rPr>
          <w:rFonts w:ascii="Arial" w:hAnsi="Arial" w:cs="Arial"/>
          <w:szCs w:val="24"/>
        </w:rPr>
        <w:t>вриједности</w:t>
      </w:r>
      <w:r w:rsidR="007B6BE3" w:rsidRPr="00E04BE0">
        <w:rPr>
          <w:rFonts w:ascii="Arial" w:hAnsi="Arial" w:cs="Arial"/>
          <w:szCs w:val="24"/>
        </w:rPr>
        <w:t xml:space="preserve"> </w:t>
      </w:r>
      <w:r w:rsidRPr="00E04BE0">
        <w:rPr>
          <w:rFonts w:ascii="Arial" w:hAnsi="Arial" w:cs="Arial"/>
          <w:szCs w:val="24"/>
        </w:rPr>
        <w:t>КМ</w:t>
      </w:r>
      <w:r w:rsidR="007B6BE3" w:rsidRPr="00E04BE0">
        <w:rPr>
          <w:rFonts w:ascii="Arial" w:hAnsi="Arial" w:cs="Arial"/>
          <w:szCs w:val="24"/>
        </w:rPr>
        <w:t xml:space="preserve"> </w:t>
      </w:r>
      <w:r w:rsidRPr="00E04BE0">
        <w:rPr>
          <w:rFonts w:ascii="Arial" w:hAnsi="Arial" w:cs="Arial"/>
          <w:szCs w:val="24"/>
        </w:rPr>
        <w:t>за</w:t>
      </w:r>
      <w:r w:rsidR="007B6BE3" w:rsidRPr="00E04BE0">
        <w:rPr>
          <w:rFonts w:ascii="Arial" w:hAnsi="Arial" w:cs="Arial"/>
          <w:szCs w:val="24"/>
        </w:rPr>
        <w:t xml:space="preserve"> 30% </w:t>
      </w:r>
      <w:r w:rsidRPr="00E04BE0">
        <w:rPr>
          <w:rFonts w:ascii="Arial" w:hAnsi="Arial" w:cs="Arial"/>
          <w:szCs w:val="24"/>
        </w:rPr>
        <w:t>у</w:t>
      </w:r>
      <w:r w:rsidR="007B6BE3" w:rsidRPr="00E04BE0">
        <w:rPr>
          <w:rFonts w:ascii="Arial" w:hAnsi="Arial" w:cs="Arial"/>
          <w:szCs w:val="24"/>
        </w:rPr>
        <w:t xml:space="preserve"> </w:t>
      </w:r>
      <w:r w:rsidRPr="00E04BE0">
        <w:rPr>
          <w:rFonts w:ascii="Arial" w:hAnsi="Arial" w:cs="Arial"/>
          <w:szCs w:val="24"/>
        </w:rPr>
        <w:t>односу</w:t>
      </w:r>
      <w:r w:rsidR="007B6BE3" w:rsidRPr="00E04BE0">
        <w:rPr>
          <w:rFonts w:ascii="Arial" w:hAnsi="Arial" w:cs="Arial"/>
          <w:szCs w:val="24"/>
        </w:rPr>
        <w:t xml:space="preserve"> </w:t>
      </w:r>
      <w:r w:rsidRPr="00E04BE0">
        <w:rPr>
          <w:rFonts w:ascii="Arial" w:hAnsi="Arial" w:cs="Arial"/>
          <w:szCs w:val="24"/>
        </w:rPr>
        <w:t>на</w:t>
      </w:r>
      <w:r w:rsidR="007B6BE3" w:rsidRPr="00E04BE0">
        <w:rPr>
          <w:rFonts w:ascii="Arial" w:hAnsi="Arial" w:cs="Arial"/>
          <w:szCs w:val="24"/>
        </w:rPr>
        <w:t xml:space="preserve"> </w:t>
      </w:r>
      <w:r w:rsidR="00E04BE0" w:rsidRPr="00E04BE0">
        <w:rPr>
          <w:rFonts w:ascii="Arial" w:hAnsi="Arial" w:cs="Arial"/>
          <w:szCs w:val="24"/>
        </w:rPr>
        <w:t>USD</w:t>
      </w:r>
      <w:r w:rsidR="007B6BE3" w:rsidRPr="00E04BE0">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другој</w:t>
      </w:r>
      <w:r w:rsidR="007B6BE3" w:rsidRPr="0087376B">
        <w:rPr>
          <w:rFonts w:ascii="Arial" w:hAnsi="Arial" w:cs="Arial"/>
          <w:szCs w:val="24"/>
        </w:rPr>
        <w:t xml:space="preserve"> </w:t>
      </w:r>
      <w:r>
        <w:rPr>
          <w:rFonts w:ascii="Arial" w:hAnsi="Arial" w:cs="Arial"/>
          <w:szCs w:val="24"/>
        </w:rPr>
        <w:t>години</w:t>
      </w:r>
      <w:r w:rsidR="007B6BE3" w:rsidRPr="0087376B">
        <w:rPr>
          <w:rFonts w:ascii="Arial" w:hAnsi="Arial" w:cs="Arial"/>
          <w:szCs w:val="24"/>
        </w:rPr>
        <w:t xml:space="preserve">. </w:t>
      </w:r>
    </w:p>
    <w:p w14:paraId="7ED08E0A" w14:textId="77777777" w:rsidR="007B6BE3" w:rsidRPr="0087376B" w:rsidRDefault="007B6BE3" w:rsidP="007B6BE3">
      <w:pPr>
        <w:spacing w:after="0"/>
        <w:jc w:val="both"/>
        <w:rPr>
          <w:rFonts w:ascii="Arial" w:hAnsi="Arial" w:cs="Arial"/>
          <w:szCs w:val="24"/>
        </w:rPr>
      </w:pPr>
    </w:p>
    <w:p w14:paraId="21E608BA" w14:textId="27256928" w:rsidR="007B6BE3" w:rsidRDefault="005B20F8" w:rsidP="007B6BE3">
      <w:pPr>
        <w:spacing w:after="0"/>
        <w:jc w:val="both"/>
        <w:rPr>
          <w:rFonts w:ascii="Arial" w:hAnsi="Arial" w:cs="Arial"/>
          <w:szCs w:val="24"/>
        </w:rPr>
      </w:pPr>
      <w:r>
        <w:rPr>
          <w:rFonts w:ascii="Arial" w:hAnsi="Arial" w:cs="Arial"/>
          <w:szCs w:val="24"/>
        </w:rPr>
        <w:t>Шок</w:t>
      </w:r>
      <w:r w:rsidR="007B6BE3" w:rsidRPr="0087376B">
        <w:rPr>
          <w:rFonts w:ascii="Arial" w:hAnsi="Arial" w:cs="Arial"/>
          <w:szCs w:val="24"/>
        </w:rPr>
        <w:t xml:space="preserve"> </w:t>
      </w:r>
      <w:r>
        <w:rPr>
          <w:rFonts w:ascii="Arial" w:hAnsi="Arial" w:cs="Arial"/>
          <w:szCs w:val="24"/>
        </w:rPr>
        <w:t>каматних</w:t>
      </w:r>
      <w:r w:rsidR="007B6BE3" w:rsidRPr="0087376B">
        <w:rPr>
          <w:rFonts w:ascii="Arial" w:hAnsi="Arial" w:cs="Arial"/>
          <w:szCs w:val="24"/>
        </w:rPr>
        <w:t xml:space="preserve"> </w:t>
      </w:r>
      <w:r>
        <w:rPr>
          <w:rFonts w:ascii="Arial" w:hAnsi="Arial" w:cs="Arial"/>
          <w:szCs w:val="24"/>
        </w:rPr>
        <w:t>стопа</w:t>
      </w:r>
      <w:r w:rsidR="007B6BE3" w:rsidRPr="0087376B">
        <w:rPr>
          <w:rFonts w:ascii="Arial" w:hAnsi="Arial" w:cs="Arial"/>
          <w:szCs w:val="24"/>
        </w:rPr>
        <w:t xml:space="preserve"> </w:t>
      </w:r>
      <w:r>
        <w:rPr>
          <w:rFonts w:ascii="Arial" w:hAnsi="Arial" w:cs="Arial"/>
          <w:szCs w:val="24"/>
        </w:rPr>
        <w:t>подразумијева</w:t>
      </w:r>
      <w:r w:rsidR="007B6BE3">
        <w:rPr>
          <w:rFonts w:ascii="Arial" w:hAnsi="Arial" w:cs="Arial"/>
          <w:szCs w:val="24"/>
        </w:rPr>
        <w:t xml:space="preserve"> </w:t>
      </w:r>
      <w:r>
        <w:rPr>
          <w:rFonts w:ascii="Arial" w:hAnsi="Arial" w:cs="Arial"/>
          <w:szCs w:val="24"/>
        </w:rPr>
        <w:t>сљедеће</w:t>
      </w:r>
      <w:r w:rsidR="007B6BE3" w:rsidRPr="0087376B">
        <w:rPr>
          <w:rFonts w:ascii="Arial" w:hAnsi="Arial" w:cs="Arial"/>
          <w:szCs w:val="24"/>
        </w:rPr>
        <w:t xml:space="preserve">: </w:t>
      </w:r>
    </w:p>
    <w:p w14:paraId="613FE41E" w14:textId="77777777" w:rsidR="00762711" w:rsidRPr="0087376B" w:rsidRDefault="00762711" w:rsidP="007B6BE3">
      <w:pPr>
        <w:spacing w:after="0"/>
        <w:jc w:val="both"/>
        <w:rPr>
          <w:rFonts w:ascii="Arial" w:hAnsi="Arial" w:cs="Arial"/>
          <w:szCs w:val="24"/>
        </w:rPr>
      </w:pPr>
    </w:p>
    <w:p w14:paraId="10E97B0D" w14:textId="77777777" w:rsidR="007B6BE3" w:rsidRPr="0087376B" w:rsidRDefault="005B20F8" w:rsidP="007B6BE3">
      <w:pPr>
        <w:numPr>
          <w:ilvl w:val="0"/>
          <w:numId w:val="7"/>
        </w:numPr>
        <w:spacing w:after="0"/>
        <w:contextualSpacing/>
        <w:jc w:val="both"/>
        <w:rPr>
          <w:rFonts w:ascii="Arial" w:hAnsi="Arial" w:cs="Arial"/>
          <w:szCs w:val="24"/>
        </w:rPr>
      </w:pPr>
      <w:r>
        <w:rPr>
          <w:rFonts w:ascii="Arial" w:hAnsi="Arial" w:cs="Arial"/>
          <w:szCs w:val="24"/>
        </w:rPr>
        <w:t>мањи</w:t>
      </w:r>
      <w:r w:rsidR="007B6BE3" w:rsidRPr="0087376B">
        <w:rPr>
          <w:rFonts w:ascii="Arial" w:hAnsi="Arial" w:cs="Arial"/>
          <w:szCs w:val="24"/>
        </w:rPr>
        <w:t xml:space="preserve"> </w:t>
      </w:r>
      <w:r>
        <w:rPr>
          <w:rFonts w:ascii="Arial" w:hAnsi="Arial" w:cs="Arial"/>
          <w:szCs w:val="24"/>
        </w:rPr>
        <w:t>шок</w:t>
      </w:r>
      <w:r w:rsidR="007B6BE3" w:rsidRPr="0087376B">
        <w:rPr>
          <w:rFonts w:ascii="Arial" w:hAnsi="Arial" w:cs="Arial"/>
          <w:szCs w:val="24"/>
        </w:rPr>
        <w:t xml:space="preserve">: </w:t>
      </w:r>
      <w:r>
        <w:rPr>
          <w:rFonts w:ascii="Arial" w:hAnsi="Arial" w:cs="Arial"/>
          <w:szCs w:val="24"/>
        </w:rPr>
        <w:t>повећање</w:t>
      </w:r>
      <w:r w:rsidR="007B6BE3" w:rsidRPr="0087376B">
        <w:rPr>
          <w:rFonts w:ascii="Arial" w:hAnsi="Arial" w:cs="Arial"/>
          <w:szCs w:val="24"/>
        </w:rPr>
        <w:t xml:space="preserve"> </w:t>
      </w:r>
      <w:r>
        <w:rPr>
          <w:rFonts w:ascii="Arial" w:hAnsi="Arial" w:cs="Arial"/>
          <w:szCs w:val="24"/>
        </w:rPr>
        <w:t>каматних</w:t>
      </w:r>
      <w:r w:rsidR="007B6BE3" w:rsidRPr="0087376B">
        <w:rPr>
          <w:rFonts w:ascii="Arial" w:hAnsi="Arial" w:cs="Arial"/>
          <w:szCs w:val="24"/>
        </w:rPr>
        <w:t xml:space="preserve"> </w:t>
      </w:r>
      <w:r>
        <w:rPr>
          <w:rFonts w:ascii="Arial" w:hAnsi="Arial" w:cs="Arial"/>
          <w:szCs w:val="24"/>
        </w:rPr>
        <w:t>стопа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другој</w:t>
      </w:r>
      <w:r w:rsidR="007B6BE3" w:rsidRPr="0087376B">
        <w:rPr>
          <w:rFonts w:ascii="Arial" w:hAnsi="Arial" w:cs="Arial"/>
          <w:szCs w:val="24"/>
        </w:rPr>
        <w:t xml:space="preserve"> </w:t>
      </w:r>
      <w:r>
        <w:rPr>
          <w:rFonts w:ascii="Arial" w:hAnsi="Arial" w:cs="Arial"/>
          <w:szCs w:val="24"/>
        </w:rPr>
        <w:t>години</w:t>
      </w:r>
      <w:r w:rsidR="007B6BE3" w:rsidRPr="0087376B">
        <w:rPr>
          <w:rFonts w:ascii="Arial" w:hAnsi="Arial" w:cs="Arial"/>
          <w:szCs w:val="24"/>
        </w:rPr>
        <w:t xml:space="preserve"> </w:t>
      </w:r>
      <w:r>
        <w:rPr>
          <w:rFonts w:ascii="Arial" w:hAnsi="Arial" w:cs="Arial"/>
          <w:szCs w:val="24"/>
        </w:rPr>
        <w:t>за</w:t>
      </w:r>
      <w:r w:rsidR="007B6BE3" w:rsidRPr="0087376B">
        <w:rPr>
          <w:rFonts w:ascii="Arial" w:hAnsi="Arial" w:cs="Arial"/>
          <w:szCs w:val="24"/>
        </w:rPr>
        <w:t xml:space="preserve"> 2%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све</w:t>
      </w:r>
      <w:r w:rsidR="007B6BE3" w:rsidRPr="0087376B">
        <w:rPr>
          <w:rFonts w:ascii="Arial" w:hAnsi="Arial" w:cs="Arial"/>
          <w:szCs w:val="24"/>
        </w:rPr>
        <w:t xml:space="preserve"> </w:t>
      </w:r>
      <w:r>
        <w:rPr>
          <w:rFonts w:ascii="Arial" w:hAnsi="Arial" w:cs="Arial"/>
          <w:szCs w:val="24"/>
        </w:rPr>
        <w:t>домаће</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спољње</w:t>
      </w:r>
      <w:r w:rsidR="007B6BE3" w:rsidRPr="0087376B">
        <w:rPr>
          <w:rFonts w:ascii="Arial" w:hAnsi="Arial" w:cs="Arial"/>
          <w:szCs w:val="24"/>
        </w:rPr>
        <w:t xml:space="preserve"> </w:t>
      </w:r>
      <w:r>
        <w:rPr>
          <w:rFonts w:ascii="Arial" w:hAnsi="Arial" w:cs="Arial"/>
          <w:szCs w:val="24"/>
        </w:rPr>
        <w:t>инструменте</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краткорочне</w:t>
      </w:r>
      <w:r w:rsidR="007B6BE3" w:rsidRPr="0087376B">
        <w:rPr>
          <w:rFonts w:ascii="Arial" w:hAnsi="Arial" w:cs="Arial"/>
          <w:szCs w:val="24"/>
        </w:rPr>
        <w:t xml:space="preserve"> </w:t>
      </w:r>
      <w:r>
        <w:rPr>
          <w:rFonts w:ascii="Arial" w:hAnsi="Arial" w:cs="Arial"/>
          <w:szCs w:val="24"/>
        </w:rPr>
        <w:t>домаће</w:t>
      </w:r>
      <w:r w:rsidR="007B6BE3" w:rsidRPr="0087376B">
        <w:rPr>
          <w:rFonts w:ascii="Arial" w:hAnsi="Arial" w:cs="Arial"/>
          <w:szCs w:val="24"/>
        </w:rPr>
        <w:t xml:space="preserve"> </w:t>
      </w:r>
      <w:r>
        <w:rPr>
          <w:rFonts w:ascii="Arial" w:hAnsi="Arial" w:cs="Arial"/>
          <w:szCs w:val="24"/>
        </w:rPr>
        <w:t>инструменте</w:t>
      </w:r>
      <w:r w:rsidR="007B6BE3" w:rsidRPr="0087376B">
        <w:rPr>
          <w:rFonts w:ascii="Arial" w:hAnsi="Arial" w:cs="Arial"/>
          <w:szCs w:val="24"/>
        </w:rPr>
        <w:t xml:space="preserve"> </w:t>
      </w:r>
      <w:r>
        <w:rPr>
          <w:rFonts w:ascii="Arial" w:hAnsi="Arial" w:cs="Arial"/>
          <w:szCs w:val="24"/>
        </w:rPr>
        <w:t>повећање</w:t>
      </w:r>
      <w:r w:rsidR="007B6BE3" w:rsidRPr="0087376B">
        <w:rPr>
          <w:rFonts w:ascii="Arial" w:hAnsi="Arial" w:cs="Arial"/>
          <w:szCs w:val="24"/>
        </w:rPr>
        <w:t xml:space="preserve"> </w:t>
      </w:r>
      <w:r>
        <w:rPr>
          <w:rFonts w:ascii="Arial" w:hAnsi="Arial" w:cs="Arial"/>
          <w:szCs w:val="24"/>
        </w:rPr>
        <w:t>за</w:t>
      </w:r>
      <w:r w:rsidR="007B6BE3" w:rsidRPr="0087376B">
        <w:rPr>
          <w:rFonts w:ascii="Arial" w:hAnsi="Arial" w:cs="Arial"/>
          <w:szCs w:val="24"/>
        </w:rPr>
        <w:t xml:space="preserve"> 1%. </w:t>
      </w:r>
      <w:r>
        <w:rPr>
          <w:rFonts w:ascii="Arial" w:hAnsi="Arial" w:cs="Arial"/>
          <w:szCs w:val="24"/>
        </w:rPr>
        <w:t>Инструменти</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које</w:t>
      </w:r>
      <w:r w:rsidR="007B6BE3" w:rsidRPr="0087376B">
        <w:rPr>
          <w:rFonts w:ascii="Arial" w:hAnsi="Arial" w:cs="Arial"/>
          <w:szCs w:val="24"/>
        </w:rPr>
        <w:t xml:space="preserve"> </w:t>
      </w:r>
      <w:r>
        <w:rPr>
          <w:rFonts w:ascii="Arial" w:hAnsi="Arial" w:cs="Arial"/>
          <w:szCs w:val="24"/>
        </w:rPr>
        <w:t>су</w:t>
      </w:r>
      <w:r w:rsidR="007B6BE3" w:rsidRPr="0087376B">
        <w:rPr>
          <w:rFonts w:ascii="Arial" w:hAnsi="Arial" w:cs="Arial"/>
          <w:szCs w:val="24"/>
        </w:rPr>
        <w:t xml:space="preserve"> </w:t>
      </w:r>
      <w:r>
        <w:rPr>
          <w:rFonts w:ascii="Arial" w:hAnsi="Arial" w:cs="Arial"/>
          <w:szCs w:val="24"/>
        </w:rPr>
        <w:t>укључени</w:t>
      </w:r>
      <w:r w:rsidR="007B6BE3" w:rsidRPr="0087376B">
        <w:rPr>
          <w:rFonts w:ascii="Arial" w:hAnsi="Arial" w:cs="Arial"/>
          <w:szCs w:val="24"/>
        </w:rPr>
        <w:t xml:space="preserve"> </w:t>
      </w:r>
      <w:r>
        <w:rPr>
          <w:rFonts w:ascii="Arial" w:hAnsi="Arial" w:cs="Arial"/>
          <w:szCs w:val="24"/>
        </w:rPr>
        <w:t>стара</w:t>
      </w:r>
      <w:r w:rsidR="007B6BE3" w:rsidRPr="0087376B">
        <w:rPr>
          <w:rFonts w:ascii="Arial" w:hAnsi="Arial" w:cs="Arial"/>
          <w:szCs w:val="24"/>
        </w:rPr>
        <w:t xml:space="preserve"> </w:t>
      </w:r>
      <w:r>
        <w:rPr>
          <w:rFonts w:ascii="Arial" w:hAnsi="Arial" w:cs="Arial"/>
          <w:szCs w:val="24"/>
        </w:rPr>
        <w:t>девизна</w:t>
      </w:r>
      <w:r w:rsidR="007B6BE3" w:rsidRPr="0087376B">
        <w:rPr>
          <w:rFonts w:ascii="Arial" w:hAnsi="Arial" w:cs="Arial"/>
          <w:szCs w:val="24"/>
        </w:rPr>
        <w:t xml:space="preserve"> </w:t>
      </w:r>
      <w:r>
        <w:rPr>
          <w:rFonts w:ascii="Arial" w:hAnsi="Arial" w:cs="Arial"/>
          <w:szCs w:val="24"/>
        </w:rPr>
        <w:t>штедња</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ратна</w:t>
      </w:r>
      <w:r w:rsidR="007B6BE3" w:rsidRPr="0087376B">
        <w:rPr>
          <w:rFonts w:ascii="Arial" w:hAnsi="Arial" w:cs="Arial"/>
          <w:szCs w:val="24"/>
        </w:rPr>
        <w:t xml:space="preserve"> </w:t>
      </w:r>
      <w:r>
        <w:rPr>
          <w:rFonts w:ascii="Arial" w:hAnsi="Arial" w:cs="Arial"/>
          <w:szCs w:val="24"/>
        </w:rPr>
        <w:t>потраживања</w:t>
      </w:r>
      <w:r w:rsidR="007B6BE3" w:rsidRPr="0087376B">
        <w:rPr>
          <w:rFonts w:ascii="Arial" w:hAnsi="Arial" w:cs="Arial"/>
          <w:szCs w:val="24"/>
        </w:rPr>
        <w:t xml:space="preserve"> </w:t>
      </w:r>
      <w:r>
        <w:rPr>
          <w:rFonts w:ascii="Arial" w:hAnsi="Arial" w:cs="Arial"/>
          <w:szCs w:val="24"/>
        </w:rPr>
        <w:t>остају</w:t>
      </w:r>
      <w:r w:rsidR="007B6BE3" w:rsidRPr="0087376B">
        <w:rPr>
          <w:rFonts w:ascii="Arial" w:hAnsi="Arial" w:cs="Arial"/>
          <w:szCs w:val="24"/>
        </w:rPr>
        <w:t xml:space="preserve"> </w:t>
      </w:r>
      <w:r>
        <w:rPr>
          <w:rFonts w:ascii="Arial" w:hAnsi="Arial" w:cs="Arial"/>
          <w:szCs w:val="24"/>
        </w:rPr>
        <w:t>непромијењени</w:t>
      </w:r>
      <w:r w:rsidR="007B6BE3" w:rsidRPr="0087376B">
        <w:rPr>
          <w:rFonts w:ascii="Arial" w:hAnsi="Arial" w:cs="Arial"/>
          <w:szCs w:val="24"/>
        </w:rPr>
        <w:t>;</w:t>
      </w:r>
    </w:p>
    <w:p w14:paraId="68224D07" w14:textId="77777777" w:rsidR="007B6BE3" w:rsidRDefault="005B20F8" w:rsidP="007B6BE3">
      <w:pPr>
        <w:numPr>
          <w:ilvl w:val="0"/>
          <w:numId w:val="7"/>
        </w:numPr>
        <w:contextualSpacing/>
        <w:jc w:val="both"/>
        <w:rPr>
          <w:rFonts w:ascii="Arial" w:hAnsi="Arial" w:cs="Arial"/>
          <w:sz w:val="24"/>
          <w:szCs w:val="24"/>
        </w:rPr>
      </w:pPr>
      <w:r>
        <w:rPr>
          <w:rFonts w:ascii="Arial" w:hAnsi="Arial" w:cs="Arial"/>
          <w:szCs w:val="24"/>
        </w:rPr>
        <w:t>већи</w:t>
      </w:r>
      <w:r w:rsidR="007B6BE3" w:rsidRPr="0087376B">
        <w:rPr>
          <w:rFonts w:ascii="Arial" w:hAnsi="Arial" w:cs="Arial"/>
          <w:szCs w:val="24"/>
        </w:rPr>
        <w:t xml:space="preserve"> </w:t>
      </w:r>
      <w:r>
        <w:rPr>
          <w:rFonts w:ascii="Arial" w:hAnsi="Arial" w:cs="Arial"/>
          <w:szCs w:val="24"/>
        </w:rPr>
        <w:t>шок</w:t>
      </w:r>
      <w:r w:rsidR="007B6BE3" w:rsidRPr="0087376B">
        <w:rPr>
          <w:rFonts w:ascii="Arial" w:hAnsi="Arial" w:cs="Arial"/>
          <w:szCs w:val="24"/>
        </w:rPr>
        <w:t xml:space="preserve">: </w:t>
      </w:r>
      <w:r>
        <w:rPr>
          <w:rFonts w:ascii="Arial" w:hAnsi="Arial" w:cs="Arial"/>
          <w:szCs w:val="24"/>
        </w:rPr>
        <w:t>повећање</w:t>
      </w:r>
      <w:r w:rsidR="007B6BE3" w:rsidRPr="0087376B">
        <w:rPr>
          <w:rFonts w:ascii="Arial" w:hAnsi="Arial" w:cs="Arial"/>
          <w:szCs w:val="24"/>
        </w:rPr>
        <w:t xml:space="preserve"> </w:t>
      </w:r>
      <w:r>
        <w:rPr>
          <w:rFonts w:ascii="Arial" w:hAnsi="Arial" w:cs="Arial"/>
          <w:szCs w:val="24"/>
        </w:rPr>
        <w:t>процијењених</w:t>
      </w:r>
      <w:r w:rsidR="007B6BE3" w:rsidRPr="0087376B">
        <w:rPr>
          <w:rFonts w:ascii="Arial" w:hAnsi="Arial" w:cs="Arial"/>
          <w:szCs w:val="24"/>
        </w:rPr>
        <w:t xml:space="preserve"> </w:t>
      </w:r>
      <w:r>
        <w:rPr>
          <w:rFonts w:ascii="Arial" w:hAnsi="Arial" w:cs="Arial"/>
          <w:szCs w:val="24"/>
        </w:rPr>
        <w:t>каматних</w:t>
      </w:r>
      <w:r w:rsidR="007B6BE3" w:rsidRPr="0087376B">
        <w:rPr>
          <w:rFonts w:ascii="Arial" w:hAnsi="Arial" w:cs="Arial"/>
          <w:szCs w:val="24"/>
        </w:rPr>
        <w:t xml:space="preserve"> </w:t>
      </w:r>
      <w:r>
        <w:rPr>
          <w:rFonts w:ascii="Arial" w:hAnsi="Arial" w:cs="Arial"/>
          <w:szCs w:val="24"/>
        </w:rPr>
        <w:t>стопа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висини</w:t>
      </w:r>
      <w:r w:rsidR="007B6BE3" w:rsidRPr="0087376B">
        <w:rPr>
          <w:rFonts w:ascii="Arial" w:hAnsi="Arial" w:cs="Arial"/>
          <w:szCs w:val="24"/>
        </w:rPr>
        <w:t xml:space="preserve"> </w:t>
      </w:r>
      <w:r>
        <w:rPr>
          <w:rFonts w:ascii="Arial" w:hAnsi="Arial" w:cs="Arial"/>
          <w:szCs w:val="24"/>
        </w:rPr>
        <w:t>од</w:t>
      </w:r>
      <w:r w:rsidR="007B6BE3" w:rsidRPr="0087376B">
        <w:rPr>
          <w:rFonts w:ascii="Arial" w:hAnsi="Arial" w:cs="Arial"/>
          <w:szCs w:val="24"/>
        </w:rPr>
        <w:t xml:space="preserve"> 4%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дугорочне</w:t>
      </w:r>
      <w:r w:rsidR="007B6BE3" w:rsidRPr="0087376B">
        <w:rPr>
          <w:rFonts w:ascii="Arial" w:hAnsi="Arial" w:cs="Arial"/>
          <w:szCs w:val="24"/>
        </w:rPr>
        <w:t xml:space="preserve"> </w:t>
      </w:r>
      <w:r>
        <w:rPr>
          <w:rFonts w:ascii="Arial" w:hAnsi="Arial" w:cs="Arial"/>
          <w:szCs w:val="24"/>
        </w:rPr>
        <w:t>спољње</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домаће</w:t>
      </w:r>
      <w:r w:rsidR="007B6BE3" w:rsidRPr="0087376B">
        <w:rPr>
          <w:rFonts w:ascii="Arial" w:hAnsi="Arial" w:cs="Arial"/>
          <w:szCs w:val="24"/>
        </w:rPr>
        <w:t xml:space="preserve"> </w:t>
      </w:r>
      <w:r>
        <w:rPr>
          <w:rFonts w:ascii="Arial" w:hAnsi="Arial" w:cs="Arial"/>
          <w:szCs w:val="24"/>
        </w:rPr>
        <w:t>инструменте</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2%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краткорочне</w:t>
      </w:r>
      <w:r w:rsidR="007B6BE3" w:rsidRPr="0087376B">
        <w:rPr>
          <w:rFonts w:ascii="Arial" w:hAnsi="Arial" w:cs="Arial"/>
          <w:szCs w:val="24"/>
        </w:rPr>
        <w:t xml:space="preserve"> </w:t>
      </w:r>
      <w:r>
        <w:rPr>
          <w:rFonts w:ascii="Arial" w:hAnsi="Arial" w:cs="Arial"/>
          <w:szCs w:val="24"/>
        </w:rPr>
        <w:t>домаће</w:t>
      </w:r>
      <w:r w:rsidR="007B6BE3" w:rsidRPr="0087376B">
        <w:rPr>
          <w:rFonts w:ascii="Arial" w:hAnsi="Arial" w:cs="Arial"/>
          <w:szCs w:val="24"/>
        </w:rPr>
        <w:t xml:space="preserve"> </w:t>
      </w:r>
      <w:r>
        <w:rPr>
          <w:rFonts w:ascii="Arial" w:hAnsi="Arial" w:cs="Arial"/>
          <w:szCs w:val="24"/>
        </w:rPr>
        <w:t>инструменте</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другој</w:t>
      </w:r>
      <w:r w:rsidR="007B6BE3" w:rsidRPr="0087376B">
        <w:rPr>
          <w:rFonts w:ascii="Arial" w:hAnsi="Arial" w:cs="Arial"/>
          <w:szCs w:val="24"/>
        </w:rPr>
        <w:t xml:space="preserve"> </w:t>
      </w:r>
      <w:r>
        <w:rPr>
          <w:rFonts w:ascii="Arial" w:hAnsi="Arial" w:cs="Arial"/>
          <w:szCs w:val="24"/>
        </w:rPr>
        <w:t>години</w:t>
      </w:r>
      <w:r w:rsidR="007B6BE3" w:rsidRPr="0087376B">
        <w:rPr>
          <w:rFonts w:ascii="Arial" w:hAnsi="Arial" w:cs="Arial"/>
          <w:szCs w:val="24"/>
        </w:rPr>
        <w:t xml:space="preserve">. </w:t>
      </w:r>
      <w:r>
        <w:rPr>
          <w:rFonts w:ascii="Arial" w:hAnsi="Arial" w:cs="Arial"/>
          <w:szCs w:val="24"/>
        </w:rPr>
        <w:t>Инструменти</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које</w:t>
      </w:r>
      <w:r w:rsidR="007B6BE3" w:rsidRPr="0087376B">
        <w:rPr>
          <w:rFonts w:ascii="Arial" w:hAnsi="Arial" w:cs="Arial"/>
          <w:szCs w:val="24"/>
        </w:rPr>
        <w:t xml:space="preserve"> </w:t>
      </w:r>
      <w:r>
        <w:rPr>
          <w:rFonts w:ascii="Arial" w:hAnsi="Arial" w:cs="Arial"/>
          <w:szCs w:val="24"/>
        </w:rPr>
        <w:t>су</w:t>
      </w:r>
      <w:r w:rsidR="007B6BE3" w:rsidRPr="0087376B">
        <w:rPr>
          <w:rFonts w:ascii="Arial" w:hAnsi="Arial" w:cs="Arial"/>
          <w:szCs w:val="24"/>
        </w:rPr>
        <w:t xml:space="preserve"> </w:t>
      </w:r>
      <w:r>
        <w:rPr>
          <w:rFonts w:ascii="Arial" w:hAnsi="Arial" w:cs="Arial"/>
          <w:szCs w:val="24"/>
        </w:rPr>
        <w:t>укључени</w:t>
      </w:r>
      <w:r w:rsidR="007B6BE3" w:rsidRPr="0087376B">
        <w:rPr>
          <w:rFonts w:ascii="Arial" w:hAnsi="Arial" w:cs="Arial"/>
          <w:szCs w:val="24"/>
        </w:rPr>
        <w:t xml:space="preserve"> </w:t>
      </w:r>
      <w:r>
        <w:rPr>
          <w:rFonts w:ascii="Arial" w:hAnsi="Arial" w:cs="Arial"/>
          <w:szCs w:val="24"/>
        </w:rPr>
        <w:t>стара</w:t>
      </w:r>
      <w:r w:rsidR="007B6BE3" w:rsidRPr="0087376B">
        <w:rPr>
          <w:rFonts w:ascii="Arial" w:hAnsi="Arial" w:cs="Arial"/>
          <w:szCs w:val="24"/>
        </w:rPr>
        <w:t xml:space="preserve"> </w:t>
      </w:r>
      <w:r>
        <w:rPr>
          <w:rFonts w:ascii="Arial" w:hAnsi="Arial" w:cs="Arial"/>
          <w:szCs w:val="24"/>
        </w:rPr>
        <w:t>девизна</w:t>
      </w:r>
      <w:r w:rsidR="007B6BE3" w:rsidRPr="0087376B">
        <w:rPr>
          <w:rFonts w:ascii="Arial" w:hAnsi="Arial" w:cs="Arial"/>
          <w:szCs w:val="24"/>
        </w:rPr>
        <w:t xml:space="preserve"> </w:t>
      </w:r>
      <w:r>
        <w:rPr>
          <w:rFonts w:ascii="Arial" w:hAnsi="Arial" w:cs="Arial"/>
          <w:szCs w:val="24"/>
        </w:rPr>
        <w:t>штедња</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ратна</w:t>
      </w:r>
      <w:r w:rsidR="007B6BE3" w:rsidRPr="0087376B">
        <w:rPr>
          <w:rFonts w:ascii="Arial" w:hAnsi="Arial" w:cs="Arial"/>
          <w:szCs w:val="24"/>
        </w:rPr>
        <w:t xml:space="preserve"> </w:t>
      </w:r>
      <w:r>
        <w:rPr>
          <w:rFonts w:ascii="Arial" w:hAnsi="Arial" w:cs="Arial"/>
          <w:szCs w:val="24"/>
        </w:rPr>
        <w:t>потраживања</w:t>
      </w:r>
      <w:r w:rsidR="007B6BE3" w:rsidRPr="0087376B">
        <w:rPr>
          <w:rFonts w:ascii="Arial" w:hAnsi="Arial" w:cs="Arial"/>
          <w:szCs w:val="24"/>
        </w:rPr>
        <w:t xml:space="preserve"> </w:t>
      </w:r>
      <w:r>
        <w:rPr>
          <w:rFonts w:ascii="Arial" w:hAnsi="Arial" w:cs="Arial"/>
          <w:szCs w:val="24"/>
        </w:rPr>
        <w:t>остају</w:t>
      </w:r>
      <w:r w:rsidR="007B6BE3" w:rsidRPr="0087376B">
        <w:rPr>
          <w:rFonts w:ascii="Arial" w:hAnsi="Arial" w:cs="Arial"/>
          <w:szCs w:val="24"/>
        </w:rPr>
        <w:t xml:space="preserve"> </w:t>
      </w:r>
      <w:r>
        <w:rPr>
          <w:rFonts w:ascii="Arial" w:hAnsi="Arial" w:cs="Arial"/>
          <w:szCs w:val="24"/>
        </w:rPr>
        <w:t>непромијењени</w:t>
      </w:r>
      <w:r w:rsidR="007B6BE3" w:rsidRPr="0087376B">
        <w:rPr>
          <w:rFonts w:ascii="Arial" w:hAnsi="Arial" w:cs="Arial"/>
          <w:szCs w:val="24"/>
        </w:rPr>
        <w:t>;</w:t>
      </w:r>
    </w:p>
    <w:p w14:paraId="06F2054D" w14:textId="77777777" w:rsidR="00E04BE0" w:rsidRPr="00E04BE0" w:rsidRDefault="00E04BE0" w:rsidP="00E04BE0">
      <w:pPr>
        <w:ind w:left="720"/>
        <w:contextualSpacing/>
        <w:jc w:val="both"/>
        <w:rPr>
          <w:rFonts w:ascii="Arial" w:hAnsi="Arial" w:cs="Arial"/>
          <w:sz w:val="24"/>
          <w:szCs w:val="24"/>
        </w:rPr>
      </w:pPr>
    </w:p>
    <w:p w14:paraId="0DC202D7" w14:textId="77777777" w:rsidR="007B6BE3" w:rsidRPr="0087376B" w:rsidRDefault="005B20F8" w:rsidP="007B6BE3">
      <w:pPr>
        <w:jc w:val="both"/>
        <w:rPr>
          <w:rFonts w:ascii="Arial" w:hAnsi="Arial" w:cs="Arial"/>
          <w:szCs w:val="24"/>
        </w:rPr>
      </w:pPr>
      <w:r>
        <w:rPr>
          <w:rFonts w:ascii="Arial" w:hAnsi="Arial" w:cs="Arial"/>
          <w:szCs w:val="24"/>
        </w:rPr>
        <w:t>Сценарији</w:t>
      </w:r>
      <w:r w:rsidR="007B6BE3" w:rsidRPr="0087376B">
        <w:rPr>
          <w:rFonts w:ascii="Arial" w:hAnsi="Arial" w:cs="Arial"/>
          <w:szCs w:val="24"/>
        </w:rPr>
        <w:t xml:space="preserve"> </w:t>
      </w:r>
      <w:r>
        <w:rPr>
          <w:rFonts w:ascii="Arial" w:hAnsi="Arial" w:cs="Arial"/>
          <w:szCs w:val="24"/>
        </w:rPr>
        <w:t>шока</w:t>
      </w:r>
      <w:r w:rsidR="007B6BE3" w:rsidRPr="0087376B">
        <w:rPr>
          <w:rFonts w:ascii="Arial" w:hAnsi="Arial" w:cs="Arial"/>
          <w:szCs w:val="24"/>
        </w:rPr>
        <w:t>:</w:t>
      </w:r>
    </w:p>
    <w:p w14:paraId="66F3977E" w14:textId="77777777" w:rsidR="007B6BE3" w:rsidRPr="0087376B" w:rsidRDefault="005B20F8" w:rsidP="007B6BE3">
      <w:pPr>
        <w:numPr>
          <w:ilvl w:val="0"/>
          <w:numId w:val="7"/>
        </w:numPr>
        <w:spacing w:after="0"/>
        <w:contextualSpacing/>
        <w:jc w:val="both"/>
        <w:rPr>
          <w:rFonts w:ascii="Arial" w:hAnsi="Arial" w:cs="Arial"/>
          <w:szCs w:val="24"/>
        </w:rPr>
      </w:pPr>
      <w:r>
        <w:rPr>
          <w:rFonts w:ascii="Arial" w:hAnsi="Arial" w:cs="Arial"/>
          <w:szCs w:val="24"/>
        </w:rPr>
        <w:t>Шок</w:t>
      </w:r>
      <w:r w:rsidR="007B6BE3" w:rsidRPr="0087376B">
        <w:rPr>
          <w:rFonts w:ascii="Arial" w:hAnsi="Arial" w:cs="Arial"/>
          <w:szCs w:val="24"/>
        </w:rPr>
        <w:t xml:space="preserve"> </w:t>
      </w:r>
      <w:r>
        <w:rPr>
          <w:rFonts w:ascii="Arial" w:hAnsi="Arial" w:cs="Arial"/>
          <w:szCs w:val="24"/>
        </w:rPr>
        <w:t>валутног</w:t>
      </w:r>
      <w:r w:rsidR="007B6BE3" w:rsidRPr="0087376B">
        <w:rPr>
          <w:rFonts w:ascii="Arial" w:hAnsi="Arial" w:cs="Arial"/>
          <w:szCs w:val="24"/>
        </w:rPr>
        <w:t xml:space="preserve"> (</w:t>
      </w:r>
      <w:r>
        <w:rPr>
          <w:rFonts w:ascii="Arial" w:hAnsi="Arial" w:cs="Arial"/>
          <w:szCs w:val="24"/>
        </w:rPr>
        <w:t>девизног</w:t>
      </w:r>
      <w:r w:rsidR="007B6BE3" w:rsidRPr="0087376B">
        <w:rPr>
          <w:rFonts w:ascii="Arial" w:hAnsi="Arial" w:cs="Arial"/>
          <w:szCs w:val="24"/>
        </w:rPr>
        <w:t xml:space="preserve">) </w:t>
      </w:r>
      <w:r>
        <w:rPr>
          <w:rFonts w:ascii="Arial" w:hAnsi="Arial" w:cs="Arial"/>
          <w:szCs w:val="24"/>
        </w:rPr>
        <w:t>курса</w:t>
      </w:r>
      <w:r w:rsidR="007B6BE3" w:rsidRPr="0087376B">
        <w:rPr>
          <w:rFonts w:ascii="Arial" w:hAnsi="Arial" w:cs="Arial"/>
          <w:szCs w:val="24"/>
        </w:rPr>
        <w:t xml:space="preserve">: 30% </w:t>
      </w:r>
      <w:r>
        <w:rPr>
          <w:rFonts w:ascii="Arial" w:hAnsi="Arial" w:cs="Arial"/>
          <w:szCs w:val="24"/>
        </w:rPr>
        <w:t>депрецијације</w:t>
      </w:r>
      <w:r w:rsidR="007B6BE3" w:rsidRPr="0087376B">
        <w:rPr>
          <w:rFonts w:ascii="Arial" w:hAnsi="Arial" w:cs="Arial"/>
          <w:szCs w:val="24"/>
        </w:rPr>
        <w:t xml:space="preserve"> </w:t>
      </w:r>
      <w:r>
        <w:rPr>
          <w:rFonts w:ascii="Arial" w:hAnsi="Arial" w:cs="Arial"/>
          <w:szCs w:val="24"/>
        </w:rPr>
        <w:t>курса</w:t>
      </w:r>
      <w:r w:rsidR="007B6BE3" w:rsidRPr="0087376B">
        <w:rPr>
          <w:rFonts w:ascii="Arial" w:hAnsi="Arial" w:cs="Arial"/>
          <w:szCs w:val="24"/>
        </w:rPr>
        <w:t xml:space="preserve"> </w:t>
      </w:r>
      <w:r w:rsidRPr="00F4660A">
        <w:rPr>
          <w:rFonts w:ascii="Arial" w:hAnsi="Arial" w:cs="Arial"/>
          <w:szCs w:val="24"/>
        </w:rPr>
        <w:t>КМ</w:t>
      </w:r>
      <w:r w:rsidR="007B6BE3" w:rsidRPr="00F4660A">
        <w:rPr>
          <w:rFonts w:ascii="Arial" w:hAnsi="Arial" w:cs="Arial"/>
          <w:szCs w:val="24"/>
        </w:rPr>
        <w:t>/</w:t>
      </w:r>
      <w:r w:rsidR="00E04BE0" w:rsidRPr="00F4660A">
        <w:rPr>
          <w:rFonts w:ascii="Arial" w:hAnsi="Arial" w:cs="Arial"/>
          <w:szCs w:val="24"/>
        </w:rPr>
        <w:t>USD</w:t>
      </w:r>
      <w:r w:rsidR="007B6BE3" w:rsidRPr="00F4660A">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другој</w:t>
      </w:r>
      <w:r w:rsidR="007B6BE3" w:rsidRPr="0087376B">
        <w:rPr>
          <w:rFonts w:ascii="Arial" w:hAnsi="Arial" w:cs="Arial"/>
          <w:szCs w:val="24"/>
        </w:rPr>
        <w:t xml:space="preserve"> </w:t>
      </w:r>
      <w:r>
        <w:rPr>
          <w:rFonts w:ascii="Arial" w:hAnsi="Arial" w:cs="Arial"/>
          <w:szCs w:val="24"/>
        </w:rPr>
        <w:t>години</w:t>
      </w:r>
      <w:r w:rsidR="007B6BE3" w:rsidRPr="0087376B">
        <w:rPr>
          <w:rFonts w:ascii="Arial" w:hAnsi="Arial" w:cs="Arial"/>
          <w:szCs w:val="24"/>
        </w:rPr>
        <w:t>;</w:t>
      </w:r>
    </w:p>
    <w:p w14:paraId="2A07AF1E" w14:textId="77777777" w:rsidR="007B6BE3" w:rsidRPr="0087376B" w:rsidRDefault="005B20F8" w:rsidP="007B6BE3">
      <w:pPr>
        <w:numPr>
          <w:ilvl w:val="0"/>
          <w:numId w:val="7"/>
        </w:numPr>
        <w:spacing w:after="0"/>
        <w:contextualSpacing/>
        <w:jc w:val="both"/>
        <w:rPr>
          <w:rFonts w:ascii="Arial" w:hAnsi="Arial" w:cs="Arial"/>
          <w:szCs w:val="24"/>
        </w:rPr>
      </w:pPr>
      <w:r>
        <w:rPr>
          <w:rFonts w:ascii="Arial" w:hAnsi="Arial" w:cs="Arial"/>
          <w:szCs w:val="24"/>
        </w:rPr>
        <w:t>Шок</w:t>
      </w:r>
      <w:r w:rsidR="007B6BE3" w:rsidRPr="0087376B">
        <w:rPr>
          <w:rFonts w:ascii="Arial" w:hAnsi="Arial" w:cs="Arial"/>
          <w:szCs w:val="24"/>
        </w:rPr>
        <w:t xml:space="preserve"> </w:t>
      </w:r>
      <w:r>
        <w:rPr>
          <w:rFonts w:ascii="Arial" w:hAnsi="Arial" w:cs="Arial"/>
          <w:szCs w:val="24"/>
        </w:rPr>
        <w:t>каматне</w:t>
      </w:r>
      <w:r w:rsidR="007B6BE3" w:rsidRPr="0087376B">
        <w:rPr>
          <w:rFonts w:ascii="Arial" w:hAnsi="Arial" w:cs="Arial"/>
          <w:szCs w:val="24"/>
        </w:rPr>
        <w:t xml:space="preserve"> </w:t>
      </w:r>
      <w:r>
        <w:rPr>
          <w:rFonts w:ascii="Arial" w:hAnsi="Arial" w:cs="Arial"/>
          <w:szCs w:val="24"/>
        </w:rPr>
        <w:t>стопе</w:t>
      </w:r>
      <w:r w:rsidR="007B6BE3" w:rsidRPr="0087376B">
        <w:rPr>
          <w:rFonts w:ascii="Arial" w:hAnsi="Arial" w:cs="Arial"/>
          <w:szCs w:val="24"/>
        </w:rPr>
        <w:t xml:space="preserve">: 4% </w:t>
      </w:r>
      <w:r>
        <w:rPr>
          <w:rFonts w:ascii="Arial" w:hAnsi="Arial" w:cs="Arial"/>
          <w:szCs w:val="24"/>
        </w:rPr>
        <w:t>раст</w:t>
      </w:r>
      <w:r w:rsidR="007B6BE3" w:rsidRPr="0087376B">
        <w:rPr>
          <w:rFonts w:ascii="Arial" w:hAnsi="Arial" w:cs="Arial"/>
          <w:szCs w:val="24"/>
        </w:rPr>
        <w:t xml:space="preserve"> </w:t>
      </w:r>
      <w:r>
        <w:rPr>
          <w:rFonts w:ascii="Arial" w:hAnsi="Arial" w:cs="Arial"/>
          <w:szCs w:val="24"/>
        </w:rPr>
        <w:t>каматне</w:t>
      </w:r>
      <w:r w:rsidR="007B6BE3" w:rsidRPr="0087376B">
        <w:rPr>
          <w:rFonts w:ascii="Arial" w:hAnsi="Arial" w:cs="Arial"/>
          <w:szCs w:val="24"/>
        </w:rPr>
        <w:t xml:space="preserve"> </w:t>
      </w:r>
      <w:r>
        <w:rPr>
          <w:rFonts w:ascii="Arial" w:hAnsi="Arial" w:cs="Arial"/>
          <w:szCs w:val="24"/>
        </w:rPr>
        <w:t>стопе</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спољње</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домаће</w:t>
      </w:r>
      <w:r w:rsidR="007B6BE3" w:rsidRPr="0087376B">
        <w:rPr>
          <w:rFonts w:ascii="Arial" w:hAnsi="Arial" w:cs="Arial"/>
          <w:szCs w:val="24"/>
        </w:rPr>
        <w:t xml:space="preserve"> </w:t>
      </w:r>
      <w:r>
        <w:rPr>
          <w:rFonts w:ascii="Arial" w:hAnsi="Arial" w:cs="Arial"/>
          <w:szCs w:val="24"/>
        </w:rPr>
        <w:t>дугорочне</w:t>
      </w:r>
      <w:r w:rsidR="007B6BE3" w:rsidRPr="0087376B">
        <w:rPr>
          <w:rFonts w:ascii="Arial" w:hAnsi="Arial" w:cs="Arial"/>
          <w:szCs w:val="24"/>
        </w:rPr>
        <w:t xml:space="preserve"> </w:t>
      </w:r>
      <w:r>
        <w:rPr>
          <w:rFonts w:ascii="Arial" w:hAnsi="Arial" w:cs="Arial"/>
          <w:szCs w:val="24"/>
        </w:rPr>
        <w:t>инструменте</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2%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краткорочне</w:t>
      </w:r>
      <w:r w:rsidR="007B6BE3" w:rsidRPr="0087376B">
        <w:rPr>
          <w:rFonts w:ascii="Arial" w:hAnsi="Arial" w:cs="Arial"/>
          <w:szCs w:val="24"/>
        </w:rPr>
        <w:t xml:space="preserve"> </w:t>
      </w:r>
      <w:r>
        <w:rPr>
          <w:rFonts w:ascii="Arial" w:hAnsi="Arial" w:cs="Arial"/>
          <w:szCs w:val="24"/>
        </w:rPr>
        <w:t>домаће</w:t>
      </w:r>
      <w:r w:rsidR="007B6BE3" w:rsidRPr="0087376B">
        <w:rPr>
          <w:rFonts w:ascii="Arial" w:hAnsi="Arial" w:cs="Arial"/>
          <w:szCs w:val="24"/>
        </w:rPr>
        <w:t xml:space="preserve"> </w:t>
      </w:r>
      <w:r>
        <w:rPr>
          <w:rFonts w:ascii="Arial" w:hAnsi="Arial" w:cs="Arial"/>
          <w:szCs w:val="24"/>
        </w:rPr>
        <w:t>инструменте</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другој</w:t>
      </w:r>
      <w:r w:rsidR="007B6BE3" w:rsidRPr="0087376B">
        <w:rPr>
          <w:rFonts w:ascii="Arial" w:hAnsi="Arial" w:cs="Arial"/>
          <w:szCs w:val="24"/>
        </w:rPr>
        <w:t xml:space="preserve"> </w:t>
      </w:r>
      <w:r>
        <w:rPr>
          <w:rFonts w:ascii="Arial" w:hAnsi="Arial" w:cs="Arial"/>
          <w:szCs w:val="24"/>
        </w:rPr>
        <w:t>години</w:t>
      </w:r>
      <w:r w:rsidR="007B6BE3" w:rsidRPr="0087376B">
        <w:rPr>
          <w:rFonts w:ascii="Arial" w:hAnsi="Arial" w:cs="Arial"/>
          <w:szCs w:val="24"/>
        </w:rPr>
        <w:t xml:space="preserve">, </w:t>
      </w:r>
      <w:r>
        <w:rPr>
          <w:rFonts w:ascii="Arial" w:hAnsi="Arial" w:cs="Arial"/>
          <w:szCs w:val="24"/>
        </w:rPr>
        <w:t>што</w:t>
      </w:r>
      <w:r w:rsidR="007B6BE3" w:rsidRPr="0087376B">
        <w:rPr>
          <w:rFonts w:ascii="Arial" w:hAnsi="Arial" w:cs="Arial"/>
          <w:szCs w:val="24"/>
        </w:rPr>
        <w:t xml:space="preserve"> </w:t>
      </w:r>
      <w:r>
        <w:rPr>
          <w:rFonts w:ascii="Arial" w:hAnsi="Arial" w:cs="Arial"/>
          <w:szCs w:val="24"/>
        </w:rPr>
        <w:t>доприноси</w:t>
      </w:r>
      <w:r w:rsidR="007B6BE3" w:rsidRPr="0087376B">
        <w:rPr>
          <w:rFonts w:ascii="Arial" w:hAnsi="Arial" w:cs="Arial"/>
          <w:szCs w:val="24"/>
        </w:rPr>
        <w:t xml:space="preserve"> </w:t>
      </w:r>
      <w:r>
        <w:rPr>
          <w:rFonts w:ascii="Arial" w:hAnsi="Arial" w:cs="Arial"/>
          <w:szCs w:val="24"/>
        </w:rPr>
        <w:t>изравнавању</w:t>
      </w:r>
      <w:r w:rsidR="007B6BE3" w:rsidRPr="0087376B">
        <w:rPr>
          <w:rFonts w:ascii="Arial" w:hAnsi="Arial" w:cs="Arial"/>
          <w:szCs w:val="24"/>
        </w:rPr>
        <w:t xml:space="preserve"> </w:t>
      </w:r>
      <w:r>
        <w:rPr>
          <w:rFonts w:ascii="Arial" w:hAnsi="Arial" w:cs="Arial"/>
          <w:szCs w:val="24"/>
        </w:rPr>
        <w:t>кривуље</w:t>
      </w:r>
      <w:r w:rsidR="007B6BE3" w:rsidRPr="0087376B">
        <w:rPr>
          <w:rFonts w:ascii="Arial" w:hAnsi="Arial" w:cs="Arial"/>
          <w:szCs w:val="24"/>
        </w:rPr>
        <w:t xml:space="preserve"> </w:t>
      </w:r>
      <w:r>
        <w:rPr>
          <w:rFonts w:ascii="Arial" w:hAnsi="Arial" w:cs="Arial"/>
          <w:szCs w:val="24"/>
        </w:rPr>
        <w:t>приноса</w:t>
      </w:r>
      <w:r w:rsidR="007B6BE3" w:rsidRPr="0087376B">
        <w:rPr>
          <w:rFonts w:ascii="Arial" w:hAnsi="Arial" w:cs="Arial"/>
          <w:szCs w:val="24"/>
        </w:rPr>
        <w:t xml:space="preserve">; </w:t>
      </w:r>
      <w:r w:rsidR="00917FE8">
        <w:rPr>
          <w:rFonts w:ascii="Arial" w:hAnsi="Arial" w:cs="Arial"/>
          <w:szCs w:val="24"/>
        </w:rPr>
        <w:t xml:space="preserve"> </w:t>
      </w:r>
    </w:p>
    <w:p w14:paraId="03D5CC6C" w14:textId="77777777" w:rsidR="007B6BE3" w:rsidRPr="0087376B" w:rsidRDefault="005B20F8" w:rsidP="007B6BE3">
      <w:pPr>
        <w:numPr>
          <w:ilvl w:val="0"/>
          <w:numId w:val="7"/>
        </w:numPr>
        <w:spacing w:after="0"/>
        <w:contextualSpacing/>
        <w:jc w:val="both"/>
        <w:rPr>
          <w:rFonts w:ascii="Arial" w:hAnsi="Arial" w:cs="Arial"/>
          <w:szCs w:val="24"/>
        </w:rPr>
      </w:pPr>
      <w:r>
        <w:rPr>
          <w:rFonts w:ascii="Arial" w:hAnsi="Arial" w:cs="Arial"/>
          <w:szCs w:val="24"/>
        </w:rPr>
        <w:t>Комбиновани</w:t>
      </w:r>
      <w:r w:rsidR="007B6BE3" w:rsidRPr="0087376B">
        <w:rPr>
          <w:rFonts w:ascii="Arial" w:hAnsi="Arial" w:cs="Arial"/>
          <w:szCs w:val="24"/>
        </w:rPr>
        <w:t xml:space="preserve"> </w:t>
      </w:r>
      <w:r>
        <w:rPr>
          <w:rFonts w:ascii="Arial" w:hAnsi="Arial" w:cs="Arial"/>
          <w:szCs w:val="24"/>
        </w:rPr>
        <w:t>шок</w:t>
      </w:r>
      <w:r w:rsidR="007B6BE3" w:rsidRPr="0087376B">
        <w:rPr>
          <w:rFonts w:ascii="Arial" w:hAnsi="Arial" w:cs="Arial"/>
          <w:szCs w:val="24"/>
        </w:rPr>
        <w:t xml:space="preserve">: 20% </w:t>
      </w:r>
      <w:r>
        <w:rPr>
          <w:rFonts w:ascii="Arial" w:hAnsi="Arial" w:cs="Arial"/>
          <w:szCs w:val="24"/>
        </w:rPr>
        <w:t>депрецијације</w:t>
      </w:r>
      <w:r w:rsidR="007B6BE3" w:rsidRPr="0087376B">
        <w:rPr>
          <w:rFonts w:ascii="Arial" w:hAnsi="Arial" w:cs="Arial"/>
          <w:szCs w:val="24"/>
        </w:rPr>
        <w:t xml:space="preserve"> </w:t>
      </w:r>
      <w:r>
        <w:rPr>
          <w:rFonts w:ascii="Arial" w:hAnsi="Arial" w:cs="Arial"/>
          <w:szCs w:val="24"/>
        </w:rPr>
        <w:t>курса</w:t>
      </w:r>
      <w:r w:rsidR="007B6BE3" w:rsidRPr="0087376B">
        <w:rPr>
          <w:rFonts w:ascii="Arial" w:hAnsi="Arial" w:cs="Arial"/>
          <w:szCs w:val="24"/>
        </w:rPr>
        <w:t xml:space="preserve"> </w:t>
      </w:r>
      <w:r>
        <w:rPr>
          <w:rFonts w:ascii="Arial" w:hAnsi="Arial" w:cs="Arial"/>
          <w:szCs w:val="24"/>
        </w:rPr>
        <w:t>КМ</w:t>
      </w:r>
      <w:r w:rsidR="007B6BE3" w:rsidRPr="0087376B">
        <w:rPr>
          <w:rFonts w:ascii="Arial" w:hAnsi="Arial" w:cs="Arial"/>
          <w:szCs w:val="24"/>
        </w:rPr>
        <w:t>/</w:t>
      </w:r>
      <w:r>
        <w:rPr>
          <w:rFonts w:ascii="Arial" w:hAnsi="Arial" w:cs="Arial"/>
          <w:szCs w:val="24"/>
        </w:rPr>
        <w:t>УСД</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комбинацији</w:t>
      </w:r>
      <w:r w:rsidR="007B6BE3" w:rsidRPr="0087376B">
        <w:rPr>
          <w:rFonts w:ascii="Arial" w:hAnsi="Arial" w:cs="Arial"/>
          <w:szCs w:val="24"/>
        </w:rPr>
        <w:t xml:space="preserve"> </w:t>
      </w:r>
      <w:r>
        <w:rPr>
          <w:rFonts w:ascii="Arial" w:hAnsi="Arial" w:cs="Arial"/>
          <w:szCs w:val="24"/>
        </w:rPr>
        <w:t>са</w:t>
      </w:r>
      <w:r w:rsidR="007B6BE3" w:rsidRPr="0087376B">
        <w:rPr>
          <w:rFonts w:ascii="Arial" w:hAnsi="Arial" w:cs="Arial"/>
          <w:szCs w:val="24"/>
        </w:rPr>
        <w:t xml:space="preserve"> </w:t>
      </w:r>
      <w:r>
        <w:rPr>
          <w:rFonts w:ascii="Arial" w:hAnsi="Arial" w:cs="Arial"/>
          <w:szCs w:val="24"/>
        </w:rPr>
        <w:t>шоком</w:t>
      </w:r>
      <w:r w:rsidR="007B6BE3" w:rsidRPr="0087376B">
        <w:rPr>
          <w:rFonts w:ascii="Arial" w:hAnsi="Arial" w:cs="Arial"/>
          <w:szCs w:val="24"/>
        </w:rPr>
        <w:t xml:space="preserve"> </w:t>
      </w:r>
      <w:r>
        <w:rPr>
          <w:rFonts w:ascii="Arial" w:hAnsi="Arial" w:cs="Arial"/>
          <w:szCs w:val="24"/>
        </w:rPr>
        <w:t>за</w:t>
      </w:r>
      <w:r w:rsidR="007B6BE3" w:rsidRPr="0087376B">
        <w:rPr>
          <w:rFonts w:ascii="Arial" w:hAnsi="Arial" w:cs="Arial"/>
          <w:szCs w:val="24"/>
        </w:rPr>
        <w:t xml:space="preserve"> 1%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краткорочне</w:t>
      </w:r>
      <w:r w:rsidR="007B6BE3" w:rsidRPr="0087376B">
        <w:rPr>
          <w:rFonts w:ascii="Arial" w:hAnsi="Arial" w:cs="Arial"/>
          <w:szCs w:val="24"/>
        </w:rPr>
        <w:t xml:space="preserve"> </w:t>
      </w:r>
      <w:r>
        <w:rPr>
          <w:rFonts w:ascii="Arial" w:hAnsi="Arial" w:cs="Arial"/>
          <w:szCs w:val="24"/>
        </w:rPr>
        <w:t>домаће</w:t>
      </w:r>
      <w:r w:rsidR="007B6BE3" w:rsidRPr="0087376B">
        <w:rPr>
          <w:rFonts w:ascii="Arial" w:hAnsi="Arial" w:cs="Arial"/>
          <w:szCs w:val="24"/>
        </w:rPr>
        <w:t xml:space="preserve"> </w:t>
      </w:r>
      <w:r>
        <w:rPr>
          <w:rFonts w:ascii="Arial" w:hAnsi="Arial" w:cs="Arial"/>
          <w:szCs w:val="24"/>
        </w:rPr>
        <w:t>инструменте</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2%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све</w:t>
      </w:r>
      <w:r w:rsidR="007B6BE3" w:rsidRPr="0087376B">
        <w:rPr>
          <w:rFonts w:ascii="Arial" w:hAnsi="Arial" w:cs="Arial"/>
          <w:szCs w:val="24"/>
        </w:rPr>
        <w:t xml:space="preserve"> </w:t>
      </w:r>
      <w:r>
        <w:rPr>
          <w:rFonts w:ascii="Arial" w:hAnsi="Arial" w:cs="Arial"/>
          <w:szCs w:val="24"/>
        </w:rPr>
        <w:t>дугорочне</w:t>
      </w:r>
      <w:r w:rsidR="007B6BE3" w:rsidRPr="0087376B">
        <w:rPr>
          <w:rFonts w:ascii="Arial" w:hAnsi="Arial" w:cs="Arial"/>
          <w:szCs w:val="24"/>
        </w:rPr>
        <w:t xml:space="preserve"> </w:t>
      </w:r>
      <w:r>
        <w:rPr>
          <w:rFonts w:ascii="Arial" w:hAnsi="Arial" w:cs="Arial"/>
          <w:szCs w:val="24"/>
        </w:rPr>
        <w:t>домаће</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спољње</w:t>
      </w:r>
      <w:r w:rsidR="007B6BE3" w:rsidRPr="0087376B">
        <w:rPr>
          <w:rFonts w:ascii="Arial" w:hAnsi="Arial" w:cs="Arial"/>
          <w:szCs w:val="24"/>
        </w:rPr>
        <w:t xml:space="preserve"> </w:t>
      </w:r>
      <w:r>
        <w:rPr>
          <w:rFonts w:ascii="Arial" w:hAnsi="Arial" w:cs="Arial"/>
          <w:szCs w:val="24"/>
        </w:rPr>
        <w:t>инструменте</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другој</w:t>
      </w:r>
      <w:r w:rsidR="007B6BE3" w:rsidRPr="0087376B">
        <w:rPr>
          <w:rFonts w:ascii="Arial" w:hAnsi="Arial" w:cs="Arial"/>
          <w:szCs w:val="24"/>
        </w:rPr>
        <w:t xml:space="preserve"> </w:t>
      </w:r>
      <w:r>
        <w:rPr>
          <w:rFonts w:ascii="Arial" w:hAnsi="Arial" w:cs="Arial"/>
          <w:szCs w:val="24"/>
        </w:rPr>
        <w:t>години</w:t>
      </w:r>
      <w:r w:rsidR="007B6BE3" w:rsidRPr="0087376B">
        <w:rPr>
          <w:rFonts w:ascii="Arial" w:hAnsi="Arial" w:cs="Arial"/>
          <w:szCs w:val="24"/>
        </w:rPr>
        <w:t>.</w:t>
      </w:r>
    </w:p>
    <w:p w14:paraId="3C0FF964" w14:textId="77777777" w:rsidR="007B6BE3" w:rsidRPr="0087376B" w:rsidRDefault="007B6BE3" w:rsidP="007B6BE3">
      <w:pPr>
        <w:pStyle w:val="ParagraphNumbering"/>
        <w:keepNext/>
        <w:numPr>
          <w:ilvl w:val="0"/>
          <w:numId w:val="0"/>
        </w:numPr>
        <w:spacing w:after="0" w:line="276" w:lineRule="auto"/>
        <w:ind w:firstLine="420"/>
        <w:jc w:val="both"/>
        <w:rPr>
          <w:rFonts w:ascii="Arial" w:hAnsi="Arial" w:cs="Arial"/>
          <w:sz w:val="22"/>
        </w:rPr>
      </w:pPr>
    </w:p>
    <w:p w14:paraId="4BDF46F9" w14:textId="77777777" w:rsidR="007B6BE3" w:rsidRPr="0087376B" w:rsidRDefault="005B20F8" w:rsidP="007B6BE3">
      <w:pPr>
        <w:pStyle w:val="ParagraphNumbering"/>
        <w:keepNext/>
        <w:numPr>
          <w:ilvl w:val="0"/>
          <w:numId w:val="0"/>
        </w:numPr>
        <w:spacing w:after="0" w:line="276" w:lineRule="auto"/>
        <w:ind w:firstLine="420"/>
        <w:jc w:val="both"/>
        <w:rPr>
          <w:rFonts w:ascii="Arial" w:hAnsi="Arial" w:cs="Arial"/>
          <w:sz w:val="22"/>
        </w:rPr>
      </w:pPr>
      <w:r>
        <w:rPr>
          <w:rFonts w:ascii="Arial" w:hAnsi="Arial" w:cs="Arial"/>
          <w:sz w:val="22"/>
        </w:rPr>
        <w:t>Претпоставке</w:t>
      </w:r>
      <w:r w:rsidR="007B6BE3" w:rsidRPr="0087376B">
        <w:rPr>
          <w:rFonts w:ascii="Arial" w:hAnsi="Arial" w:cs="Arial"/>
          <w:sz w:val="22"/>
        </w:rPr>
        <w:t xml:space="preserve"> </w:t>
      </w:r>
      <w:r>
        <w:rPr>
          <w:rFonts w:ascii="Arial" w:hAnsi="Arial" w:cs="Arial"/>
          <w:sz w:val="22"/>
        </w:rPr>
        <w:t>о</w:t>
      </w:r>
      <w:r w:rsidR="007B6BE3" w:rsidRPr="0087376B">
        <w:rPr>
          <w:rFonts w:ascii="Arial" w:hAnsi="Arial" w:cs="Arial"/>
          <w:sz w:val="22"/>
        </w:rPr>
        <w:t xml:space="preserve"> </w:t>
      </w:r>
      <w:r>
        <w:rPr>
          <w:rFonts w:ascii="Arial" w:hAnsi="Arial" w:cs="Arial"/>
          <w:sz w:val="22"/>
        </w:rPr>
        <w:t>будућим</w:t>
      </w:r>
      <w:r w:rsidR="007B6BE3" w:rsidRPr="0087376B">
        <w:rPr>
          <w:rFonts w:ascii="Arial" w:hAnsi="Arial" w:cs="Arial"/>
          <w:sz w:val="22"/>
        </w:rPr>
        <w:t xml:space="preserve"> </w:t>
      </w:r>
      <w:r>
        <w:rPr>
          <w:rFonts w:ascii="Arial" w:hAnsi="Arial" w:cs="Arial"/>
          <w:sz w:val="22"/>
        </w:rPr>
        <w:t>кретањима</w:t>
      </w:r>
      <w:r w:rsidR="007B6BE3" w:rsidRPr="0087376B">
        <w:rPr>
          <w:rFonts w:ascii="Arial" w:hAnsi="Arial" w:cs="Arial"/>
          <w:sz w:val="22"/>
        </w:rPr>
        <w:t xml:space="preserve"> </w:t>
      </w:r>
      <w:r>
        <w:rPr>
          <w:rFonts w:ascii="Arial" w:hAnsi="Arial" w:cs="Arial"/>
          <w:sz w:val="22"/>
        </w:rPr>
        <w:t>промјењивих</w:t>
      </w:r>
      <w:r w:rsidR="007B6BE3" w:rsidRPr="0087376B">
        <w:rPr>
          <w:rFonts w:ascii="Arial" w:hAnsi="Arial" w:cs="Arial"/>
          <w:sz w:val="22"/>
        </w:rPr>
        <w:t xml:space="preserve"> </w:t>
      </w:r>
      <w:r>
        <w:rPr>
          <w:rFonts w:ascii="Arial" w:hAnsi="Arial" w:cs="Arial"/>
          <w:sz w:val="22"/>
        </w:rPr>
        <w:t>каматних</w:t>
      </w:r>
      <w:r w:rsidR="007B6BE3" w:rsidRPr="0087376B">
        <w:rPr>
          <w:rFonts w:ascii="Arial" w:hAnsi="Arial" w:cs="Arial"/>
          <w:sz w:val="22"/>
        </w:rPr>
        <w:t xml:space="preserve"> </w:t>
      </w:r>
      <w:r>
        <w:rPr>
          <w:rFonts w:ascii="Arial" w:hAnsi="Arial" w:cs="Arial"/>
          <w:sz w:val="22"/>
        </w:rPr>
        <w:t>стопа</w:t>
      </w:r>
      <w:r w:rsidR="007B6BE3" w:rsidRPr="0087376B">
        <w:rPr>
          <w:rFonts w:ascii="Arial" w:hAnsi="Arial" w:cs="Arial"/>
          <w:sz w:val="22"/>
        </w:rPr>
        <w:t xml:space="preserve"> </w:t>
      </w:r>
      <w:r>
        <w:rPr>
          <w:rFonts w:ascii="Arial" w:hAnsi="Arial" w:cs="Arial"/>
          <w:sz w:val="22"/>
        </w:rPr>
        <w:t>на</w:t>
      </w:r>
      <w:r w:rsidR="007B6BE3" w:rsidRPr="0087376B">
        <w:rPr>
          <w:rFonts w:ascii="Arial" w:hAnsi="Arial" w:cs="Arial"/>
          <w:sz w:val="22"/>
        </w:rPr>
        <w:t xml:space="preserve"> </w:t>
      </w:r>
      <w:r>
        <w:rPr>
          <w:rFonts w:ascii="Arial" w:hAnsi="Arial" w:cs="Arial"/>
          <w:sz w:val="22"/>
        </w:rPr>
        <w:t>спољни</w:t>
      </w:r>
      <w:r w:rsidR="007B6BE3" w:rsidRPr="0087376B">
        <w:rPr>
          <w:rFonts w:ascii="Arial" w:hAnsi="Arial" w:cs="Arial"/>
          <w:sz w:val="22"/>
        </w:rPr>
        <w:t xml:space="preserve"> </w:t>
      </w:r>
      <w:r>
        <w:rPr>
          <w:rFonts w:ascii="Arial" w:hAnsi="Arial" w:cs="Arial"/>
          <w:sz w:val="22"/>
        </w:rPr>
        <w:t>дуг</w:t>
      </w:r>
      <w:r w:rsidR="007B6BE3" w:rsidRPr="0087376B">
        <w:rPr>
          <w:rFonts w:ascii="Arial" w:hAnsi="Arial" w:cs="Arial"/>
          <w:sz w:val="22"/>
        </w:rPr>
        <w:t xml:space="preserve"> </w:t>
      </w:r>
      <w:r>
        <w:rPr>
          <w:rFonts w:ascii="Arial" w:hAnsi="Arial" w:cs="Arial"/>
          <w:sz w:val="22"/>
        </w:rPr>
        <w:t>засноване</w:t>
      </w:r>
      <w:r w:rsidR="007B6BE3" w:rsidRPr="0087376B">
        <w:rPr>
          <w:rFonts w:ascii="Arial" w:hAnsi="Arial" w:cs="Arial"/>
          <w:sz w:val="22"/>
        </w:rPr>
        <w:t xml:space="preserve"> </w:t>
      </w:r>
      <w:r>
        <w:rPr>
          <w:rFonts w:ascii="Arial" w:hAnsi="Arial" w:cs="Arial"/>
          <w:sz w:val="22"/>
        </w:rPr>
        <w:t>су</w:t>
      </w:r>
      <w:r w:rsidR="007B6BE3" w:rsidRPr="0087376B">
        <w:rPr>
          <w:rFonts w:ascii="Arial" w:hAnsi="Arial" w:cs="Arial"/>
          <w:sz w:val="22"/>
        </w:rPr>
        <w:t xml:space="preserve"> </w:t>
      </w:r>
      <w:r>
        <w:rPr>
          <w:rFonts w:ascii="Arial" w:hAnsi="Arial" w:cs="Arial"/>
          <w:sz w:val="22"/>
        </w:rPr>
        <w:t>на</w:t>
      </w:r>
      <w:r w:rsidR="007B6BE3" w:rsidRPr="0087376B">
        <w:rPr>
          <w:rFonts w:ascii="Arial" w:hAnsi="Arial" w:cs="Arial"/>
          <w:sz w:val="22"/>
        </w:rPr>
        <w:t xml:space="preserve"> </w:t>
      </w:r>
      <w:r>
        <w:rPr>
          <w:rFonts w:ascii="Arial" w:hAnsi="Arial" w:cs="Arial"/>
          <w:sz w:val="22"/>
        </w:rPr>
        <w:t>постојећим</w:t>
      </w:r>
      <w:r w:rsidR="007B6BE3" w:rsidRPr="0087376B">
        <w:rPr>
          <w:rFonts w:ascii="Arial" w:hAnsi="Arial" w:cs="Arial"/>
          <w:sz w:val="22"/>
        </w:rPr>
        <w:t xml:space="preserve"> </w:t>
      </w:r>
      <w:r>
        <w:rPr>
          <w:rFonts w:ascii="Arial" w:hAnsi="Arial" w:cs="Arial"/>
          <w:sz w:val="22"/>
        </w:rPr>
        <w:t>кривуљама</w:t>
      </w:r>
      <w:r w:rsidR="007B6BE3" w:rsidRPr="0087376B">
        <w:rPr>
          <w:rFonts w:ascii="Arial" w:hAnsi="Arial" w:cs="Arial"/>
          <w:sz w:val="22"/>
        </w:rPr>
        <w:t xml:space="preserve"> </w:t>
      </w:r>
      <w:r>
        <w:rPr>
          <w:rFonts w:ascii="Arial" w:hAnsi="Arial" w:cs="Arial"/>
          <w:sz w:val="22"/>
        </w:rPr>
        <w:t>приноса</w:t>
      </w:r>
      <w:r w:rsidR="007B6BE3" w:rsidRPr="0087376B">
        <w:rPr>
          <w:rFonts w:ascii="Arial" w:hAnsi="Arial" w:cs="Arial"/>
          <w:sz w:val="22"/>
        </w:rPr>
        <w:t xml:space="preserve"> </w:t>
      </w:r>
      <w:r>
        <w:rPr>
          <w:rFonts w:ascii="Arial" w:hAnsi="Arial" w:cs="Arial"/>
          <w:sz w:val="22"/>
        </w:rPr>
        <w:t>за</w:t>
      </w:r>
      <w:r w:rsidR="007B6BE3" w:rsidRPr="0087376B">
        <w:rPr>
          <w:rFonts w:ascii="Arial" w:hAnsi="Arial" w:cs="Arial"/>
          <w:sz w:val="22"/>
        </w:rPr>
        <w:t xml:space="preserve"> </w:t>
      </w:r>
      <w:r>
        <w:rPr>
          <w:rFonts w:ascii="Arial" w:hAnsi="Arial" w:cs="Arial"/>
          <w:sz w:val="22"/>
        </w:rPr>
        <w:t>Еурозону</w:t>
      </w:r>
      <w:r w:rsidR="007B6BE3" w:rsidRPr="0087376B">
        <w:rPr>
          <w:rFonts w:ascii="Arial" w:hAnsi="Arial" w:cs="Arial"/>
          <w:sz w:val="22"/>
        </w:rPr>
        <w:t xml:space="preserve"> </w:t>
      </w:r>
      <w:r>
        <w:rPr>
          <w:rFonts w:ascii="Arial" w:hAnsi="Arial" w:cs="Arial"/>
          <w:sz w:val="22"/>
        </w:rPr>
        <w:t>и</w:t>
      </w:r>
      <w:r w:rsidR="007B6BE3" w:rsidRPr="0087376B">
        <w:rPr>
          <w:rFonts w:ascii="Arial" w:hAnsi="Arial" w:cs="Arial"/>
          <w:sz w:val="22"/>
        </w:rPr>
        <w:t xml:space="preserve"> </w:t>
      </w:r>
      <w:r>
        <w:rPr>
          <w:rFonts w:ascii="Arial" w:hAnsi="Arial" w:cs="Arial"/>
          <w:sz w:val="22"/>
        </w:rPr>
        <w:t>САД</w:t>
      </w:r>
      <w:r w:rsidR="007B6BE3" w:rsidRPr="0087376B">
        <w:rPr>
          <w:rFonts w:ascii="Arial" w:hAnsi="Arial" w:cs="Arial"/>
          <w:sz w:val="22"/>
        </w:rPr>
        <w:t xml:space="preserve"> </w:t>
      </w:r>
      <w:r>
        <w:rPr>
          <w:rFonts w:ascii="Arial" w:hAnsi="Arial" w:cs="Arial"/>
          <w:sz w:val="22"/>
        </w:rPr>
        <w:t>из</w:t>
      </w:r>
      <w:r w:rsidR="007B6BE3" w:rsidRPr="0087376B">
        <w:rPr>
          <w:rFonts w:ascii="Arial" w:hAnsi="Arial" w:cs="Arial"/>
          <w:sz w:val="22"/>
        </w:rPr>
        <w:t xml:space="preserve"> </w:t>
      </w:r>
      <w:r>
        <w:rPr>
          <w:rFonts w:ascii="Arial" w:hAnsi="Arial" w:cs="Arial"/>
          <w:sz w:val="22"/>
        </w:rPr>
        <w:t>половине</w:t>
      </w:r>
      <w:r w:rsidR="007B6BE3" w:rsidRPr="0087376B">
        <w:rPr>
          <w:rFonts w:ascii="Arial" w:hAnsi="Arial" w:cs="Arial"/>
          <w:sz w:val="22"/>
        </w:rPr>
        <w:t xml:space="preserve"> </w:t>
      </w:r>
      <w:r>
        <w:rPr>
          <w:rFonts w:ascii="Arial" w:hAnsi="Arial" w:cs="Arial"/>
          <w:sz w:val="22"/>
        </w:rPr>
        <w:t>новембра</w:t>
      </w:r>
      <w:r w:rsidR="007B6BE3" w:rsidRPr="0087376B">
        <w:rPr>
          <w:rFonts w:ascii="Arial" w:hAnsi="Arial" w:cs="Arial"/>
          <w:sz w:val="22"/>
        </w:rPr>
        <w:t xml:space="preserve"> 2022. </w:t>
      </w:r>
      <w:r>
        <w:rPr>
          <w:rFonts w:ascii="Arial" w:hAnsi="Arial" w:cs="Arial"/>
          <w:sz w:val="22"/>
        </w:rPr>
        <w:t>године</w:t>
      </w:r>
      <w:r w:rsidR="007B6BE3" w:rsidRPr="0087376B">
        <w:rPr>
          <w:rFonts w:ascii="Arial" w:hAnsi="Arial" w:cs="Arial"/>
          <w:sz w:val="22"/>
        </w:rPr>
        <w:t xml:space="preserve"> </w:t>
      </w:r>
      <w:r>
        <w:rPr>
          <w:rFonts w:ascii="Arial" w:hAnsi="Arial" w:cs="Arial"/>
          <w:sz w:val="22"/>
        </w:rPr>
        <w:t>узимајући</w:t>
      </w:r>
      <w:r w:rsidR="007B6BE3" w:rsidRPr="0087376B">
        <w:rPr>
          <w:rFonts w:ascii="Arial" w:hAnsi="Arial" w:cs="Arial"/>
          <w:sz w:val="22"/>
        </w:rPr>
        <w:t xml:space="preserve"> </w:t>
      </w:r>
      <w:r>
        <w:rPr>
          <w:rFonts w:ascii="Arial" w:hAnsi="Arial" w:cs="Arial"/>
          <w:sz w:val="22"/>
        </w:rPr>
        <w:t>у</w:t>
      </w:r>
      <w:r w:rsidR="007B6BE3" w:rsidRPr="0087376B">
        <w:rPr>
          <w:rFonts w:ascii="Arial" w:hAnsi="Arial" w:cs="Arial"/>
          <w:sz w:val="22"/>
        </w:rPr>
        <w:t xml:space="preserve"> </w:t>
      </w:r>
      <w:r>
        <w:rPr>
          <w:rFonts w:ascii="Arial" w:hAnsi="Arial" w:cs="Arial"/>
          <w:sz w:val="22"/>
        </w:rPr>
        <w:t>обзир</w:t>
      </w:r>
      <w:r w:rsidR="007B6BE3" w:rsidRPr="0087376B">
        <w:rPr>
          <w:rFonts w:ascii="Arial" w:hAnsi="Arial" w:cs="Arial"/>
          <w:sz w:val="22"/>
        </w:rPr>
        <w:t xml:space="preserve"> </w:t>
      </w:r>
      <w:r>
        <w:rPr>
          <w:rFonts w:ascii="Arial" w:hAnsi="Arial" w:cs="Arial"/>
          <w:sz w:val="22"/>
        </w:rPr>
        <w:t>и</w:t>
      </w:r>
      <w:r w:rsidR="007B6BE3" w:rsidRPr="0087376B">
        <w:rPr>
          <w:rFonts w:ascii="Arial" w:hAnsi="Arial" w:cs="Arial"/>
          <w:sz w:val="22"/>
        </w:rPr>
        <w:t xml:space="preserve"> </w:t>
      </w:r>
      <w:r>
        <w:rPr>
          <w:rFonts w:ascii="Arial" w:hAnsi="Arial" w:cs="Arial"/>
          <w:sz w:val="22"/>
        </w:rPr>
        <w:t>просјечне</w:t>
      </w:r>
      <w:r w:rsidR="007B6BE3" w:rsidRPr="0087376B">
        <w:rPr>
          <w:rFonts w:ascii="Arial" w:hAnsi="Arial" w:cs="Arial"/>
          <w:sz w:val="22"/>
        </w:rPr>
        <w:t xml:space="preserve"> </w:t>
      </w:r>
      <w:r>
        <w:rPr>
          <w:rFonts w:ascii="Arial" w:hAnsi="Arial" w:cs="Arial"/>
          <w:sz w:val="22"/>
        </w:rPr>
        <w:t>вриједности</w:t>
      </w:r>
      <w:r w:rsidR="007B6BE3" w:rsidRPr="0087376B">
        <w:rPr>
          <w:rFonts w:ascii="Arial" w:hAnsi="Arial" w:cs="Arial"/>
          <w:sz w:val="22"/>
        </w:rPr>
        <w:t xml:space="preserve"> </w:t>
      </w:r>
      <w:r>
        <w:rPr>
          <w:rFonts w:ascii="Arial" w:hAnsi="Arial" w:cs="Arial"/>
          <w:sz w:val="22"/>
        </w:rPr>
        <w:t>у</w:t>
      </w:r>
      <w:r w:rsidR="007B6BE3" w:rsidRPr="0087376B">
        <w:rPr>
          <w:rFonts w:ascii="Arial" w:hAnsi="Arial" w:cs="Arial"/>
          <w:sz w:val="22"/>
        </w:rPr>
        <w:t xml:space="preserve"> 2022. </w:t>
      </w:r>
      <w:r>
        <w:rPr>
          <w:rFonts w:ascii="Arial" w:hAnsi="Arial" w:cs="Arial"/>
          <w:sz w:val="22"/>
        </w:rPr>
        <w:t>години</w:t>
      </w:r>
      <w:r w:rsidR="007B6BE3" w:rsidRPr="0087376B">
        <w:rPr>
          <w:rFonts w:ascii="Arial" w:hAnsi="Arial" w:cs="Arial"/>
          <w:sz w:val="22"/>
        </w:rPr>
        <w:t xml:space="preserve">.  </w:t>
      </w:r>
      <w:r>
        <w:rPr>
          <w:rFonts w:ascii="Arial" w:hAnsi="Arial" w:cs="Arial"/>
          <w:sz w:val="22"/>
        </w:rPr>
        <w:t>За</w:t>
      </w:r>
      <w:r w:rsidR="007B6BE3" w:rsidRPr="0087376B">
        <w:rPr>
          <w:rFonts w:ascii="Arial" w:hAnsi="Arial" w:cs="Arial"/>
          <w:sz w:val="22"/>
        </w:rPr>
        <w:t xml:space="preserve"> </w:t>
      </w:r>
      <w:r>
        <w:rPr>
          <w:rFonts w:ascii="Arial" w:hAnsi="Arial" w:cs="Arial"/>
          <w:sz w:val="22"/>
        </w:rPr>
        <w:t>пројекције</w:t>
      </w:r>
      <w:r w:rsidR="007B6BE3" w:rsidRPr="0087376B">
        <w:rPr>
          <w:rFonts w:ascii="Arial" w:hAnsi="Arial" w:cs="Arial"/>
          <w:sz w:val="22"/>
        </w:rPr>
        <w:t xml:space="preserve"> </w:t>
      </w:r>
      <w:r>
        <w:rPr>
          <w:rFonts w:ascii="Arial" w:hAnsi="Arial" w:cs="Arial"/>
          <w:sz w:val="22"/>
        </w:rPr>
        <w:t>варијабилних</w:t>
      </w:r>
      <w:r w:rsidR="007B6BE3" w:rsidRPr="0087376B">
        <w:rPr>
          <w:rFonts w:ascii="Arial" w:hAnsi="Arial" w:cs="Arial"/>
          <w:sz w:val="22"/>
        </w:rPr>
        <w:t xml:space="preserve"> </w:t>
      </w:r>
      <w:r>
        <w:rPr>
          <w:rFonts w:ascii="Arial" w:hAnsi="Arial" w:cs="Arial"/>
          <w:sz w:val="22"/>
        </w:rPr>
        <w:t>каматних</w:t>
      </w:r>
      <w:r w:rsidR="007B6BE3" w:rsidRPr="0087376B">
        <w:rPr>
          <w:rFonts w:ascii="Arial" w:hAnsi="Arial" w:cs="Arial"/>
          <w:sz w:val="22"/>
        </w:rPr>
        <w:t xml:space="preserve"> </w:t>
      </w:r>
      <w:r>
        <w:rPr>
          <w:rFonts w:ascii="Arial" w:hAnsi="Arial" w:cs="Arial"/>
          <w:sz w:val="22"/>
        </w:rPr>
        <w:t>стопа</w:t>
      </w:r>
      <w:r w:rsidR="007B6BE3" w:rsidRPr="0087376B">
        <w:rPr>
          <w:rFonts w:ascii="Arial" w:hAnsi="Arial" w:cs="Arial"/>
          <w:sz w:val="22"/>
        </w:rPr>
        <w:t xml:space="preserve">, </w:t>
      </w:r>
      <w:r w:rsidRPr="00E04BE0">
        <w:rPr>
          <w:rFonts w:ascii="Arial" w:hAnsi="Arial" w:cs="Arial"/>
          <w:sz w:val="22"/>
        </w:rPr>
        <w:t>шестомјесечни</w:t>
      </w:r>
      <w:r w:rsidR="007B6BE3" w:rsidRPr="00E04BE0">
        <w:rPr>
          <w:rFonts w:ascii="Arial" w:hAnsi="Arial" w:cs="Arial"/>
          <w:sz w:val="22"/>
        </w:rPr>
        <w:t xml:space="preserve"> </w:t>
      </w:r>
      <w:r w:rsidR="00E04BE0" w:rsidRPr="00E04BE0">
        <w:rPr>
          <w:rFonts w:ascii="Arial" w:hAnsi="Arial" w:cs="Arial"/>
          <w:sz w:val="22"/>
        </w:rPr>
        <w:t>LIBOR</w:t>
      </w:r>
      <w:r w:rsidR="007B6BE3" w:rsidRPr="00E04BE0">
        <w:rPr>
          <w:rFonts w:ascii="Arial" w:hAnsi="Arial" w:cs="Arial"/>
          <w:sz w:val="22"/>
          <w:vertAlign w:val="superscript"/>
        </w:rPr>
        <w:footnoteReference w:id="9"/>
      </w:r>
      <w:r w:rsidR="007B6BE3" w:rsidRPr="00E04BE0">
        <w:rPr>
          <w:rFonts w:ascii="Arial" w:hAnsi="Arial" w:cs="Arial"/>
          <w:sz w:val="22"/>
        </w:rPr>
        <w:t xml:space="preserve"> </w:t>
      </w:r>
      <w:r w:rsidRPr="00E04BE0">
        <w:rPr>
          <w:rFonts w:ascii="Arial" w:hAnsi="Arial" w:cs="Arial"/>
          <w:sz w:val="22"/>
        </w:rPr>
        <w:t>и</w:t>
      </w:r>
      <w:r w:rsidR="007B6BE3" w:rsidRPr="00E04BE0">
        <w:rPr>
          <w:rFonts w:ascii="Arial" w:hAnsi="Arial" w:cs="Arial"/>
          <w:sz w:val="22"/>
        </w:rPr>
        <w:t xml:space="preserve"> </w:t>
      </w:r>
      <w:r w:rsidR="00E04BE0" w:rsidRPr="00E04BE0">
        <w:rPr>
          <w:rFonts w:ascii="Arial" w:hAnsi="Arial" w:cs="Arial"/>
          <w:sz w:val="22"/>
        </w:rPr>
        <w:t>EURIBOR</w:t>
      </w:r>
      <w:r w:rsidR="007B6BE3" w:rsidRPr="00E04BE0">
        <w:rPr>
          <w:rFonts w:ascii="Arial" w:hAnsi="Arial" w:cs="Arial"/>
          <w:sz w:val="22"/>
          <w:vertAlign w:val="superscript"/>
        </w:rPr>
        <w:footnoteReference w:id="10"/>
      </w:r>
      <w:r w:rsidR="007B6BE3" w:rsidRPr="00E04BE0">
        <w:rPr>
          <w:rFonts w:ascii="Arial" w:hAnsi="Arial" w:cs="Arial"/>
          <w:sz w:val="22"/>
        </w:rPr>
        <w:t xml:space="preserve"> </w:t>
      </w:r>
      <w:r w:rsidRPr="00E04BE0">
        <w:rPr>
          <w:rFonts w:ascii="Arial" w:hAnsi="Arial" w:cs="Arial"/>
          <w:sz w:val="22"/>
        </w:rPr>
        <w:t>коришћени</w:t>
      </w:r>
      <w:r w:rsidR="007B6BE3" w:rsidRPr="00E04BE0">
        <w:rPr>
          <w:rFonts w:ascii="Arial" w:hAnsi="Arial" w:cs="Arial"/>
          <w:sz w:val="22"/>
        </w:rPr>
        <w:t xml:space="preserve"> </w:t>
      </w:r>
      <w:r w:rsidRPr="00E04BE0">
        <w:rPr>
          <w:rFonts w:ascii="Arial" w:hAnsi="Arial" w:cs="Arial"/>
          <w:sz w:val="22"/>
        </w:rPr>
        <w:t>су</w:t>
      </w:r>
      <w:r w:rsidR="007B6BE3" w:rsidRPr="00E04BE0">
        <w:rPr>
          <w:rFonts w:ascii="Arial" w:hAnsi="Arial" w:cs="Arial"/>
          <w:sz w:val="22"/>
        </w:rPr>
        <w:t xml:space="preserve"> </w:t>
      </w:r>
      <w:r w:rsidRPr="00E04BE0">
        <w:rPr>
          <w:rFonts w:ascii="Arial" w:hAnsi="Arial" w:cs="Arial"/>
          <w:sz w:val="22"/>
        </w:rPr>
        <w:t>тренутни</w:t>
      </w:r>
      <w:r w:rsidR="007B6BE3" w:rsidRPr="00E04BE0">
        <w:rPr>
          <w:rFonts w:ascii="Arial" w:hAnsi="Arial" w:cs="Arial"/>
          <w:sz w:val="22"/>
        </w:rPr>
        <w:t xml:space="preserve"> </w:t>
      </w:r>
      <w:r w:rsidRPr="00E04BE0">
        <w:rPr>
          <w:rFonts w:ascii="Arial" w:hAnsi="Arial" w:cs="Arial"/>
          <w:sz w:val="22"/>
        </w:rPr>
        <w:t>подаци</w:t>
      </w:r>
      <w:r w:rsidR="007B6BE3" w:rsidRPr="00E04BE0">
        <w:rPr>
          <w:rFonts w:ascii="Arial" w:hAnsi="Arial" w:cs="Arial"/>
          <w:sz w:val="22"/>
        </w:rPr>
        <w:t xml:space="preserve"> </w:t>
      </w:r>
      <w:r w:rsidRPr="00E04BE0">
        <w:rPr>
          <w:rFonts w:ascii="Arial" w:hAnsi="Arial" w:cs="Arial"/>
          <w:sz w:val="22"/>
        </w:rPr>
        <w:t>о</w:t>
      </w:r>
      <w:r w:rsidR="007B6BE3" w:rsidRPr="00E04BE0">
        <w:rPr>
          <w:rFonts w:ascii="Arial" w:hAnsi="Arial" w:cs="Arial"/>
          <w:sz w:val="22"/>
        </w:rPr>
        <w:t xml:space="preserve"> </w:t>
      </w:r>
      <w:r w:rsidRPr="00E04BE0">
        <w:rPr>
          <w:rFonts w:ascii="Arial" w:hAnsi="Arial" w:cs="Arial"/>
          <w:sz w:val="22"/>
        </w:rPr>
        <w:t>овим</w:t>
      </w:r>
      <w:r w:rsidR="007B6BE3" w:rsidRPr="00E04BE0">
        <w:rPr>
          <w:rFonts w:ascii="Arial" w:hAnsi="Arial" w:cs="Arial"/>
          <w:sz w:val="22"/>
        </w:rPr>
        <w:t xml:space="preserve"> </w:t>
      </w:r>
      <w:r w:rsidRPr="00E04BE0">
        <w:rPr>
          <w:rFonts w:ascii="Arial" w:hAnsi="Arial" w:cs="Arial"/>
          <w:sz w:val="22"/>
        </w:rPr>
        <w:t>каматним</w:t>
      </w:r>
      <w:r w:rsidR="007B6BE3" w:rsidRPr="00E04BE0">
        <w:rPr>
          <w:rFonts w:ascii="Arial" w:hAnsi="Arial" w:cs="Arial"/>
          <w:sz w:val="22"/>
        </w:rPr>
        <w:t xml:space="preserve"> </w:t>
      </w:r>
      <w:r w:rsidRPr="00E04BE0">
        <w:rPr>
          <w:rFonts w:ascii="Arial" w:hAnsi="Arial" w:cs="Arial"/>
          <w:sz w:val="22"/>
        </w:rPr>
        <w:t>стопама</w:t>
      </w:r>
      <w:r w:rsidR="007B6BE3" w:rsidRPr="00E04BE0">
        <w:rPr>
          <w:rFonts w:ascii="Arial" w:hAnsi="Arial" w:cs="Arial"/>
          <w:sz w:val="22"/>
        </w:rPr>
        <w:t xml:space="preserve"> </w:t>
      </w:r>
      <w:r w:rsidRPr="00E04BE0">
        <w:rPr>
          <w:rFonts w:ascii="Arial" w:hAnsi="Arial" w:cs="Arial"/>
          <w:sz w:val="22"/>
        </w:rPr>
        <w:t>уз</w:t>
      </w:r>
      <w:r w:rsidR="007B6BE3" w:rsidRPr="00E04BE0">
        <w:rPr>
          <w:rFonts w:ascii="Arial" w:hAnsi="Arial" w:cs="Arial"/>
          <w:sz w:val="22"/>
        </w:rPr>
        <w:t xml:space="preserve"> </w:t>
      </w:r>
      <w:r w:rsidRPr="00E04BE0">
        <w:rPr>
          <w:rFonts w:ascii="Arial" w:hAnsi="Arial" w:cs="Arial"/>
          <w:sz w:val="22"/>
        </w:rPr>
        <w:t>претпоставку</w:t>
      </w:r>
      <w:r w:rsidR="007B6BE3" w:rsidRPr="00E04BE0">
        <w:rPr>
          <w:rFonts w:ascii="Arial" w:hAnsi="Arial" w:cs="Arial"/>
          <w:sz w:val="22"/>
        </w:rPr>
        <w:t xml:space="preserve"> </w:t>
      </w:r>
      <w:r w:rsidRPr="00E04BE0">
        <w:rPr>
          <w:rFonts w:ascii="Arial" w:hAnsi="Arial" w:cs="Arial"/>
          <w:sz w:val="22"/>
        </w:rPr>
        <w:t>да</w:t>
      </w:r>
      <w:r w:rsidR="007B6BE3" w:rsidRPr="00E04BE0">
        <w:rPr>
          <w:rFonts w:ascii="Arial" w:hAnsi="Arial" w:cs="Arial"/>
          <w:sz w:val="22"/>
        </w:rPr>
        <w:t xml:space="preserve"> </w:t>
      </w:r>
      <w:r w:rsidRPr="00E04BE0">
        <w:rPr>
          <w:rFonts w:ascii="Arial" w:hAnsi="Arial" w:cs="Arial"/>
          <w:sz w:val="22"/>
        </w:rPr>
        <w:t>ће</w:t>
      </w:r>
      <w:r w:rsidR="007B6BE3" w:rsidRPr="00E04BE0">
        <w:rPr>
          <w:rFonts w:ascii="Arial" w:hAnsi="Arial" w:cs="Arial"/>
          <w:sz w:val="22"/>
        </w:rPr>
        <w:t xml:space="preserve"> </w:t>
      </w:r>
      <w:r w:rsidRPr="00E04BE0">
        <w:rPr>
          <w:rFonts w:ascii="Arial" w:hAnsi="Arial" w:cs="Arial"/>
          <w:sz w:val="22"/>
        </w:rPr>
        <w:t>разлика</w:t>
      </w:r>
      <w:r w:rsidR="007B6BE3" w:rsidRPr="00E04BE0">
        <w:rPr>
          <w:rFonts w:ascii="Arial" w:hAnsi="Arial" w:cs="Arial"/>
          <w:sz w:val="22"/>
        </w:rPr>
        <w:t xml:space="preserve"> </w:t>
      </w:r>
      <w:r w:rsidRPr="00E04BE0">
        <w:rPr>
          <w:rFonts w:ascii="Arial" w:hAnsi="Arial" w:cs="Arial"/>
          <w:sz w:val="22"/>
        </w:rPr>
        <w:t>између</w:t>
      </w:r>
      <w:r w:rsidR="007B6BE3" w:rsidRPr="00E04BE0">
        <w:rPr>
          <w:rFonts w:ascii="Arial" w:hAnsi="Arial" w:cs="Arial"/>
          <w:sz w:val="22"/>
        </w:rPr>
        <w:t xml:space="preserve"> </w:t>
      </w:r>
      <w:r w:rsidRPr="00E04BE0">
        <w:rPr>
          <w:rFonts w:ascii="Arial" w:hAnsi="Arial" w:cs="Arial"/>
          <w:sz w:val="22"/>
        </w:rPr>
        <w:t>вриједности</w:t>
      </w:r>
      <w:r w:rsidR="007B6BE3" w:rsidRPr="00E04BE0">
        <w:rPr>
          <w:rFonts w:ascii="Arial" w:hAnsi="Arial" w:cs="Arial"/>
          <w:sz w:val="22"/>
        </w:rPr>
        <w:t xml:space="preserve"> </w:t>
      </w:r>
      <w:r w:rsidRPr="00E04BE0">
        <w:rPr>
          <w:rFonts w:ascii="Arial" w:hAnsi="Arial" w:cs="Arial"/>
          <w:sz w:val="22"/>
        </w:rPr>
        <w:lastRenderedPageBreak/>
        <w:t>шестомјесечног</w:t>
      </w:r>
      <w:r w:rsidR="007B6BE3" w:rsidRPr="00E04BE0">
        <w:rPr>
          <w:rFonts w:ascii="Arial" w:hAnsi="Arial" w:cs="Arial"/>
          <w:sz w:val="22"/>
        </w:rPr>
        <w:t xml:space="preserve"> </w:t>
      </w:r>
      <w:r w:rsidR="00E04BE0" w:rsidRPr="00E04BE0">
        <w:rPr>
          <w:rFonts w:ascii="Arial" w:hAnsi="Arial" w:cs="Arial"/>
          <w:sz w:val="22"/>
        </w:rPr>
        <w:t>EURIBOR</w:t>
      </w:r>
      <w:r w:rsidR="007B6BE3" w:rsidRPr="00E04BE0">
        <w:rPr>
          <w:rFonts w:ascii="Arial" w:hAnsi="Arial" w:cs="Arial"/>
          <w:sz w:val="22"/>
        </w:rPr>
        <w:t xml:space="preserve"> (</w:t>
      </w:r>
      <w:r w:rsidR="00E04BE0" w:rsidRPr="00E04BE0">
        <w:rPr>
          <w:rFonts w:ascii="Arial" w:hAnsi="Arial" w:cs="Arial"/>
          <w:sz w:val="22"/>
        </w:rPr>
        <w:t>LIBOR</w:t>
      </w:r>
      <w:r w:rsidR="007B6BE3" w:rsidRPr="00E04BE0">
        <w:rPr>
          <w:rFonts w:ascii="Arial" w:hAnsi="Arial" w:cs="Arial"/>
          <w:sz w:val="22"/>
        </w:rPr>
        <w:t xml:space="preserve">) </w:t>
      </w:r>
      <w:r w:rsidRPr="00E04BE0">
        <w:rPr>
          <w:rFonts w:ascii="Arial" w:hAnsi="Arial" w:cs="Arial"/>
          <w:sz w:val="22"/>
        </w:rPr>
        <w:t>и</w:t>
      </w:r>
      <w:r w:rsidR="007B6BE3" w:rsidRPr="00E04BE0">
        <w:rPr>
          <w:rFonts w:ascii="Arial" w:hAnsi="Arial" w:cs="Arial"/>
          <w:sz w:val="22"/>
        </w:rPr>
        <w:t xml:space="preserve"> </w:t>
      </w:r>
      <w:r w:rsidRPr="00E04BE0">
        <w:rPr>
          <w:rFonts w:ascii="Arial" w:hAnsi="Arial" w:cs="Arial"/>
          <w:sz w:val="22"/>
        </w:rPr>
        <w:t>приноса</w:t>
      </w:r>
      <w:r w:rsidR="007B6BE3" w:rsidRPr="00E04BE0">
        <w:rPr>
          <w:rFonts w:ascii="Arial" w:hAnsi="Arial" w:cs="Arial"/>
          <w:sz w:val="22"/>
        </w:rPr>
        <w:t xml:space="preserve"> </w:t>
      </w:r>
      <w:r>
        <w:rPr>
          <w:rFonts w:ascii="Arial" w:hAnsi="Arial" w:cs="Arial"/>
          <w:sz w:val="22"/>
        </w:rPr>
        <w:t>на</w:t>
      </w:r>
      <w:r w:rsidR="007B6BE3" w:rsidRPr="0087376B">
        <w:rPr>
          <w:rFonts w:ascii="Arial" w:hAnsi="Arial" w:cs="Arial"/>
          <w:sz w:val="22"/>
        </w:rPr>
        <w:t xml:space="preserve"> </w:t>
      </w:r>
      <w:r>
        <w:rPr>
          <w:rFonts w:ascii="Arial" w:hAnsi="Arial" w:cs="Arial"/>
          <w:sz w:val="22"/>
        </w:rPr>
        <w:t>њемачке</w:t>
      </w:r>
      <w:r w:rsidR="007B6BE3" w:rsidRPr="0087376B">
        <w:rPr>
          <w:rFonts w:ascii="Arial" w:hAnsi="Arial" w:cs="Arial"/>
          <w:sz w:val="22"/>
        </w:rPr>
        <w:t xml:space="preserve"> </w:t>
      </w:r>
      <w:r>
        <w:rPr>
          <w:rFonts w:ascii="Arial" w:hAnsi="Arial" w:cs="Arial"/>
          <w:sz w:val="22"/>
        </w:rPr>
        <w:t>једногодишње</w:t>
      </w:r>
      <w:r w:rsidR="007B6BE3" w:rsidRPr="0087376B">
        <w:rPr>
          <w:rFonts w:ascii="Arial" w:hAnsi="Arial" w:cs="Arial"/>
          <w:sz w:val="22"/>
        </w:rPr>
        <w:t xml:space="preserve"> </w:t>
      </w:r>
      <w:r>
        <w:rPr>
          <w:rFonts w:ascii="Arial" w:hAnsi="Arial" w:cs="Arial"/>
          <w:sz w:val="22"/>
        </w:rPr>
        <w:t>обвезнице</w:t>
      </w:r>
      <w:r w:rsidR="007B6BE3" w:rsidRPr="0087376B">
        <w:rPr>
          <w:rFonts w:ascii="Arial" w:hAnsi="Arial" w:cs="Arial"/>
          <w:sz w:val="22"/>
        </w:rPr>
        <w:t xml:space="preserve"> (</w:t>
      </w:r>
      <w:r>
        <w:rPr>
          <w:rFonts w:ascii="Arial" w:hAnsi="Arial" w:cs="Arial"/>
          <w:sz w:val="22"/>
        </w:rPr>
        <w:t>америчке</w:t>
      </w:r>
      <w:r w:rsidR="007B6BE3" w:rsidRPr="0087376B">
        <w:rPr>
          <w:rFonts w:ascii="Arial" w:hAnsi="Arial" w:cs="Arial"/>
          <w:sz w:val="22"/>
        </w:rPr>
        <w:t xml:space="preserve"> </w:t>
      </w:r>
      <w:r>
        <w:rPr>
          <w:rFonts w:ascii="Arial" w:hAnsi="Arial" w:cs="Arial"/>
          <w:sz w:val="22"/>
        </w:rPr>
        <w:t>једногодишње</w:t>
      </w:r>
      <w:r w:rsidR="007B6BE3" w:rsidRPr="0087376B">
        <w:rPr>
          <w:rFonts w:ascii="Arial" w:hAnsi="Arial" w:cs="Arial"/>
          <w:sz w:val="22"/>
        </w:rPr>
        <w:t xml:space="preserve"> </w:t>
      </w:r>
      <w:r>
        <w:rPr>
          <w:rFonts w:ascii="Arial" w:hAnsi="Arial" w:cs="Arial"/>
          <w:sz w:val="22"/>
        </w:rPr>
        <w:t>обвезнице</w:t>
      </w:r>
      <w:r w:rsidR="007B6BE3" w:rsidRPr="0087376B">
        <w:rPr>
          <w:rFonts w:ascii="Arial" w:hAnsi="Arial" w:cs="Arial"/>
          <w:sz w:val="22"/>
        </w:rPr>
        <w:t xml:space="preserve">) </w:t>
      </w:r>
      <w:r>
        <w:rPr>
          <w:rFonts w:ascii="Arial" w:hAnsi="Arial" w:cs="Arial"/>
          <w:sz w:val="22"/>
        </w:rPr>
        <w:t>бити</w:t>
      </w:r>
      <w:r w:rsidR="007B6BE3" w:rsidRPr="0087376B">
        <w:rPr>
          <w:rFonts w:ascii="Arial" w:hAnsi="Arial" w:cs="Arial"/>
          <w:sz w:val="22"/>
        </w:rPr>
        <w:t xml:space="preserve"> </w:t>
      </w:r>
      <w:r>
        <w:rPr>
          <w:rFonts w:ascii="Arial" w:hAnsi="Arial" w:cs="Arial"/>
          <w:sz w:val="22"/>
        </w:rPr>
        <w:t>једнака</w:t>
      </w:r>
      <w:r w:rsidR="007B6BE3" w:rsidRPr="0087376B">
        <w:rPr>
          <w:rFonts w:ascii="Arial" w:hAnsi="Arial" w:cs="Arial"/>
          <w:sz w:val="22"/>
        </w:rPr>
        <w:t xml:space="preserve"> </w:t>
      </w:r>
      <w:r>
        <w:rPr>
          <w:rFonts w:ascii="Arial" w:hAnsi="Arial" w:cs="Arial"/>
          <w:sz w:val="22"/>
        </w:rPr>
        <w:t>током</w:t>
      </w:r>
      <w:r w:rsidR="007B6BE3" w:rsidRPr="0087376B">
        <w:rPr>
          <w:rFonts w:ascii="Arial" w:hAnsi="Arial" w:cs="Arial"/>
          <w:sz w:val="22"/>
        </w:rPr>
        <w:t xml:space="preserve"> </w:t>
      </w:r>
      <w:r>
        <w:rPr>
          <w:rFonts w:ascii="Arial" w:hAnsi="Arial" w:cs="Arial"/>
          <w:sz w:val="22"/>
        </w:rPr>
        <w:t>периода</w:t>
      </w:r>
      <w:r w:rsidR="007B6BE3" w:rsidRPr="0087376B">
        <w:rPr>
          <w:rFonts w:ascii="Arial" w:hAnsi="Arial" w:cs="Arial"/>
          <w:sz w:val="22"/>
        </w:rPr>
        <w:t xml:space="preserve"> 2023-2025. </w:t>
      </w:r>
      <w:r>
        <w:rPr>
          <w:rFonts w:ascii="Arial" w:hAnsi="Arial" w:cs="Arial"/>
          <w:sz w:val="22"/>
        </w:rPr>
        <w:t>година</w:t>
      </w:r>
      <w:r w:rsidR="007B6BE3" w:rsidRPr="0087376B">
        <w:rPr>
          <w:rFonts w:ascii="Arial" w:hAnsi="Arial" w:cs="Arial"/>
          <w:sz w:val="22"/>
        </w:rPr>
        <w:t xml:space="preserve">. </w:t>
      </w:r>
    </w:p>
    <w:p w14:paraId="4FB28989" w14:textId="77777777" w:rsidR="007B6BE3" w:rsidRPr="0087376B" w:rsidRDefault="007B6BE3" w:rsidP="007B6BE3">
      <w:pPr>
        <w:pStyle w:val="ParagraphNumbering"/>
        <w:keepNext/>
        <w:numPr>
          <w:ilvl w:val="0"/>
          <w:numId w:val="0"/>
        </w:numPr>
        <w:spacing w:after="0" w:line="276" w:lineRule="auto"/>
        <w:ind w:firstLine="420"/>
        <w:jc w:val="both"/>
        <w:rPr>
          <w:rFonts w:ascii="Arial" w:hAnsi="Arial" w:cs="Arial"/>
          <w:sz w:val="22"/>
        </w:rPr>
      </w:pPr>
    </w:p>
    <w:p w14:paraId="0F5326C3" w14:textId="77777777" w:rsidR="007B6BE3" w:rsidRPr="0087376B" w:rsidRDefault="005B20F8" w:rsidP="007B6BE3">
      <w:pPr>
        <w:pStyle w:val="ParagraphNumbering"/>
        <w:keepNext/>
        <w:numPr>
          <w:ilvl w:val="0"/>
          <w:numId w:val="0"/>
        </w:numPr>
        <w:spacing w:after="0" w:line="276" w:lineRule="auto"/>
        <w:ind w:firstLine="420"/>
        <w:jc w:val="both"/>
        <w:rPr>
          <w:rFonts w:ascii="Arial" w:hAnsi="Arial" w:cs="Arial"/>
          <w:sz w:val="22"/>
          <w:szCs w:val="22"/>
        </w:rPr>
      </w:pPr>
      <w:r>
        <w:rPr>
          <w:rFonts w:ascii="Arial" w:hAnsi="Arial" w:cs="Arial"/>
          <w:sz w:val="22"/>
        </w:rPr>
        <w:t>Ове</w:t>
      </w:r>
      <w:r w:rsidR="007B6BE3" w:rsidRPr="0087376B">
        <w:rPr>
          <w:rFonts w:ascii="Arial" w:hAnsi="Arial" w:cs="Arial"/>
          <w:sz w:val="22"/>
        </w:rPr>
        <w:t xml:space="preserve"> </w:t>
      </w:r>
      <w:r>
        <w:rPr>
          <w:rFonts w:ascii="Arial" w:hAnsi="Arial" w:cs="Arial"/>
          <w:sz w:val="22"/>
        </w:rPr>
        <w:t>каматне</w:t>
      </w:r>
      <w:r w:rsidR="007B6BE3" w:rsidRPr="0087376B">
        <w:rPr>
          <w:rFonts w:ascii="Arial" w:hAnsi="Arial" w:cs="Arial"/>
          <w:sz w:val="22"/>
        </w:rPr>
        <w:t xml:space="preserve"> </w:t>
      </w:r>
      <w:r>
        <w:rPr>
          <w:rFonts w:ascii="Arial" w:hAnsi="Arial" w:cs="Arial"/>
          <w:sz w:val="22"/>
        </w:rPr>
        <w:t>стопе</w:t>
      </w:r>
      <w:r w:rsidR="007B6BE3" w:rsidRPr="0087376B">
        <w:rPr>
          <w:rFonts w:ascii="Arial" w:hAnsi="Arial" w:cs="Arial"/>
          <w:sz w:val="22"/>
        </w:rPr>
        <w:t xml:space="preserve"> </w:t>
      </w:r>
      <w:r>
        <w:rPr>
          <w:rFonts w:ascii="Arial" w:hAnsi="Arial" w:cs="Arial"/>
          <w:sz w:val="22"/>
        </w:rPr>
        <w:t>представљају</w:t>
      </w:r>
      <w:r w:rsidR="007B6BE3" w:rsidRPr="0087376B">
        <w:rPr>
          <w:rFonts w:ascii="Arial" w:hAnsi="Arial" w:cs="Arial"/>
          <w:sz w:val="22"/>
        </w:rPr>
        <w:t xml:space="preserve"> </w:t>
      </w:r>
      <w:r>
        <w:rPr>
          <w:rFonts w:ascii="Arial" w:hAnsi="Arial" w:cs="Arial"/>
          <w:sz w:val="22"/>
        </w:rPr>
        <w:t>референтне</w:t>
      </w:r>
      <w:r w:rsidR="007B6BE3" w:rsidRPr="0087376B">
        <w:rPr>
          <w:rFonts w:ascii="Arial" w:hAnsi="Arial" w:cs="Arial"/>
          <w:sz w:val="22"/>
        </w:rPr>
        <w:t xml:space="preserve"> </w:t>
      </w:r>
      <w:r>
        <w:rPr>
          <w:rFonts w:ascii="Arial" w:hAnsi="Arial" w:cs="Arial"/>
          <w:sz w:val="22"/>
        </w:rPr>
        <w:t>каматне</w:t>
      </w:r>
      <w:r w:rsidR="007B6BE3" w:rsidRPr="0087376B">
        <w:rPr>
          <w:rFonts w:ascii="Arial" w:hAnsi="Arial" w:cs="Arial"/>
          <w:sz w:val="22"/>
        </w:rPr>
        <w:t xml:space="preserve"> </w:t>
      </w:r>
      <w:r>
        <w:rPr>
          <w:rFonts w:ascii="Arial" w:hAnsi="Arial" w:cs="Arial"/>
          <w:sz w:val="22"/>
        </w:rPr>
        <w:t>стопе</w:t>
      </w:r>
      <w:r w:rsidR="007B6BE3" w:rsidRPr="0087376B">
        <w:rPr>
          <w:rFonts w:ascii="Arial" w:hAnsi="Arial" w:cs="Arial"/>
          <w:sz w:val="22"/>
        </w:rPr>
        <w:t xml:space="preserve"> </w:t>
      </w:r>
      <w:r>
        <w:rPr>
          <w:rFonts w:ascii="Arial" w:hAnsi="Arial" w:cs="Arial"/>
          <w:sz w:val="22"/>
        </w:rPr>
        <w:t>за</w:t>
      </w:r>
      <w:r w:rsidR="007B6BE3" w:rsidRPr="0087376B">
        <w:rPr>
          <w:rFonts w:ascii="Arial" w:hAnsi="Arial" w:cs="Arial"/>
          <w:sz w:val="22"/>
        </w:rPr>
        <w:t xml:space="preserve"> </w:t>
      </w:r>
      <w:r>
        <w:rPr>
          <w:rFonts w:ascii="Arial" w:hAnsi="Arial" w:cs="Arial"/>
          <w:sz w:val="22"/>
        </w:rPr>
        <w:t>инструменте</w:t>
      </w:r>
      <w:r w:rsidR="007B6BE3" w:rsidRPr="0087376B">
        <w:rPr>
          <w:rFonts w:ascii="Arial" w:hAnsi="Arial" w:cs="Arial"/>
          <w:sz w:val="22"/>
        </w:rPr>
        <w:t xml:space="preserve"> </w:t>
      </w:r>
      <w:r>
        <w:rPr>
          <w:rFonts w:ascii="Arial" w:hAnsi="Arial" w:cs="Arial"/>
          <w:sz w:val="22"/>
        </w:rPr>
        <w:t>дуга</w:t>
      </w:r>
      <w:r w:rsidR="007B6BE3" w:rsidRPr="0087376B">
        <w:rPr>
          <w:rFonts w:ascii="Arial" w:hAnsi="Arial" w:cs="Arial"/>
          <w:sz w:val="22"/>
        </w:rPr>
        <w:t xml:space="preserve"> </w:t>
      </w:r>
      <w:r>
        <w:rPr>
          <w:rFonts w:ascii="Arial" w:hAnsi="Arial" w:cs="Arial"/>
          <w:sz w:val="22"/>
        </w:rPr>
        <w:t>са</w:t>
      </w:r>
      <w:r w:rsidR="007B6BE3" w:rsidRPr="0087376B">
        <w:rPr>
          <w:rFonts w:ascii="Arial" w:hAnsi="Arial" w:cs="Arial"/>
          <w:sz w:val="22"/>
        </w:rPr>
        <w:t xml:space="preserve"> </w:t>
      </w:r>
      <w:r>
        <w:rPr>
          <w:rFonts w:ascii="Arial" w:hAnsi="Arial" w:cs="Arial"/>
          <w:sz w:val="22"/>
        </w:rPr>
        <w:t>промјењивим</w:t>
      </w:r>
      <w:r w:rsidR="007B6BE3" w:rsidRPr="0087376B">
        <w:rPr>
          <w:rFonts w:ascii="Arial" w:hAnsi="Arial" w:cs="Arial"/>
          <w:sz w:val="22"/>
        </w:rPr>
        <w:t xml:space="preserve"> </w:t>
      </w:r>
      <w:r>
        <w:rPr>
          <w:rFonts w:ascii="Arial" w:hAnsi="Arial" w:cs="Arial"/>
          <w:sz w:val="22"/>
        </w:rPr>
        <w:t>каматама</w:t>
      </w:r>
      <w:r w:rsidR="007B6BE3" w:rsidRPr="0087376B">
        <w:rPr>
          <w:rFonts w:ascii="Arial" w:hAnsi="Arial" w:cs="Arial"/>
          <w:sz w:val="22"/>
        </w:rPr>
        <w:t xml:space="preserve">, </w:t>
      </w:r>
      <w:r>
        <w:rPr>
          <w:rFonts w:ascii="Arial" w:hAnsi="Arial" w:cs="Arial"/>
          <w:sz w:val="22"/>
        </w:rPr>
        <w:t>док</w:t>
      </w:r>
      <w:r w:rsidR="007B6BE3" w:rsidRPr="0087376B">
        <w:rPr>
          <w:rFonts w:ascii="Arial" w:hAnsi="Arial" w:cs="Arial"/>
          <w:sz w:val="22"/>
        </w:rPr>
        <w:t xml:space="preserve"> </w:t>
      </w:r>
      <w:r>
        <w:rPr>
          <w:rFonts w:ascii="Arial" w:hAnsi="Arial" w:cs="Arial"/>
          <w:sz w:val="22"/>
        </w:rPr>
        <w:t>су</w:t>
      </w:r>
      <w:r w:rsidR="007B6BE3" w:rsidRPr="0087376B">
        <w:rPr>
          <w:rFonts w:ascii="Arial" w:hAnsi="Arial" w:cs="Arial"/>
          <w:sz w:val="22"/>
        </w:rPr>
        <w:t xml:space="preserve"> </w:t>
      </w:r>
      <w:r>
        <w:rPr>
          <w:rFonts w:ascii="Arial" w:hAnsi="Arial" w:cs="Arial"/>
          <w:sz w:val="22"/>
        </w:rPr>
        <w:t>за</w:t>
      </w:r>
      <w:r w:rsidR="007B6BE3" w:rsidRPr="0087376B">
        <w:rPr>
          <w:rFonts w:ascii="Arial" w:hAnsi="Arial" w:cs="Arial"/>
          <w:sz w:val="22"/>
        </w:rPr>
        <w:t xml:space="preserve"> </w:t>
      </w:r>
      <w:r>
        <w:rPr>
          <w:rFonts w:ascii="Arial" w:hAnsi="Arial" w:cs="Arial"/>
          <w:sz w:val="22"/>
        </w:rPr>
        <w:t>инструменте</w:t>
      </w:r>
      <w:r w:rsidR="007B6BE3" w:rsidRPr="0087376B">
        <w:rPr>
          <w:rFonts w:ascii="Arial" w:hAnsi="Arial" w:cs="Arial"/>
          <w:sz w:val="22"/>
        </w:rPr>
        <w:t xml:space="preserve"> </w:t>
      </w:r>
      <w:r>
        <w:rPr>
          <w:rFonts w:ascii="Arial" w:hAnsi="Arial" w:cs="Arial"/>
          <w:sz w:val="22"/>
        </w:rPr>
        <w:t>дуга</w:t>
      </w:r>
      <w:r w:rsidR="007B6BE3" w:rsidRPr="0087376B">
        <w:rPr>
          <w:rFonts w:ascii="Arial" w:hAnsi="Arial" w:cs="Arial"/>
          <w:sz w:val="22"/>
        </w:rPr>
        <w:t xml:space="preserve"> </w:t>
      </w:r>
      <w:r>
        <w:rPr>
          <w:rFonts w:ascii="Arial" w:hAnsi="Arial" w:cs="Arial"/>
          <w:sz w:val="22"/>
        </w:rPr>
        <w:t>са</w:t>
      </w:r>
      <w:r w:rsidR="007B6BE3" w:rsidRPr="0087376B">
        <w:rPr>
          <w:rFonts w:ascii="Arial" w:hAnsi="Arial" w:cs="Arial"/>
          <w:sz w:val="22"/>
        </w:rPr>
        <w:t xml:space="preserve"> </w:t>
      </w:r>
      <w:r>
        <w:rPr>
          <w:rFonts w:ascii="Arial" w:hAnsi="Arial" w:cs="Arial"/>
          <w:sz w:val="22"/>
        </w:rPr>
        <w:t>фиксном</w:t>
      </w:r>
      <w:r w:rsidR="007B6BE3" w:rsidRPr="0087376B">
        <w:rPr>
          <w:rFonts w:ascii="Arial" w:hAnsi="Arial" w:cs="Arial"/>
          <w:sz w:val="22"/>
        </w:rPr>
        <w:t xml:space="preserve"> </w:t>
      </w:r>
      <w:r>
        <w:rPr>
          <w:rFonts w:ascii="Arial" w:hAnsi="Arial" w:cs="Arial"/>
          <w:sz w:val="22"/>
        </w:rPr>
        <w:t>каматном</w:t>
      </w:r>
      <w:r w:rsidR="007B6BE3" w:rsidRPr="0087376B">
        <w:rPr>
          <w:rFonts w:ascii="Arial" w:hAnsi="Arial" w:cs="Arial"/>
          <w:sz w:val="22"/>
        </w:rPr>
        <w:t xml:space="preserve"> </w:t>
      </w:r>
      <w:r>
        <w:rPr>
          <w:rFonts w:ascii="Arial" w:hAnsi="Arial" w:cs="Arial"/>
          <w:sz w:val="22"/>
        </w:rPr>
        <w:t>стопом</w:t>
      </w:r>
      <w:r w:rsidR="007B6BE3" w:rsidRPr="0087376B">
        <w:rPr>
          <w:rFonts w:ascii="Arial" w:hAnsi="Arial" w:cs="Arial"/>
          <w:sz w:val="22"/>
        </w:rPr>
        <w:t xml:space="preserve"> </w:t>
      </w:r>
      <w:r>
        <w:rPr>
          <w:rFonts w:ascii="Arial" w:hAnsi="Arial" w:cs="Arial"/>
          <w:sz w:val="22"/>
        </w:rPr>
        <w:t>приликом</w:t>
      </w:r>
      <w:r w:rsidR="007B6BE3" w:rsidRPr="0087376B">
        <w:rPr>
          <w:rFonts w:ascii="Arial" w:hAnsi="Arial" w:cs="Arial"/>
          <w:sz w:val="22"/>
        </w:rPr>
        <w:t xml:space="preserve"> </w:t>
      </w:r>
      <w:r>
        <w:rPr>
          <w:rFonts w:ascii="Arial" w:hAnsi="Arial" w:cs="Arial"/>
          <w:sz w:val="22"/>
          <w:szCs w:val="22"/>
        </w:rPr>
        <w:t>процјена</w:t>
      </w:r>
      <w:r w:rsidR="007B6BE3" w:rsidRPr="0087376B">
        <w:rPr>
          <w:rFonts w:ascii="Arial" w:hAnsi="Arial" w:cs="Arial"/>
          <w:sz w:val="22"/>
          <w:szCs w:val="22"/>
        </w:rPr>
        <w:t xml:space="preserve"> </w:t>
      </w:r>
      <w:r>
        <w:rPr>
          <w:rFonts w:ascii="Arial" w:hAnsi="Arial" w:cs="Arial"/>
          <w:sz w:val="22"/>
          <w:szCs w:val="22"/>
        </w:rPr>
        <w:t>висине</w:t>
      </w:r>
      <w:r w:rsidR="007B6BE3" w:rsidRPr="0087376B">
        <w:rPr>
          <w:rFonts w:ascii="Arial" w:hAnsi="Arial" w:cs="Arial"/>
          <w:sz w:val="22"/>
          <w:szCs w:val="22"/>
        </w:rPr>
        <w:t xml:space="preserve"> </w:t>
      </w:r>
      <w:r>
        <w:rPr>
          <w:rFonts w:ascii="Arial" w:hAnsi="Arial" w:cs="Arial"/>
          <w:sz w:val="22"/>
          <w:szCs w:val="22"/>
        </w:rPr>
        <w:t>камата</w:t>
      </w:r>
      <w:r w:rsidR="007B6BE3" w:rsidRPr="0087376B">
        <w:rPr>
          <w:rFonts w:ascii="Arial" w:hAnsi="Arial" w:cs="Arial"/>
          <w:sz w:val="22"/>
          <w:szCs w:val="22"/>
        </w:rPr>
        <w:t xml:space="preserve"> </w:t>
      </w:r>
      <w:r>
        <w:rPr>
          <w:rFonts w:ascii="Arial" w:hAnsi="Arial" w:cs="Arial"/>
          <w:sz w:val="22"/>
          <w:szCs w:val="22"/>
        </w:rPr>
        <w:t>узета</w:t>
      </w:r>
      <w:r w:rsidR="007B6BE3" w:rsidRPr="0087376B">
        <w:rPr>
          <w:rFonts w:ascii="Arial" w:hAnsi="Arial" w:cs="Arial"/>
          <w:sz w:val="22"/>
          <w:szCs w:val="22"/>
        </w:rPr>
        <w:t xml:space="preserve"> </w:t>
      </w:r>
      <w:r>
        <w:rPr>
          <w:rFonts w:ascii="Arial" w:hAnsi="Arial" w:cs="Arial"/>
          <w:sz w:val="22"/>
          <w:szCs w:val="22"/>
        </w:rPr>
        <w:t>у</w:t>
      </w:r>
      <w:r w:rsidR="007B6BE3" w:rsidRPr="0087376B">
        <w:rPr>
          <w:rFonts w:ascii="Arial" w:hAnsi="Arial" w:cs="Arial"/>
          <w:sz w:val="22"/>
          <w:szCs w:val="22"/>
        </w:rPr>
        <w:t xml:space="preserve"> </w:t>
      </w:r>
      <w:r>
        <w:rPr>
          <w:rFonts w:ascii="Arial" w:hAnsi="Arial" w:cs="Arial"/>
          <w:sz w:val="22"/>
          <w:szCs w:val="22"/>
        </w:rPr>
        <w:t>обзир</w:t>
      </w:r>
      <w:r w:rsidR="007B6BE3" w:rsidRPr="0087376B">
        <w:rPr>
          <w:rFonts w:ascii="Arial" w:hAnsi="Arial" w:cs="Arial"/>
          <w:sz w:val="22"/>
          <w:szCs w:val="22"/>
        </w:rPr>
        <w:t xml:space="preserve"> </w:t>
      </w:r>
      <w:r>
        <w:rPr>
          <w:rFonts w:ascii="Arial" w:hAnsi="Arial" w:cs="Arial"/>
          <w:sz w:val="22"/>
          <w:szCs w:val="22"/>
        </w:rPr>
        <w:t>постојећа</w:t>
      </w:r>
      <w:r w:rsidR="007B6BE3" w:rsidRPr="0087376B">
        <w:rPr>
          <w:rFonts w:ascii="Arial" w:hAnsi="Arial" w:cs="Arial"/>
          <w:sz w:val="22"/>
          <w:szCs w:val="22"/>
        </w:rPr>
        <w:t xml:space="preserve"> </w:t>
      </w:r>
      <w:r>
        <w:rPr>
          <w:rFonts w:ascii="Arial" w:hAnsi="Arial" w:cs="Arial"/>
          <w:sz w:val="22"/>
          <w:szCs w:val="22"/>
        </w:rPr>
        <w:t>задужења</w:t>
      </w:r>
      <w:r w:rsidR="007B6BE3" w:rsidRPr="0087376B">
        <w:rPr>
          <w:rFonts w:ascii="Arial" w:hAnsi="Arial" w:cs="Arial"/>
          <w:sz w:val="22"/>
          <w:szCs w:val="22"/>
        </w:rPr>
        <w:t xml:space="preserve">. </w:t>
      </w:r>
      <w:r>
        <w:rPr>
          <w:rFonts w:ascii="Arial" w:hAnsi="Arial" w:cs="Arial"/>
          <w:sz w:val="22"/>
          <w:szCs w:val="22"/>
        </w:rPr>
        <w:t>Кретање</w:t>
      </w:r>
      <w:r w:rsidR="007B6BE3" w:rsidRPr="0087376B">
        <w:rPr>
          <w:rFonts w:ascii="Arial" w:hAnsi="Arial" w:cs="Arial"/>
          <w:sz w:val="22"/>
          <w:szCs w:val="22"/>
        </w:rPr>
        <w:t xml:space="preserve"> </w:t>
      </w:r>
      <w:r>
        <w:rPr>
          <w:rFonts w:ascii="Arial" w:hAnsi="Arial" w:cs="Arial"/>
          <w:sz w:val="22"/>
          <w:szCs w:val="22"/>
        </w:rPr>
        <w:t>каматних</w:t>
      </w:r>
      <w:r w:rsidR="007B6BE3" w:rsidRPr="0087376B">
        <w:rPr>
          <w:rFonts w:ascii="Arial" w:hAnsi="Arial" w:cs="Arial"/>
          <w:sz w:val="22"/>
          <w:szCs w:val="22"/>
        </w:rPr>
        <w:t xml:space="preserve"> </w:t>
      </w:r>
      <w:r>
        <w:rPr>
          <w:rFonts w:ascii="Arial" w:hAnsi="Arial" w:cs="Arial"/>
          <w:sz w:val="22"/>
          <w:szCs w:val="22"/>
        </w:rPr>
        <w:t>стопа</w:t>
      </w:r>
      <w:r w:rsidR="007B6BE3" w:rsidRPr="0087376B">
        <w:rPr>
          <w:rFonts w:ascii="Arial" w:hAnsi="Arial" w:cs="Arial"/>
          <w:sz w:val="22"/>
          <w:szCs w:val="22"/>
        </w:rPr>
        <w:t xml:space="preserve"> </w:t>
      </w:r>
      <w:r>
        <w:rPr>
          <w:rFonts w:ascii="Arial" w:hAnsi="Arial" w:cs="Arial"/>
          <w:sz w:val="22"/>
          <w:szCs w:val="22"/>
        </w:rPr>
        <w:t>на</w:t>
      </w:r>
      <w:r w:rsidR="007B6BE3" w:rsidRPr="0087376B">
        <w:rPr>
          <w:rFonts w:ascii="Arial" w:hAnsi="Arial" w:cs="Arial"/>
          <w:sz w:val="22"/>
          <w:szCs w:val="22"/>
        </w:rPr>
        <w:t xml:space="preserve"> </w:t>
      </w:r>
      <w:r>
        <w:rPr>
          <w:rFonts w:ascii="Arial" w:hAnsi="Arial" w:cs="Arial"/>
          <w:sz w:val="22"/>
          <w:szCs w:val="22"/>
        </w:rPr>
        <w:t>домаћи</w:t>
      </w:r>
      <w:r w:rsidR="007B6BE3" w:rsidRPr="0087376B">
        <w:rPr>
          <w:rFonts w:ascii="Arial" w:hAnsi="Arial" w:cs="Arial"/>
          <w:sz w:val="22"/>
          <w:szCs w:val="22"/>
        </w:rPr>
        <w:t xml:space="preserve"> </w:t>
      </w:r>
      <w:r>
        <w:rPr>
          <w:rFonts w:ascii="Arial" w:hAnsi="Arial" w:cs="Arial"/>
          <w:sz w:val="22"/>
          <w:szCs w:val="22"/>
        </w:rPr>
        <w:t>дуг</w:t>
      </w:r>
      <w:r w:rsidR="007B6BE3" w:rsidRPr="0087376B">
        <w:rPr>
          <w:rFonts w:ascii="Arial" w:hAnsi="Arial" w:cs="Arial"/>
          <w:sz w:val="22"/>
          <w:szCs w:val="22"/>
        </w:rPr>
        <w:t xml:space="preserve"> </w:t>
      </w:r>
      <w:r>
        <w:rPr>
          <w:rFonts w:ascii="Arial" w:hAnsi="Arial" w:cs="Arial"/>
          <w:sz w:val="22"/>
          <w:szCs w:val="22"/>
        </w:rPr>
        <w:t>израчунато</w:t>
      </w:r>
      <w:r w:rsidR="007B6BE3" w:rsidRPr="0087376B">
        <w:rPr>
          <w:rFonts w:ascii="Arial" w:hAnsi="Arial" w:cs="Arial"/>
          <w:sz w:val="22"/>
          <w:szCs w:val="22"/>
        </w:rPr>
        <w:t xml:space="preserve"> </w:t>
      </w:r>
      <w:r>
        <w:rPr>
          <w:rFonts w:ascii="Arial" w:hAnsi="Arial" w:cs="Arial"/>
          <w:sz w:val="22"/>
          <w:szCs w:val="22"/>
        </w:rPr>
        <w:t>на</w:t>
      </w:r>
      <w:r w:rsidR="007B6BE3" w:rsidRPr="0087376B">
        <w:rPr>
          <w:rFonts w:ascii="Arial" w:hAnsi="Arial" w:cs="Arial"/>
          <w:sz w:val="22"/>
          <w:szCs w:val="22"/>
        </w:rPr>
        <w:t xml:space="preserve"> </w:t>
      </w:r>
      <w:r>
        <w:rPr>
          <w:rFonts w:ascii="Arial" w:hAnsi="Arial" w:cs="Arial"/>
          <w:sz w:val="22"/>
          <w:szCs w:val="22"/>
        </w:rPr>
        <w:t>основу</w:t>
      </w:r>
      <w:r w:rsidR="007B6BE3" w:rsidRPr="0087376B">
        <w:rPr>
          <w:rFonts w:ascii="Arial" w:hAnsi="Arial" w:cs="Arial"/>
          <w:sz w:val="22"/>
          <w:szCs w:val="22"/>
        </w:rPr>
        <w:t xml:space="preserve"> </w:t>
      </w:r>
      <w:r>
        <w:rPr>
          <w:rFonts w:ascii="Arial" w:hAnsi="Arial" w:cs="Arial"/>
          <w:sz w:val="22"/>
          <w:szCs w:val="22"/>
        </w:rPr>
        <w:t>једноставних</w:t>
      </w:r>
      <w:r w:rsidR="007B6BE3" w:rsidRPr="0087376B">
        <w:rPr>
          <w:rFonts w:ascii="Arial" w:hAnsi="Arial" w:cs="Arial"/>
          <w:sz w:val="22"/>
          <w:szCs w:val="22"/>
        </w:rPr>
        <w:t xml:space="preserve"> </w:t>
      </w:r>
      <w:r>
        <w:rPr>
          <w:rFonts w:ascii="Arial" w:hAnsi="Arial" w:cs="Arial"/>
          <w:sz w:val="22"/>
          <w:szCs w:val="22"/>
        </w:rPr>
        <w:t>очекивања</w:t>
      </w:r>
      <w:r w:rsidR="007B6BE3" w:rsidRPr="0087376B">
        <w:rPr>
          <w:rFonts w:ascii="Arial" w:hAnsi="Arial" w:cs="Arial"/>
          <w:sz w:val="22"/>
          <w:szCs w:val="22"/>
        </w:rPr>
        <w:t xml:space="preserve"> </w:t>
      </w:r>
      <w:r>
        <w:rPr>
          <w:rFonts w:ascii="Arial" w:hAnsi="Arial" w:cs="Arial"/>
          <w:sz w:val="22"/>
          <w:szCs w:val="22"/>
        </w:rPr>
        <w:t>на</w:t>
      </w:r>
      <w:r w:rsidR="007B6BE3" w:rsidRPr="0087376B">
        <w:rPr>
          <w:rFonts w:ascii="Arial" w:hAnsi="Arial" w:cs="Arial"/>
          <w:sz w:val="22"/>
          <w:szCs w:val="22"/>
        </w:rPr>
        <w:t xml:space="preserve"> </w:t>
      </w:r>
      <w:r>
        <w:rPr>
          <w:rFonts w:ascii="Arial" w:hAnsi="Arial" w:cs="Arial"/>
          <w:sz w:val="22"/>
          <w:szCs w:val="22"/>
        </w:rPr>
        <w:t>бази</w:t>
      </w:r>
      <w:r w:rsidR="007B6BE3" w:rsidRPr="0087376B">
        <w:rPr>
          <w:rFonts w:ascii="Arial" w:hAnsi="Arial" w:cs="Arial"/>
          <w:sz w:val="22"/>
          <w:szCs w:val="22"/>
        </w:rPr>
        <w:t xml:space="preserve"> </w:t>
      </w:r>
      <w:r>
        <w:rPr>
          <w:rFonts w:ascii="Arial" w:hAnsi="Arial" w:cs="Arial"/>
          <w:sz w:val="22"/>
          <w:szCs w:val="22"/>
        </w:rPr>
        <w:t>каматних</w:t>
      </w:r>
      <w:r w:rsidR="007B6BE3" w:rsidRPr="0087376B">
        <w:rPr>
          <w:rFonts w:ascii="Arial" w:hAnsi="Arial" w:cs="Arial"/>
          <w:sz w:val="22"/>
          <w:szCs w:val="22"/>
        </w:rPr>
        <w:t xml:space="preserve"> </w:t>
      </w:r>
      <w:r>
        <w:rPr>
          <w:rFonts w:ascii="Arial" w:hAnsi="Arial" w:cs="Arial"/>
          <w:sz w:val="22"/>
          <w:szCs w:val="22"/>
        </w:rPr>
        <w:t>стопа</w:t>
      </w:r>
      <w:r w:rsidR="007B6BE3" w:rsidRPr="0087376B">
        <w:rPr>
          <w:rFonts w:ascii="Arial" w:hAnsi="Arial" w:cs="Arial"/>
          <w:sz w:val="22"/>
          <w:szCs w:val="22"/>
        </w:rPr>
        <w:t xml:space="preserve"> </w:t>
      </w:r>
      <w:r>
        <w:rPr>
          <w:rFonts w:ascii="Arial" w:hAnsi="Arial" w:cs="Arial"/>
          <w:sz w:val="22"/>
          <w:szCs w:val="22"/>
        </w:rPr>
        <w:t>постојећег</w:t>
      </w:r>
      <w:r w:rsidR="007B6BE3" w:rsidRPr="0087376B">
        <w:rPr>
          <w:rFonts w:ascii="Arial" w:hAnsi="Arial" w:cs="Arial"/>
          <w:sz w:val="22"/>
          <w:szCs w:val="22"/>
        </w:rPr>
        <w:t xml:space="preserve"> </w:t>
      </w:r>
      <w:r>
        <w:rPr>
          <w:rFonts w:ascii="Arial" w:hAnsi="Arial" w:cs="Arial"/>
          <w:sz w:val="22"/>
          <w:szCs w:val="22"/>
        </w:rPr>
        <w:t>портфолија</w:t>
      </w:r>
      <w:r w:rsidR="007B6BE3" w:rsidRPr="0087376B">
        <w:rPr>
          <w:rFonts w:ascii="Arial" w:hAnsi="Arial" w:cs="Arial"/>
          <w:sz w:val="22"/>
          <w:szCs w:val="22"/>
        </w:rPr>
        <w:t xml:space="preserve"> </w:t>
      </w:r>
      <w:r>
        <w:rPr>
          <w:rFonts w:ascii="Arial" w:hAnsi="Arial" w:cs="Arial"/>
          <w:sz w:val="22"/>
          <w:szCs w:val="22"/>
        </w:rPr>
        <w:t>унутрашњег</w:t>
      </w:r>
      <w:r w:rsidR="007B6BE3" w:rsidRPr="0087376B">
        <w:rPr>
          <w:rFonts w:ascii="Arial" w:hAnsi="Arial" w:cs="Arial"/>
          <w:sz w:val="22"/>
          <w:szCs w:val="22"/>
        </w:rPr>
        <w:t xml:space="preserve"> </w:t>
      </w:r>
      <w:r>
        <w:rPr>
          <w:rFonts w:ascii="Arial" w:hAnsi="Arial" w:cs="Arial"/>
          <w:sz w:val="22"/>
          <w:szCs w:val="22"/>
        </w:rPr>
        <w:t>дуга</w:t>
      </w:r>
      <w:r w:rsidR="007B6BE3" w:rsidRPr="0087376B">
        <w:rPr>
          <w:rFonts w:ascii="Arial" w:hAnsi="Arial" w:cs="Arial"/>
          <w:sz w:val="22"/>
          <w:szCs w:val="22"/>
        </w:rPr>
        <w:t xml:space="preserve"> </w:t>
      </w:r>
      <w:r>
        <w:rPr>
          <w:rFonts w:ascii="Arial" w:hAnsi="Arial" w:cs="Arial"/>
          <w:sz w:val="22"/>
          <w:szCs w:val="22"/>
        </w:rPr>
        <w:t>Федерације</w:t>
      </w:r>
      <w:r w:rsidR="007B6BE3" w:rsidRPr="0087376B">
        <w:rPr>
          <w:rFonts w:ascii="Arial" w:hAnsi="Arial" w:cs="Arial"/>
          <w:sz w:val="22"/>
          <w:szCs w:val="22"/>
        </w:rPr>
        <w:t xml:space="preserve"> </w:t>
      </w:r>
      <w:r>
        <w:rPr>
          <w:rFonts w:ascii="Arial" w:hAnsi="Arial" w:cs="Arial"/>
          <w:sz w:val="22"/>
          <w:szCs w:val="22"/>
        </w:rPr>
        <w:t>БиХ</w:t>
      </w:r>
      <w:r w:rsidR="007B6BE3" w:rsidRPr="0087376B">
        <w:rPr>
          <w:rFonts w:ascii="Arial" w:hAnsi="Arial" w:cs="Arial"/>
          <w:sz w:val="22"/>
          <w:szCs w:val="22"/>
        </w:rPr>
        <w:t>.</w:t>
      </w:r>
    </w:p>
    <w:p w14:paraId="0402C017" w14:textId="77777777" w:rsidR="007B6BE3" w:rsidRPr="0087376B" w:rsidRDefault="007B6BE3" w:rsidP="007B6BE3">
      <w:pPr>
        <w:spacing w:after="0" w:line="240" w:lineRule="auto"/>
        <w:jc w:val="both"/>
        <w:rPr>
          <w:rFonts w:ascii="Arial" w:hAnsi="Arial" w:cs="Arial"/>
          <w:szCs w:val="24"/>
        </w:rPr>
      </w:pPr>
    </w:p>
    <w:p w14:paraId="788FDD23" w14:textId="77777777" w:rsidR="007B6BE3" w:rsidRPr="00E04BE0" w:rsidRDefault="005B20F8" w:rsidP="007B6BE3">
      <w:pPr>
        <w:spacing w:after="0" w:line="240" w:lineRule="auto"/>
        <w:jc w:val="both"/>
        <w:rPr>
          <w:rFonts w:ascii="Arial" w:hAnsi="Arial" w:cs="Arial"/>
          <w:color w:val="FF0000"/>
          <w:szCs w:val="24"/>
        </w:rPr>
      </w:pPr>
      <w:r>
        <w:rPr>
          <w:rFonts w:ascii="Arial" w:hAnsi="Arial" w:cs="Arial"/>
          <w:szCs w:val="24"/>
        </w:rPr>
        <w:t>Табела</w:t>
      </w:r>
      <w:r w:rsidR="007B6BE3" w:rsidRPr="0087376B">
        <w:rPr>
          <w:rFonts w:ascii="Arial" w:hAnsi="Arial" w:cs="Arial"/>
          <w:szCs w:val="24"/>
        </w:rPr>
        <w:t xml:space="preserve"> 10. </w:t>
      </w:r>
      <w:r>
        <w:rPr>
          <w:rFonts w:ascii="Arial" w:hAnsi="Arial" w:cs="Arial"/>
          <w:szCs w:val="24"/>
        </w:rPr>
        <w:t>Процијењене</w:t>
      </w:r>
      <w:r w:rsidR="007B6BE3" w:rsidRPr="0087376B">
        <w:rPr>
          <w:rFonts w:ascii="Arial" w:hAnsi="Arial" w:cs="Arial"/>
          <w:szCs w:val="24"/>
        </w:rPr>
        <w:t xml:space="preserve"> </w:t>
      </w:r>
      <w:r>
        <w:rPr>
          <w:rFonts w:ascii="Arial" w:hAnsi="Arial" w:cs="Arial"/>
          <w:szCs w:val="24"/>
        </w:rPr>
        <w:t>висине</w:t>
      </w:r>
      <w:r w:rsidR="007B6BE3" w:rsidRPr="0087376B">
        <w:rPr>
          <w:rFonts w:ascii="Arial" w:hAnsi="Arial" w:cs="Arial"/>
          <w:szCs w:val="24"/>
        </w:rPr>
        <w:t xml:space="preserve"> </w:t>
      </w:r>
      <w:r>
        <w:rPr>
          <w:rFonts w:ascii="Arial" w:hAnsi="Arial" w:cs="Arial"/>
          <w:szCs w:val="24"/>
        </w:rPr>
        <w:t>камата</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инструменте</w:t>
      </w:r>
      <w:r w:rsidR="007B6BE3" w:rsidRPr="0087376B">
        <w:rPr>
          <w:rFonts w:ascii="Arial" w:hAnsi="Arial" w:cs="Arial"/>
          <w:szCs w:val="24"/>
        </w:rPr>
        <w:t xml:space="preserve"> </w:t>
      </w:r>
      <w:r>
        <w:rPr>
          <w:rFonts w:ascii="Arial" w:hAnsi="Arial" w:cs="Arial"/>
          <w:szCs w:val="24"/>
        </w:rPr>
        <w:t>спољног</w:t>
      </w:r>
      <w:r w:rsidR="007B6BE3" w:rsidRPr="0087376B">
        <w:rPr>
          <w:rFonts w:ascii="Arial" w:hAnsi="Arial" w:cs="Arial"/>
          <w:szCs w:val="24"/>
        </w:rPr>
        <w:t xml:space="preserve"> </w:t>
      </w:r>
      <w:r>
        <w:rPr>
          <w:rFonts w:ascii="Arial" w:hAnsi="Arial" w:cs="Arial"/>
          <w:szCs w:val="24"/>
        </w:rPr>
        <w:t>дуга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периоду</w:t>
      </w:r>
      <w:r w:rsidR="007B6BE3" w:rsidRPr="0087376B">
        <w:rPr>
          <w:rFonts w:ascii="Arial" w:hAnsi="Arial" w:cs="Arial"/>
          <w:szCs w:val="24"/>
        </w:rPr>
        <w:t xml:space="preserve"> 2022 – 2024. </w:t>
      </w:r>
      <w:r>
        <w:rPr>
          <w:rFonts w:ascii="Arial" w:hAnsi="Arial" w:cs="Arial"/>
          <w:szCs w:val="24"/>
        </w:rPr>
        <w:t>година</w:t>
      </w:r>
      <w:r w:rsidR="007B6BE3" w:rsidRPr="0087376B">
        <w:rPr>
          <w:rFonts w:ascii="Arial" w:hAnsi="Arial" w:cs="Arial"/>
          <w:szCs w:val="24"/>
        </w:rPr>
        <w:t xml:space="preserve"> </w:t>
      </w:r>
      <w:r>
        <w:rPr>
          <w:rFonts w:ascii="Arial" w:hAnsi="Arial" w:cs="Arial"/>
          <w:szCs w:val="24"/>
        </w:rPr>
        <w:t>кориштене</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sidR="00E04BE0" w:rsidRPr="00DB5BBF">
        <w:rPr>
          <w:rFonts w:ascii="Arial" w:hAnsi="Arial" w:cs="Arial"/>
          <w:szCs w:val="24"/>
        </w:rPr>
        <w:t>MTDS AT</w:t>
      </w:r>
    </w:p>
    <w:tbl>
      <w:tblPr>
        <w:tblpPr w:leftFromText="180" w:rightFromText="180" w:vertAnchor="text" w:tblpXSpec="center" w:tblpY="1"/>
        <w:tblOverlap w:val="never"/>
        <w:tblW w:w="935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5"/>
        <w:gridCol w:w="1701"/>
        <w:gridCol w:w="1701"/>
        <w:gridCol w:w="1559"/>
      </w:tblGrid>
      <w:tr w:rsidR="007B6BE3" w:rsidRPr="0087376B" w14:paraId="088B88FC" w14:textId="77777777" w:rsidTr="007B6BE3">
        <w:trPr>
          <w:trHeight w:val="300"/>
        </w:trPr>
        <w:tc>
          <w:tcPr>
            <w:tcW w:w="4395" w:type="dxa"/>
            <w:vMerge w:val="restart"/>
            <w:shd w:val="clear" w:color="auto" w:fill="auto"/>
            <w:noWrap/>
            <w:vAlign w:val="center"/>
            <w:hideMark/>
          </w:tcPr>
          <w:p w14:paraId="42237D0E" w14:textId="77777777" w:rsidR="007B6BE3" w:rsidRPr="0087376B" w:rsidRDefault="005B20F8" w:rsidP="007B6BE3">
            <w:pPr>
              <w:spacing w:after="0" w:line="240" w:lineRule="auto"/>
              <w:jc w:val="center"/>
              <w:rPr>
                <w:rFonts w:ascii="Arial" w:eastAsia="Times New Roman" w:hAnsi="Arial" w:cs="Arial"/>
                <w:color w:val="000000"/>
                <w:sz w:val="20"/>
                <w:szCs w:val="20"/>
                <w:lang w:eastAsia="bs-Latn-BA"/>
              </w:rPr>
            </w:pPr>
            <w:r>
              <w:rPr>
                <w:rFonts w:ascii="Arial" w:eastAsia="Times New Roman" w:hAnsi="Arial" w:cs="Arial"/>
                <w:color w:val="000000"/>
                <w:sz w:val="20"/>
                <w:szCs w:val="20"/>
                <w:lang w:eastAsia="bs-Latn-BA"/>
              </w:rPr>
              <w:t>Назив</w:t>
            </w:r>
            <w:r w:rsidR="007B6BE3" w:rsidRPr="0087376B">
              <w:rPr>
                <w:rFonts w:ascii="Arial" w:eastAsia="Times New Roman" w:hAnsi="Arial" w:cs="Arial"/>
                <w:color w:val="000000"/>
                <w:sz w:val="20"/>
                <w:szCs w:val="20"/>
                <w:lang w:eastAsia="bs-Latn-BA"/>
              </w:rPr>
              <w:t xml:space="preserve"> </w:t>
            </w:r>
            <w:r>
              <w:rPr>
                <w:rFonts w:ascii="Arial" w:eastAsia="Times New Roman" w:hAnsi="Arial" w:cs="Arial"/>
                <w:color w:val="000000"/>
                <w:sz w:val="20"/>
                <w:szCs w:val="20"/>
                <w:lang w:eastAsia="bs-Latn-BA"/>
              </w:rPr>
              <w:t>инструмента</w:t>
            </w:r>
          </w:p>
        </w:tc>
        <w:tc>
          <w:tcPr>
            <w:tcW w:w="4961" w:type="dxa"/>
            <w:gridSpan w:val="3"/>
            <w:shd w:val="clear" w:color="auto" w:fill="auto"/>
            <w:noWrap/>
            <w:vAlign w:val="center"/>
            <w:hideMark/>
          </w:tcPr>
          <w:p w14:paraId="668146F1" w14:textId="77777777" w:rsidR="007B6BE3" w:rsidRPr="0087376B" w:rsidRDefault="005B20F8" w:rsidP="007B6BE3">
            <w:pPr>
              <w:spacing w:after="0" w:line="240" w:lineRule="auto"/>
              <w:jc w:val="center"/>
              <w:rPr>
                <w:rFonts w:ascii="Arial" w:eastAsia="Times New Roman" w:hAnsi="Arial" w:cs="Arial"/>
                <w:color w:val="000000"/>
                <w:sz w:val="20"/>
                <w:szCs w:val="20"/>
                <w:lang w:eastAsia="bs-Latn-BA"/>
              </w:rPr>
            </w:pPr>
            <w:r>
              <w:rPr>
                <w:rFonts w:ascii="Arial" w:eastAsia="Times New Roman" w:hAnsi="Arial" w:cs="Arial"/>
                <w:color w:val="000000"/>
                <w:sz w:val="20"/>
                <w:szCs w:val="20"/>
                <w:lang w:eastAsia="bs-Latn-BA"/>
              </w:rPr>
              <w:t>Камата</w:t>
            </w:r>
          </w:p>
        </w:tc>
      </w:tr>
      <w:tr w:rsidR="007B6BE3" w:rsidRPr="0087376B" w14:paraId="48946724" w14:textId="77777777" w:rsidTr="007B6BE3">
        <w:trPr>
          <w:trHeight w:val="300"/>
        </w:trPr>
        <w:tc>
          <w:tcPr>
            <w:tcW w:w="4395" w:type="dxa"/>
            <w:vMerge/>
            <w:vAlign w:val="center"/>
            <w:hideMark/>
          </w:tcPr>
          <w:p w14:paraId="6C12E191" w14:textId="77777777" w:rsidR="007B6BE3" w:rsidRPr="0087376B" w:rsidRDefault="007B6BE3" w:rsidP="007B6BE3">
            <w:pPr>
              <w:spacing w:after="0" w:line="240" w:lineRule="auto"/>
              <w:rPr>
                <w:rFonts w:ascii="Arial" w:eastAsia="Times New Roman" w:hAnsi="Arial" w:cs="Arial"/>
                <w:color w:val="000000"/>
                <w:sz w:val="20"/>
                <w:szCs w:val="20"/>
                <w:lang w:eastAsia="bs-Latn-BA"/>
              </w:rPr>
            </w:pPr>
          </w:p>
        </w:tc>
        <w:tc>
          <w:tcPr>
            <w:tcW w:w="1701" w:type="dxa"/>
            <w:shd w:val="clear" w:color="auto" w:fill="auto"/>
            <w:noWrap/>
            <w:vAlign w:val="center"/>
            <w:hideMark/>
          </w:tcPr>
          <w:p w14:paraId="2B647675" w14:textId="77777777" w:rsidR="007B6BE3" w:rsidRPr="0087376B" w:rsidRDefault="007B6BE3" w:rsidP="007B6BE3">
            <w:pPr>
              <w:spacing w:after="0" w:line="240" w:lineRule="auto"/>
              <w:jc w:val="center"/>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2023</w:t>
            </w:r>
          </w:p>
        </w:tc>
        <w:tc>
          <w:tcPr>
            <w:tcW w:w="1701" w:type="dxa"/>
            <w:shd w:val="clear" w:color="auto" w:fill="auto"/>
            <w:noWrap/>
            <w:vAlign w:val="center"/>
            <w:hideMark/>
          </w:tcPr>
          <w:p w14:paraId="482126DE" w14:textId="77777777" w:rsidR="007B6BE3" w:rsidRPr="0087376B" w:rsidRDefault="007B6BE3" w:rsidP="007B6BE3">
            <w:pPr>
              <w:spacing w:after="0" w:line="240" w:lineRule="auto"/>
              <w:jc w:val="center"/>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2024</w:t>
            </w:r>
          </w:p>
        </w:tc>
        <w:tc>
          <w:tcPr>
            <w:tcW w:w="1559" w:type="dxa"/>
            <w:shd w:val="clear" w:color="auto" w:fill="auto"/>
            <w:noWrap/>
            <w:vAlign w:val="center"/>
            <w:hideMark/>
          </w:tcPr>
          <w:p w14:paraId="3ADCED9D" w14:textId="77777777" w:rsidR="007B6BE3" w:rsidRPr="0087376B" w:rsidRDefault="007B6BE3" w:rsidP="007B6BE3">
            <w:pPr>
              <w:spacing w:after="0" w:line="240" w:lineRule="auto"/>
              <w:jc w:val="center"/>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2025</w:t>
            </w:r>
          </w:p>
        </w:tc>
      </w:tr>
      <w:tr w:rsidR="007B6BE3" w:rsidRPr="0087376B" w14:paraId="1CDB21FE" w14:textId="77777777" w:rsidTr="007B6BE3">
        <w:trPr>
          <w:trHeight w:val="300"/>
        </w:trPr>
        <w:tc>
          <w:tcPr>
            <w:tcW w:w="4395" w:type="dxa"/>
            <w:shd w:val="clear" w:color="auto" w:fill="auto"/>
            <w:noWrap/>
            <w:vAlign w:val="center"/>
            <w:hideMark/>
          </w:tcPr>
          <w:p w14:paraId="0045B862" w14:textId="77777777" w:rsidR="007B6BE3" w:rsidRPr="00E04BE0" w:rsidRDefault="005B20F8" w:rsidP="00E04BE0">
            <w:pPr>
              <w:spacing w:after="0" w:line="240" w:lineRule="auto"/>
              <w:rPr>
                <w:rFonts w:ascii="Arial" w:eastAsia="Times New Roman" w:hAnsi="Arial" w:cs="Arial"/>
                <w:sz w:val="20"/>
                <w:szCs w:val="20"/>
                <w:lang w:eastAsia="bs-Latn-BA"/>
              </w:rPr>
            </w:pPr>
            <w:r w:rsidRPr="00E04BE0">
              <w:rPr>
                <w:rFonts w:ascii="Arial" w:eastAsia="Times New Roman" w:hAnsi="Arial" w:cs="Arial"/>
                <w:sz w:val="20"/>
                <w:szCs w:val="20"/>
                <w:lang w:eastAsia="bs-Latn-BA"/>
              </w:rPr>
              <w:t>Концесионални</w:t>
            </w:r>
            <w:r w:rsidR="007B6BE3" w:rsidRPr="00E04BE0">
              <w:rPr>
                <w:rFonts w:ascii="Arial" w:eastAsia="Times New Roman" w:hAnsi="Arial" w:cs="Arial"/>
                <w:sz w:val="20"/>
                <w:szCs w:val="20"/>
                <w:lang w:eastAsia="bs-Latn-BA"/>
              </w:rPr>
              <w:t xml:space="preserve"> </w:t>
            </w:r>
            <w:r w:rsidR="00E04BE0" w:rsidRPr="00E04BE0">
              <w:rPr>
                <w:rFonts w:ascii="Arial" w:eastAsia="Times New Roman" w:hAnsi="Arial" w:cs="Arial"/>
                <w:sz w:val="20"/>
                <w:szCs w:val="20"/>
                <w:lang w:eastAsia="bs-Latn-BA"/>
              </w:rPr>
              <w:t>USD</w:t>
            </w:r>
            <w:r w:rsidR="007B6BE3" w:rsidRPr="00E04BE0">
              <w:rPr>
                <w:rFonts w:ascii="Arial" w:eastAsia="Times New Roman" w:hAnsi="Arial" w:cs="Arial"/>
                <w:sz w:val="20"/>
                <w:szCs w:val="20"/>
                <w:lang w:eastAsia="bs-Latn-BA"/>
              </w:rPr>
              <w:t xml:space="preserve"> </w:t>
            </w:r>
            <w:r w:rsidRPr="00E04BE0">
              <w:rPr>
                <w:rFonts w:ascii="Arial" w:eastAsia="Times New Roman" w:hAnsi="Arial" w:cs="Arial"/>
                <w:sz w:val="20"/>
                <w:szCs w:val="20"/>
                <w:lang w:eastAsia="bs-Latn-BA"/>
              </w:rPr>
              <w:t>Фиксни</w:t>
            </w:r>
          </w:p>
        </w:tc>
        <w:tc>
          <w:tcPr>
            <w:tcW w:w="1701" w:type="dxa"/>
            <w:shd w:val="clear" w:color="auto" w:fill="auto"/>
            <w:noWrap/>
            <w:vAlign w:val="center"/>
            <w:hideMark/>
          </w:tcPr>
          <w:p w14:paraId="0DBF3516"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5,23%</w:t>
            </w:r>
          </w:p>
        </w:tc>
        <w:tc>
          <w:tcPr>
            <w:tcW w:w="1701" w:type="dxa"/>
            <w:shd w:val="clear" w:color="auto" w:fill="auto"/>
            <w:noWrap/>
            <w:vAlign w:val="center"/>
            <w:hideMark/>
          </w:tcPr>
          <w:p w14:paraId="7B644A48"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5,39%</w:t>
            </w:r>
          </w:p>
        </w:tc>
        <w:tc>
          <w:tcPr>
            <w:tcW w:w="1559" w:type="dxa"/>
            <w:shd w:val="clear" w:color="auto" w:fill="auto"/>
            <w:noWrap/>
            <w:vAlign w:val="center"/>
            <w:hideMark/>
          </w:tcPr>
          <w:p w14:paraId="5182AAB1"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5,46%</w:t>
            </w:r>
          </w:p>
        </w:tc>
      </w:tr>
      <w:tr w:rsidR="007B6BE3" w:rsidRPr="0087376B" w14:paraId="48F87A85" w14:textId="77777777" w:rsidTr="007B6BE3">
        <w:trPr>
          <w:trHeight w:val="300"/>
        </w:trPr>
        <w:tc>
          <w:tcPr>
            <w:tcW w:w="4395" w:type="dxa"/>
            <w:shd w:val="clear" w:color="auto" w:fill="auto"/>
            <w:noWrap/>
            <w:vAlign w:val="center"/>
            <w:hideMark/>
          </w:tcPr>
          <w:p w14:paraId="1DB3D103" w14:textId="77777777" w:rsidR="007B6BE3" w:rsidRPr="00E04BE0" w:rsidRDefault="005B20F8" w:rsidP="00E04BE0">
            <w:pPr>
              <w:spacing w:after="0" w:line="240" w:lineRule="auto"/>
              <w:rPr>
                <w:rFonts w:ascii="Arial" w:eastAsia="Times New Roman" w:hAnsi="Arial" w:cs="Arial"/>
                <w:sz w:val="20"/>
                <w:szCs w:val="20"/>
                <w:lang w:eastAsia="bs-Latn-BA"/>
              </w:rPr>
            </w:pPr>
            <w:r w:rsidRPr="00E04BE0">
              <w:rPr>
                <w:rFonts w:ascii="Arial" w:eastAsia="Times New Roman" w:hAnsi="Arial" w:cs="Arial"/>
                <w:sz w:val="20"/>
                <w:szCs w:val="20"/>
                <w:lang w:eastAsia="bs-Latn-BA"/>
              </w:rPr>
              <w:t>Концесионални</w:t>
            </w:r>
            <w:r w:rsidR="007B6BE3" w:rsidRPr="00E04BE0">
              <w:rPr>
                <w:rFonts w:ascii="Arial" w:eastAsia="Times New Roman" w:hAnsi="Arial" w:cs="Arial"/>
                <w:sz w:val="20"/>
                <w:szCs w:val="20"/>
                <w:lang w:eastAsia="bs-Latn-BA"/>
              </w:rPr>
              <w:t xml:space="preserve"> </w:t>
            </w:r>
            <w:r w:rsidRPr="00E04BE0">
              <w:rPr>
                <w:rFonts w:ascii="Arial" w:eastAsia="Times New Roman" w:hAnsi="Arial" w:cs="Arial"/>
                <w:sz w:val="20"/>
                <w:szCs w:val="20"/>
                <w:lang w:eastAsia="bs-Latn-BA"/>
              </w:rPr>
              <w:t>Е</w:t>
            </w:r>
            <w:r w:rsidR="00E04BE0" w:rsidRPr="00E04BE0">
              <w:rPr>
                <w:rFonts w:ascii="Arial" w:eastAsia="Times New Roman" w:hAnsi="Arial" w:cs="Arial"/>
                <w:sz w:val="20"/>
                <w:szCs w:val="20"/>
                <w:lang w:eastAsia="bs-Latn-BA"/>
              </w:rPr>
              <w:t>UR</w:t>
            </w:r>
            <w:r w:rsidR="007B6BE3" w:rsidRPr="00E04BE0">
              <w:rPr>
                <w:rFonts w:ascii="Arial" w:eastAsia="Times New Roman" w:hAnsi="Arial" w:cs="Arial"/>
                <w:sz w:val="20"/>
                <w:szCs w:val="20"/>
                <w:lang w:eastAsia="bs-Latn-BA"/>
              </w:rPr>
              <w:t xml:space="preserve"> </w:t>
            </w:r>
            <w:r w:rsidRPr="00E04BE0">
              <w:rPr>
                <w:rFonts w:ascii="Arial" w:eastAsia="Times New Roman" w:hAnsi="Arial" w:cs="Arial"/>
                <w:sz w:val="20"/>
                <w:szCs w:val="20"/>
                <w:lang w:eastAsia="bs-Latn-BA"/>
              </w:rPr>
              <w:t>Фиксни</w:t>
            </w:r>
          </w:p>
        </w:tc>
        <w:tc>
          <w:tcPr>
            <w:tcW w:w="1701" w:type="dxa"/>
            <w:shd w:val="clear" w:color="auto" w:fill="auto"/>
            <w:noWrap/>
            <w:vAlign w:val="center"/>
            <w:hideMark/>
          </w:tcPr>
          <w:p w14:paraId="16661B5C"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4,69%</w:t>
            </w:r>
          </w:p>
        </w:tc>
        <w:tc>
          <w:tcPr>
            <w:tcW w:w="1701" w:type="dxa"/>
            <w:shd w:val="clear" w:color="auto" w:fill="auto"/>
            <w:noWrap/>
            <w:vAlign w:val="center"/>
            <w:hideMark/>
          </w:tcPr>
          <w:p w14:paraId="663465E5"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4,90%</w:t>
            </w:r>
          </w:p>
        </w:tc>
        <w:tc>
          <w:tcPr>
            <w:tcW w:w="1559" w:type="dxa"/>
            <w:shd w:val="clear" w:color="auto" w:fill="auto"/>
            <w:noWrap/>
            <w:vAlign w:val="center"/>
            <w:hideMark/>
          </w:tcPr>
          <w:p w14:paraId="0335FB5B"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5,10%</w:t>
            </w:r>
          </w:p>
        </w:tc>
      </w:tr>
      <w:tr w:rsidR="007B6BE3" w:rsidRPr="0087376B" w14:paraId="49B05DBB" w14:textId="77777777" w:rsidTr="007B6BE3">
        <w:trPr>
          <w:trHeight w:val="300"/>
        </w:trPr>
        <w:tc>
          <w:tcPr>
            <w:tcW w:w="4395" w:type="dxa"/>
            <w:shd w:val="clear" w:color="auto" w:fill="auto"/>
            <w:noWrap/>
            <w:vAlign w:val="center"/>
            <w:hideMark/>
          </w:tcPr>
          <w:p w14:paraId="7F811D73" w14:textId="77777777" w:rsidR="007B6BE3" w:rsidRPr="00E04BE0" w:rsidRDefault="005B20F8" w:rsidP="00E04BE0">
            <w:pPr>
              <w:spacing w:after="0" w:line="240" w:lineRule="auto"/>
              <w:rPr>
                <w:rFonts w:ascii="Arial" w:eastAsia="Times New Roman" w:hAnsi="Arial" w:cs="Arial"/>
                <w:sz w:val="20"/>
                <w:szCs w:val="20"/>
                <w:lang w:eastAsia="bs-Latn-BA"/>
              </w:rPr>
            </w:pPr>
            <w:r w:rsidRPr="00E04BE0">
              <w:rPr>
                <w:rFonts w:ascii="Arial" w:eastAsia="Times New Roman" w:hAnsi="Arial" w:cs="Arial"/>
                <w:sz w:val="20"/>
                <w:szCs w:val="20"/>
                <w:lang w:eastAsia="bs-Latn-BA"/>
              </w:rPr>
              <w:t>Концесионални</w:t>
            </w:r>
            <w:r w:rsidR="007B6BE3" w:rsidRPr="00E04BE0">
              <w:rPr>
                <w:rFonts w:ascii="Arial" w:eastAsia="Times New Roman" w:hAnsi="Arial" w:cs="Arial"/>
                <w:sz w:val="20"/>
                <w:szCs w:val="20"/>
                <w:lang w:eastAsia="bs-Latn-BA"/>
              </w:rPr>
              <w:t xml:space="preserve"> </w:t>
            </w:r>
            <w:r w:rsidR="00E04BE0" w:rsidRPr="00E04BE0">
              <w:rPr>
                <w:rFonts w:ascii="Arial" w:eastAsia="Times New Roman" w:hAnsi="Arial" w:cs="Arial"/>
                <w:sz w:val="20"/>
                <w:szCs w:val="20"/>
                <w:lang w:eastAsia="bs-Latn-BA"/>
              </w:rPr>
              <w:t xml:space="preserve">USD </w:t>
            </w:r>
            <w:r w:rsidRPr="00E04BE0">
              <w:rPr>
                <w:rFonts w:ascii="Arial" w:eastAsia="Times New Roman" w:hAnsi="Arial" w:cs="Arial"/>
                <w:sz w:val="20"/>
                <w:szCs w:val="20"/>
                <w:lang w:eastAsia="bs-Latn-BA"/>
              </w:rPr>
              <w:t>Варијабилни</w:t>
            </w:r>
          </w:p>
        </w:tc>
        <w:tc>
          <w:tcPr>
            <w:tcW w:w="1701" w:type="dxa"/>
            <w:shd w:val="clear" w:color="auto" w:fill="auto"/>
            <w:noWrap/>
            <w:vAlign w:val="center"/>
            <w:hideMark/>
          </w:tcPr>
          <w:p w14:paraId="1753D385"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5,18%</w:t>
            </w:r>
          </w:p>
        </w:tc>
        <w:tc>
          <w:tcPr>
            <w:tcW w:w="1701" w:type="dxa"/>
            <w:shd w:val="clear" w:color="auto" w:fill="auto"/>
            <w:noWrap/>
            <w:vAlign w:val="center"/>
            <w:hideMark/>
          </w:tcPr>
          <w:p w14:paraId="05E649D8"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5,25%</w:t>
            </w:r>
          </w:p>
        </w:tc>
        <w:tc>
          <w:tcPr>
            <w:tcW w:w="1559" w:type="dxa"/>
            <w:shd w:val="clear" w:color="auto" w:fill="auto"/>
            <w:noWrap/>
            <w:vAlign w:val="center"/>
            <w:hideMark/>
          </w:tcPr>
          <w:p w14:paraId="6EABA39B"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5,32%</w:t>
            </w:r>
          </w:p>
        </w:tc>
      </w:tr>
      <w:tr w:rsidR="007B6BE3" w:rsidRPr="0087376B" w14:paraId="7049F738" w14:textId="77777777" w:rsidTr="007B6BE3">
        <w:trPr>
          <w:trHeight w:val="300"/>
        </w:trPr>
        <w:tc>
          <w:tcPr>
            <w:tcW w:w="4395" w:type="dxa"/>
            <w:shd w:val="clear" w:color="auto" w:fill="auto"/>
            <w:noWrap/>
            <w:vAlign w:val="center"/>
            <w:hideMark/>
          </w:tcPr>
          <w:p w14:paraId="0E08A27B" w14:textId="77777777" w:rsidR="007B6BE3" w:rsidRPr="00E04BE0" w:rsidRDefault="005B20F8" w:rsidP="00E04BE0">
            <w:pPr>
              <w:spacing w:after="0" w:line="240" w:lineRule="auto"/>
              <w:rPr>
                <w:rFonts w:ascii="Arial" w:eastAsia="Times New Roman" w:hAnsi="Arial" w:cs="Arial"/>
                <w:sz w:val="20"/>
                <w:szCs w:val="20"/>
                <w:lang w:eastAsia="bs-Latn-BA"/>
              </w:rPr>
            </w:pPr>
            <w:r w:rsidRPr="00E04BE0">
              <w:rPr>
                <w:rFonts w:ascii="Arial" w:eastAsia="Times New Roman" w:hAnsi="Arial" w:cs="Arial"/>
                <w:sz w:val="20"/>
                <w:szCs w:val="20"/>
                <w:lang w:eastAsia="bs-Latn-BA"/>
              </w:rPr>
              <w:t>Концесионални</w:t>
            </w:r>
            <w:r w:rsidR="007B6BE3" w:rsidRPr="00E04BE0">
              <w:rPr>
                <w:rFonts w:ascii="Arial" w:eastAsia="Times New Roman" w:hAnsi="Arial" w:cs="Arial"/>
                <w:sz w:val="20"/>
                <w:szCs w:val="20"/>
                <w:lang w:eastAsia="bs-Latn-BA"/>
              </w:rPr>
              <w:t xml:space="preserve"> </w:t>
            </w:r>
            <w:r w:rsidRPr="00E04BE0">
              <w:rPr>
                <w:rFonts w:ascii="Arial" w:eastAsia="Times New Roman" w:hAnsi="Arial" w:cs="Arial"/>
                <w:sz w:val="20"/>
                <w:szCs w:val="20"/>
                <w:lang w:eastAsia="bs-Latn-BA"/>
              </w:rPr>
              <w:t>Е</w:t>
            </w:r>
            <w:r w:rsidR="00E04BE0" w:rsidRPr="00E04BE0">
              <w:rPr>
                <w:rFonts w:ascii="Arial" w:eastAsia="Times New Roman" w:hAnsi="Arial" w:cs="Arial"/>
                <w:sz w:val="20"/>
                <w:szCs w:val="20"/>
                <w:lang w:eastAsia="bs-Latn-BA"/>
              </w:rPr>
              <w:t>UR</w:t>
            </w:r>
            <w:r w:rsidR="007B6BE3" w:rsidRPr="00E04BE0">
              <w:rPr>
                <w:rFonts w:ascii="Arial" w:eastAsia="Times New Roman" w:hAnsi="Arial" w:cs="Arial"/>
                <w:sz w:val="20"/>
                <w:szCs w:val="20"/>
                <w:lang w:eastAsia="bs-Latn-BA"/>
              </w:rPr>
              <w:t xml:space="preserve"> </w:t>
            </w:r>
            <w:r w:rsidRPr="00E04BE0">
              <w:rPr>
                <w:rFonts w:ascii="Arial" w:eastAsia="Times New Roman" w:hAnsi="Arial" w:cs="Arial"/>
                <w:sz w:val="20"/>
                <w:szCs w:val="20"/>
                <w:lang w:eastAsia="bs-Latn-BA"/>
              </w:rPr>
              <w:t>Варијабилни</w:t>
            </w:r>
          </w:p>
        </w:tc>
        <w:tc>
          <w:tcPr>
            <w:tcW w:w="1701" w:type="dxa"/>
            <w:shd w:val="clear" w:color="auto" w:fill="auto"/>
            <w:noWrap/>
            <w:vAlign w:val="center"/>
            <w:hideMark/>
          </w:tcPr>
          <w:p w14:paraId="7C4E1076"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2,58%</w:t>
            </w:r>
          </w:p>
        </w:tc>
        <w:tc>
          <w:tcPr>
            <w:tcW w:w="1701" w:type="dxa"/>
            <w:shd w:val="clear" w:color="auto" w:fill="auto"/>
            <w:noWrap/>
            <w:vAlign w:val="center"/>
            <w:hideMark/>
          </w:tcPr>
          <w:p w14:paraId="59DA7F85"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2,79%</w:t>
            </w:r>
          </w:p>
        </w:tc>
        <w:tc>
          <w:tcPr>
            <w:tcW w:w="1559" w:type="dxa"/>
            <w:shd w:val="clear" w:color="auto" w:fill="auto"/>
            <w:noWrap/>
            <w:vAlign w:val="center"/>
            <w:hideMark/>
          </w:tcPr>
          <w:p w14:paraId="2E5AE683"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2,99%</w:t>
            </w:r>
          </w:p>
        </w:tc>
      </w:tr>
      <w:tr w:rsidR="007B6BE3" w:rsidRPr="0087376B" w14:paraId="51D245C7" w14:textId="77777777" w:rsidTr="007B6BE3">
        <w:trPr>
          <w:trHeight w:val="300"/>
        </w:trPr>
        <w:tc>
          <w:tcPr>
            <w:tcW w:w="4395" w:type="dxa"/>
            <w:shd w:val="clear" w:color="auto" w:fill="auto"/>
            <w:noWrap/>
            <w:vAlign w:val="center"/>
          </w:tcPr>
          <w:p w14:paraId="609E120F" w14:textId="77777777" w:rsidR="007B6BE3" w:rsidRPr="00E04BE0" w:rsidRDefault="00E04BE0" w:rsidP="007B6BE3">
            <w:pPr>
              <w:spacing w:after="0" w:line="240" w:lineRule="auto"/>
              <w:rPr>
                <w:rFonts w:ascii="Arial" w:eastAsia="Times New Roman" w:hAnsi="Arial" w:cs="Arial"/>
                <w:sz w:val="20"/>
                <w:szCs w:val="20"/>
                <w:lang w:eastAsia="bs-Latn-BA"/>
              </w:rPr>
            </w:pPr>
            <w:r w:rsidRPr="00E04BE0">
              <w:rPr>
                <w:rFonts w:ascii="Arial" w:eastAsia="Times New Roman" w:hAnsi="Arial" w:cs="Arial"/>
                <w:sz w:val="20"/>
                <w:szCs w:val="20"/>
                <w:lang w:eastAsia="bs-Latn-BA"/>
              </w:rPr>
              <w:t xml:space="preserve">IMF RFI USD </w:t>
            </w:r>
            <w:r w:rsidR="005B20F8" w:rsidRPr="00E04BE0">
              <w:rPr>
                <w:rFonts w:ascii="Arial" w:eastAsia="Times New Roman" w:hAnsi="Arial" w:cs="Arial"/>
                <w:sz w:val="20"/>
                <w:szCs w:val="20"/>
                <w:lang w:eastAsia="bs-Latn-BA"/>
              </w:rPr>
              <w:t>Варијабилни</w:t>
            </w:r>
          </w:p>
        </w:tc>
        <w:tc>
          <w:tcPr>
            <w:tcW w:w="1701" w:type="dxa"/>
            <w:shd w:val="clear" w:color="auto" w:fill="auto"/>
            <w:noWrap/>
            <w:vAlign w:val="center"/>
          </w:tcPr>
          <w:p w14:paraId="2B27A6E3"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2,74%</w:t>
            </w:r>
          </w:p>
        </w:tc>
        <w:tc>
          <w:tcPr>
            <w:tcW w:w="1701" w:type="dxa"/>
            <w:shd w:val="clear" w:color="auto" w:fill="auto"/>
            <w:noWrap/>
            <w:vAlign w:val="center"/>
          </w:tcPr>
          <w:p w14:paraId="2B3A1959"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2,81%</w:t>
            </w:r>
          </w:p>
        </w:tc>
        <w:tc>
          <w:tcPr>
            <w:tcW w:w="1559" w:type="dxa"/>
            <w:shd w:val="clear" w:color="auto" w:fill="auto"/>
            <w:noWrap/>
            <w:vAlign w:val="center"/>
          </w:tcPr>
          <w:p w14:paraId="6EEB3EBA"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2,88%</w:t>
            </w:r>
          </w:p>
        </w:tc>
      </w:tr>
      <w:tr w:rsidR="007B6BE3" w:rsidRPr="0087376B" w14:paraId="4FE3FC42" w14:textId="77777777" w:rsidTr="007B6BE3">
        <w:trPr>
          <w:trHeight w:val="300"/>
        </w:trPr>
        <w:tc>
          <w:tcPr>
            <w:tcW w:w="4395" w:type="dxa"/>
            <w:shd w:val="clear" w:color="auto" w:fill="auto"/>
            <w:noWrap/>
            <w:vAlign w:val="center"/>
            <w:hideMark/>
          </w:tcPr>
          <w:p w14:paraId="0ACBC5D4" w14:textId="77777777" w:rsidR="007B6BE3" w:rsidRPr="00E04BE0" w:rsidRDefault="00E04BE0" w:rsidP="007B6BE3">
            <w:pPr>
              <w:spacing w:after="0" w:line="240" w:lineRule="auto"/>
              <w:rPr>
                <w:rFonts w:ascii="Arial" w:eastAsia="Times New Roman" w:hAnsi="Arial" w:cs="Arial"/>
                <w:sz w:val="20"/>
                <w:szCs w:val="20"/>
                <w:lang w:eastAsia="bs-Latn-BA"/>
              </w:rPr>
            </w:pPr>
            <w:r w:rsidRPr="00E04BE0">
              <w:rPr>
                <w:rFonts w:ascii="Arial" w:eastAsia="Times New Roman" w:hAnsi="Arial" w:cs="Arial"/>
                <w:sz w:val="20"/>
                <w:szCs w:val="20"/>
                <w:lang w:eastAsia="bs-Latn-BA"/>
              </w:rPr>
              <w:t xml:space="preserve">IMF EFF USD </w:t>
            </w:r>
            <w:r w:rsidR="005B20F8" w:rsidRPr="00E04BE0">
              <w:rPr>
                <w:rFonts w:ascii="Arial" w:eastAsia="Times New Roman" w:hAnsi="Arial" w:cs="Arial"/>
                <w:sz w:val="20"/>
                <w:szCs w:val="20"/>
                <w:lang w:eastAsia="bs-Latn-BA"/>
              </w:rPr>
              <w:t>УСД</w:t>
            </w:r>
            <w:r w:rsidR="007B6BE3" w:rsidRPr="00E04BE0">
              <w:rPr>
                <w:rFonts w:ascii="Arial" w:eastAsia="Times New Roman" w:hAnsi="Arial" w:cs="Arial"/>
                <w:sz w:val="20"/>
                <w:szCs w:val="20"/>
                <w:lang w:eastAsia="bs-Latn-BA"/>
              </w:rPr>
              <w:t xml:space="preserve"> </w:t>
            </w:r>
            <w:r w:rsidR="005B20F8" w:rsidRPr="00E04BE0">
              <w:rPr>
                <w:rFonts w:ascii="Arial" w:eastAsia="Times New Roman" w:hAnsi="Arial" w:cs="Arial"/>
                <w:sz w:val="20"/>
                <w:szCs w:val="20"/>
                <w:lang w:eastAsia="bs-Latn-BA"/>
              </w:rPr>
              <w:t>Варијабилни</w:t>
            </w:r>
          </w:p>
        </w:tc>
        <w:tc>
          <w:tcPr>
            <w:tcW w:w="1701" w:type="dxa"/>
            <w:shd w:val="clear" w:color="auto" w:fill="auto"/>
            <w:noWrap/>
            <w:vAlign w:val="center"/>
            <w:hideMark/>
          </w:tcPr>
          <w:p w14:paraId="46710406"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2,74%</w:t>
            </w:r>
          </w:p>
        </w:tc>
        <w:tc>
          <w:tcPr>
            <w:tcW w:w="1701" w:type="dxa"/>
            <w:shd w:val="clear" w:color="auto" w:fill="auto"/>
            <w:noWrap/>
            <w:vAlign w:val="center"/>
            <w:hideMark/>
          </w:tcPr>
          <w:p w14:paraId="78B421E2"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2,81%</w:t>
            </w:r>
          </w:p>
        </w:tc>
        <w:tc>
          <w:tcPr>
            <w:tcW w:w="1559" w:type="dxa"/>
            <w:shd w:val="clear" w:color="auto" w:fill="auto"/>
            <w:noWrap/>
            <w:vAlign w:val="center"/>
            <w:hideMark/>
          </w:tcPr>
          <w:p w14:paraId="3184D4C9" w14:textId="77777777" w:rsidR="007B6BE3" w:rsidRPr="0087376B" w:rsidRDefault="007B6BE3" w:rsidP="007B6BE3">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2,88%</w:t>
            </w:r>
          </w:p>
        </w:tc>
      </w:tr>
      <w:tr w:rsidR="00E04BE0" w:rsidRPr="0087376B" w14:paraId="25BAEF51" w14:textId="77777777" w:rsidTr="007B6BE3">
        <w:trPr>
          <w:trHeight w:val="300"/>
        </w:trPr>
        <w:tc>
          <w:tcPr>
            <w:tcW w:w="4395" w:type="dxa"/>
            <w:shd w:val="clear" w:color="auto" w:fill="auto"/>
            <w:noWrap/>
            <w:vAlign w:val="center"/>
            <w:hideMark/>
          </w:tcPr>
          <w:p w14:paraId="785156A0" w14:textId="77777777" w:rsidR="00E04BE0" w:rsidRPr="00DB5BBF" w:rsidRDefault="00E04BE0" w:rsidP="00E04BE0">
            <w:pPr>
              <w:spacing w:after="0" w:line="240" w:lineRule="auto"/>
              <w:rPr>
                <w:rFonts w:ascii="Arial" w:eastAsia="Times New Roman" w:hAnsi="Arial" w:cs="Arial"/>
                <w:color w:val="000000"/>
                <w:sz w:val="20"/>
                <w:szCs w:val="20"/>
                <w:lang w:eastAsia="bs-Latn-BA"/>
              </w:rPr>
            </w:pPr>
            <w:r w:rsidRPr="00DB5BBF">
              <w:rPr>
                <w:rFonts w:ascii="Arial" w:eastAsia="Times New Roman" w:hAnsi="Arial" w:cs="Arial"/>
                <w:color w:val="000000"/>
                <w:sz w:val="20"/>
                <w:szCs w:val="20"/>
                <w:lang w:eastAsia="bs-Latn-BA"/>
              </w:rPr>
              <w:t>5Y Eurobond</w:t>
            </w:r>
          </w:p>
        </w:tc>
        <w:tc>
          <w:tcPr>
            <w:tcW w:w="1701" w:type="dxa"/>
            <w:shd w:val="clear" w:color="auto" w:fill="auto"/>
            <w:noWrap/>
            <w:vAlign w:val="center"/>
            <w:hideMark/>
          </w:tcPr>
          <w:p w14:paraId="6375327B" w14:textId="77777777" w:rsidR="00E04BE0" w:rsidRPr="0087376B" w:rsidRDefault="00E04BE0" w:rsidP="00E04BE0">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9,49%</w:t>
            </w:r>
          </w:p>
        </w:tc>
        <w:tc>
          <w:tcPr>
            <w:tcW w:w="1701" w:type="dxa"/>
            <w:shd w:val="clear" w:color="auto" w:fill="auto"/>
            <w:noWrap/>
            <w:vAlign w:val="center"/>
            <w:hideMark/>
          </w:tcPr>
          <w:p w14:paraId="221E8A5A" w14:textId="77777777" w:rsidR="00E04BE0" w:rsidRPr="0087376B" w:rsidRDefault="00E04BE0" w:rsidP="00E04BE0">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10,06%</w:t>
            </w:r>
          </w:p>
        </w:tc>
        <w:tc>
          <w:tcPr>
            <w:tcW w:w="1559" w:type="dxa"/>
            <w:shd w:val="clear" w:color="auto" w:fill="auto"/>
            <w:noWrap/>
            <w:vAlign w:val="center"/>
            <w:hideMark/>
          </w:tcPr>
          <w:p w14:paraId="08AE673B" w14:textId="77777777" w:rsidR="00E04BE0" w:rsidRPr="0087376B" w:rsidRDefault="00E04BE0" w:rsidP="00E04BE0">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10,62%</w:t>
            </w:r>
          </w:p>
        </w:tc>
      </w:tr>
      <w:tr w:rsidR="00E04BE0" w:rsidRPr="0087376B" w14:paraId="023FB9F3" w14:textId="77777777" w:rsidTr="007B6BE3">
        <w:trPr>
          <w:trHeight w:val="300"/>
        </w:trPr>
        <w:tc>
          <w:tcPr>
            <w:tcW w:w="4395" w:type="dxa"/>
            <w:shd w:val="clear" w:color="auto" w:fill="auto"/>
            <w:noWrap/>
            <w:vAlign w:val="center"/>
            <w:hideMark/>
          </w:tcPr>
          <w:p w14:paraId="0F7BC8B3" w14:textId="77777777" w:rsidR="00E04BE0" w:rsidRPr="00DB5BBF" w:rsidRDefault="00E04BE0" w:rsidP="00E04BE0">
            <w:pPr>
              <w:spacing w:after="0" w:line="240" w:lineRule="auto"/>
              <w:rPr>
                <w:rFonts w:ascii="Arial" w:eastAsia="Times New Roman" w:hAnsi="Arial" w:cs="Arial"/>
                <w:sz w:val="20"/>
                <w:szCs w:val="20"/>
                <w:lang w:eastAsia="bs-Latn-BA"/>
              </w:rPr>
            </w:pPr>
            <w:r w:rsidRPr="00DB5BBF">
              <w:rPr>
                <w:rFonts w:ascii="Arial" w:eastAsia="Times New Roman" w:hAnsi="Arial" w:cs="Arial"/>
                <w:sz w:val="20"/>
                <w:szCs w:val="20"/>
                <w:lang w:eastAsia="bs-Latn-BA"/>
              </w:rPr>
              <w:t>10Y Eurobond</w:t>
            </w:r>
          </w:p>
        </w:tc>
        <w:tc>
          <w:tcPr>
            <w:tcW w:w="1701" w:type="dxa"/>
            <w:shd w:val="clear" w:color="auto" w:fill="auto"/>
            <w:noWrap/>
            <w:vAlign w:val="bottom"/>
            <w:hideMark/>
          </w:tcPr>
          <w:p w14:paraId="1ACF3F71" w14:textId="77777777" w:rsidR="00E04BE0" w:rsidRPr="0087376B" w:rsidRDefault="00E04BE0" w:rsidP="00E04BE0">
            <w:pPr>
              <w:spacing w:after="0" w:line="240" w:lineRule="auto"/>
              <w:jc w:val="right"/>
              <w:rPr>
                <w:rFonts w:ascii="Arial" w:eastAsia="Times New Roman" w:hAnsi="Arial" w:cs="Arial"/>
                <w:sz w:val="20"/>
                <w:szCs w:val="20"/>
                <w:lang w:eastAsia="bs-Latn-BA"/>
              </w:rPr>
            </w:pPr>
            <w:r w:rsidRPr="0087376B">
              <w:rPr>
                <w:rFonts w:ascii="Arial" w:eastAsia="Times New Roman" w:hAnsi="Arial" w:cs="Arial"/>
                <w:sz w:val="20"/>
                <w:szCs w:val="20"/>
                <w:lang w:eastAsia="bs-Latn-BA"/>
              </w:rPr>
              <w:t>5,45%</w:t>
            </w:r>
          </w:p>
        </w:tc>
        <w:tc>
          <w:tcPr>
            <w:tcW w:w="1701" w:type="dxa"/>
            <w:shd w:val="clear" w:color="auto" w:fill="auto"/>
            <w:noWrap/>
            <w:vAlign w:val="bottom"/>
            <w:hideMark/>
          </w:tcPr>
          <w:p w14:paraId="1BC17F4F" w14:textId="77777777" w:rsidR="00E04BE0" w:rsidRPr="0087376B" w:rsidRDefault="00E04BE0" w:rsidP="00E04BE0">
            <w:pPr>
              <w:spacing w:after="0" w:line="240" w:lineRule="auto"/>
              <w:jc w:val="right"/>
              <w:rPr>
                <w:rFonts w:ascii="Arial" w:eastAsia="Times New Roman" w:hAnsi="Arial" w:cs="Arial"/>
                <w:sz w:val="20"/>
                <w:szCs w:val="20"/>
                <w:lang w:eastAsia="bs-Latn-BA"/>
              </w:rPr>
            </w:pPr>
            <w:r w:rsidRPr="0087376B">
              <w:rPr>
                <w:rFonts w:ascii="Arial" w:eastAsia="Times New Roman" w:hAnsi="Arial" w:cs="Arial"/>
                <w:sz w:val="20"/>
                <w:szCs w:val="20"/>
                <w:lang w:eastAsia="bs-Latn-BA"/>
              </w:rPr>
              <w:t>5,65%</w:t>
            </w:r>
          </w:p>
        </w:tc>
        <w:tc>
          <w:tcPr>
            <w:tcW w:w="1559" w:type="dxa"/>
            <w:shd w:val="clear" w:color="auto" w:fill="auto"/>
            <w:noWrap/>
            <w:vAlign w:val="bottom"/>
            <w:hideMark/>
          </w:tcPr>
          <w:p w14:paraId="693DC872" w14:textId="77777777" w:rsidR="00E04BE0" w:rsidRPr="0087376B" w:rsidRDefault="00E04BE0" w:rsidP="00E04BE0">
            <w:pPr>
              <w:spacing w:after="0" w:line="240" w:lineRule="auto"/>
              <w:jc w:val="right"/>
              <w:rPr>
                <w:rFonts w:ascii="Arial" w:eastAsia="Times New Roman" w:hAnsi="Arial" w:cs="Arial"/>
                <w:sz w:val="20"/>
                <w:szCs w:val="20"/>
                <w:lang w:eastAsia="bs-Latn-BA"/>
              </w:rPr>
            </w:pPr>
            <w:r w:rsidRPr="0087376B">
              <w:rPr>
                <w:rFonts w:ascii="Arial" w:eastAsia="Times New Roman" w:hAnsi="Arial" w:cs="Arial"/>
                <w:sz w:val="20"/>
                <w:szCs w:val="20"/>
                <w:lang w:eastAsia="bs-Latn-BA"/>
              </w:rPr>
              <w:t>5,85%</w:t>
            </w:r>
          </w:p>
        </w:tc>
      </w:tr>
      <w:tr w:rsidR="00E04BE0" w:rsidRPr="0087376B" w14:paraId="23E0B64C" w14:textId="77777777" w:rsidTr="007B6BE3">
        <w:trPr>
          <w:trHeight w:val="300"/>
        </w:trPr>
        <w:tc>
          <w:tcPr>
            <w:tcW w:w="4395" w:type="dxa"/>
            <w:shd w:val="clear" w:color="auto" w:fill="auto"/>
            <w:noWrap/>
            <w:vAlign w:val="center"/>
          </w:tcPr>
          <w:p w14:paraId="61CD4E68" w14:textId="77777777" w:rsidR="00E04BE0" w:rsidRPr="00DB5BBF" w:rsidRDefault="00E04BE0" w:rsidP="00E04BE0">
            <w:pPr>
              <w:spacing w:after="0" w:line="240" w:lineRule="auto"/>
              <w:rPr>
                <w:rFonts w:ascii="Arial" w:eastAsia="Times New Roman" w:hAnsi="Arial" w:cs="Arial"/>
                <w:sz w:val="20"/>
                <w:szCs w:val="20"/>
                <w:lang w:eastAsia="bs-Latn-BA"/>
              </w:rPr>
            </w:pPr>
            <w:r w:rsidRPr="00DB5BBF">
              <w:rPr>
                <w:rFonts w:ascii="Arial" w:eastAsia="Times New Roman" w:hAnsi="Arial" w:cs="Arial"/>
                <w:sz w:val="20"/>
                <w:szCs w:val="20"/>
                <w:lang w:eastAsia="bs-Latn-BA"/>
              </w:rPr>
              <w:t>15Y Eurobond</w:t>
            </w:r>
          </w:p>
        </w:tc>
        <w:tc>
          <w:tcPr>
            <w:tcW w:w="1701" w:type="dxa"/>
            <w:shd w:val="clear" w:color="auto" w:fill="auto"/>
            <w:noWrap/>
            <w:vAlign w:val="bottom"/>
          </w:tcPr>
          <w:p w14:paraId="1C45CF4A" w14:textId="77777777" w:rsidR="00E04BE0" w:rsidRPr="0087376B" w:rsidRDefault="00E04BE0" w:rsidP="00E04BE0">
            <w:pPr>
              <w:spacing w:after="0" w:line="240" w:lineRule="auto"/>
              <w:jc w:val="right"/>
              <w:rPr>
                <w:rFonts w:ascii="Arial" w:eastAsia="Times New Roman" w:hAnsi="Arial" w:cs="Arial"/>
                <w:sz w:val="20"/>
                <w:szCs w:val="20"/>
                <w:lang w:eastAsia="bs-Latn-BA"/>
              </w:rPr>
            </w:pPr>
            <w:r w:rsidRPr="0087376B">
              <w:rPr>
                <w:rFonts w:ascii="Arial" w:eastAsia="Times New Roman" w:hAnsi="Arial" w:cs="Arial"/>
                <w:sz w:val="20"/>
                <w:szCs w:val="20"/>
                <w:lang w:eastAsia="bs-Latn-BA"/>
              </w:rPr>
              <w:t>5,94%</w:t>
            </w:r>
          </w:p>
        </w:tc>
        <w:tc>
          <w:tcPr>
            <w:tcW w:w="1701" w:type="dxa"/>
            <w:shd w:val="clear" w:color="auto" w:fill="auto"/>
            <w:noWrap/>
            <w:vAlign w:val="bottom"/>
          </w:tcPr>
          <w:p w14:paraId="3D2E1CC1" w14:textId="77777777" w:rsidR="00E04BE0" w:rsidRPr="0087376B" w:rsidRDefault="00E04BE0" w:rsidP="00E04BE0">
            <w:pPr>
              <w:spacing w:after="0" w:line="240" w:lineRule="auto"/>
              <w:jc w:val="right"/>
              <w:rPr>
                <w:rFonts w:ascii="Arial" w:eastAsia="Times New Roman" w:hAnsi="Arial" w:cs="Arial"/>
                <w:sz w:val="20"/>
                <w:szCs w:val="20"/>
                <w:lang w:eastAsia="bs-Latn-BA"/>
              </w:rPr>
            </w:pPr>
            <w:r w:rsidRPr="0087376B">
              <w:rPr>
                <w:rFonts w:ascii="Arial" w:eastAsia="Times New Roman" w:hAnsi="Arial" w:cs="Arial"/>
                <w:sz w:val="20"/>
                <w:szCs w:val="20"/>
                <w:lang w:eastAsia="bs-Latn-BA"/>
              </w:rPr>
              <w:t>6,14%</w:t>
            </w:r>
          </w:p>
        </w:tc>
        <w:tc>
          <w:tcPr>
            <w:tcW w:w="1559" w:type="dxa"/>
            <w:shd w:val="clear" w:color="auto" w:fill="auto"/>
            <w:noWrap/>
            <w:vAlign w:val="bottom"/>
          </w:tcPr>
          <w:p w14:paraId="2D11EDE8" w14:textId="77777777" w:rsidR="00E04BE0" w:rsidRPr="0087376B" w:rsidRDefault="00E04BE0" w:rsidP="00E04BE0">
            <w:pPr>
              <w:spacing w:after="0" w:line="240" w:lineRule="auto"/>
              <w:jc w:val="right"/>
              <w:rPr>
                <w:rFonts w:ascii="Arial" w:eastAsia="Times New Roman" w:hAnsi="Arial" w:cs="Arial"/>
                <w:sz w:val="20"/>
                <w:szCs w:val="20"/>
                <w:lang w:eastAsia="bs-Latn-BA"/>
              </w:rPr>
            </w:pPr>
            <w:r w:rsidRPr="0087376B">
              <w:rPr>
                <w:rFonts w:ascii="Arial" w:eastAsia="Times New Roman" w:hAnsi="Arial" w:cs="Arial"/>
                <w:sz w:val="20"/>
                <w:szCs w:val="20"/>
                <w:lang w:eastAsia="bs-Latn-BA"/>
              </w:rPr>
              <w:t>6,34%</w:t>
            </w:r>
          </w:p>
        </w:tc>
      </w:tr>
    </w:tbl>
    <w:p w14:paraId="7EBE535A" w14:textId="77777777" w:rsidR="007B6BE3" w:rsidRDefault="007B6BE3" w:rsidP="007B6BE3">
      <w:pPr>
        <w:spacing w:after="0"/>
        <w:jc w:val="both"/>
        <w:rPr>
          <w:rFonts w:ascii="Arial" w:hAnsi="Arial" w:cs="Arial"/>
          <w:szCs w:val="24"/>
        </w:rPr>
      </w:pPr>
    </w:p>
    <w:p w14:paraId="6690AA6A" w14:textId="77777777" w:rsidR="007B6BE3" w:rsidRPr="0087376B" w:rsidRDefault="005B20F8" w:rsidP="007B6BE3">
      <w:pPr>
        <w:spacing w:after="0"/>
        <w:jc w:val="both"/>
        <w:rPr>
          <w:rFonts w:ascii="Arial" w:hAnsi="Arial" w:cs="Arial"/>
          <w:szCs w:val="24"/>
        </w:rPr>
      </w:pPr>
      <w:r>
        <w:rPr>
          <w:rFonts w:ascii="Arial" w:hAnsi="Arial" w:cs="Arial"/>
          <w:szCs w:val="24"/>
        </w:rPr>
        <w:t>Табела</w:t>
      </w:r>
      <w:r w:rsidR="007B6BE3" w:rsidRPr="0087376B">
        <w:rPr>
          <w:rFonts w:ascii="Arial" w:hAnsi="Arial" w:cs="Arial"/>
          <w:szCs w:val="24"/>
        </w:rPr>
        <w:t xml:space="preserve"> 11. </w:t>
      </w:r>
      <w:r>
        <w:rPr>
          <w:rFonts w:ascii="Arial" w:hAnsi="Arial" w:cs="Arial"/>
          <w:szCs w:val="24"/>
        </w:rPr>
        <w:t>Процијењени</w:t>
      </w:r>
      <w:r w:rsidR="007B6BE3" w:rsidRPr="0087376B">
        <w:rPr>
          <w:rFonts w:ascii="Arial" w:hAnsi="Arial" w:cs="Arial"/>
          <w:szCs w:val="24"/>
        </w:rPr>
        <w:t xml:space="preserve"> </w:t>
      </w:r>
      <w:r w:rsidR="00E04BE0" w:rsidRPr="00E04BE0">
        <w:rPr>
          <w:rFonts w:ascii="Arial" w:hAnsi="Arial" w:cs="Arial"/>
          <w:szCs w:val="24"/>
        </w:rPr>
        <w:t>spread</w:t>
      </w:r>
      <w:r w:rsidR="007B6BE3" w:rsidRPr="00E04BE0">
        <w:rPr>
          <w:rFonts w:ascii="Arial" w:hAnsi="Arial" w:cs="Arial"/>
          <w:szCs w:val="24"/>
        </w:rPr>
        <w:t xml:space="preserve"> (</w:t>
      </w:r>
      <w:r w:rsidRPr="00E04BE0">
        <w:rPr>
          <w:rFonts w:ascii="Arial" w:hAnsi="Arial" w:cs="Arial"/>
          <w:szCs w:val="24"/>
        </w:rPr>
        <w:t>маргина</w:t>
      </w:r>
      <w:r w:rsidR="007B6BE3" w:rsidRPr="00E04BE0">
        <w:rPr>
          <w:rFonts w:ascii="Arial" w:hAnsi="Arial" w:cs="Arial"/>
          <w:szCs w:val="24"/>
        </w:rPr>
        <w:t xml:space="preserve">) </w:t>
      </w:r>
      <w:r w:rsidRPr="00E04BE0">
        <w:rPr>
          <w:rFonts w:ascii="Arial" w:hAnsi="Arial" w:cs="Arial"/>
          <w:szCs w:val="24"/>
        </w:rPr>
        <w:t>на</w:t>
      </w:r>
      <w:r w:rsidR="007B6BE3" w:rsidRPr="00E04BE0">
        <w:rPr>
          <w:rFonts w:ascii="Arial" w:hAnsi="Arial" w:cs="Arial"/>
          <w:szCs w:val="24"/>
        </w:rPr>
        <w:t xml:space="preserve"> </w:t>
      </w:r>
      <w:r w:rsidRPr="00E04BE0">
        <w:rPr>
          <w:rFonts w:ascii="Arial" w:hAnsi="Arial" w:cs="Arial"/>
          <w:szCs w:val="24"/>
        </w:rPr>
        <w:t>инструменте</w:t>
      </w:r>
      <w:r w:rsidR="007B6BE3" w:rsidRPr="00E04BE0">
        <w:rPr>
          <w:rFonts w:ascii="Arial" w:hAnsi="Arial" w:cs="Arial"/>
          <w:szCs w:val="24"/>
        </w:rPr>
        <w:t xml:space="preserve"> </w:t>
      </w:r>
      <w:r w:rsidRPr="00E04BE0">
        <w:rPr>
          <w:rFonts w:ascii="Arial" w:hAnsi="Arial" w:cs="Arial"/>
          <w:szCs w:val="24"/>
        </w:rPr>
        <w:t>дуга</w:t>
      </w:r>
      <w:r w:rsidR="007B6BE3" w:rsidRPr="00E04BE0">
        <w:rPr>
          <w:rFonts w:ascii="Arial" w:hAnsi="Arial" w:cs="Arial"/>
          <w:szCs w:val="24"/>
        </w:rPr>
        <w:t xml:space="preserve"> </w:t>
      </w:r>
      <w:r w:rsidRPr="00E04BE0">
        <w:rPr>
          <w:rFonts w:ascii="Arial" w:hAnsi="Arial" w:cs="Arial"/>
          <w:szCs w:val="24"/>
        </w:rPr>
        <w:t>са</w:t>
      </w:r>
      <w:r w:rsidR="007B6BE3" w:rsidRPr="00E04BE0">
        <w:rPr>
          <w:rFonts w:ascii="Arial" w:hAnsi="Arial" w:cs="Arial"/>
          <w:szCs w:val="24"/>
        </w:rPr>
        <w:t xml:space="preserve"> </w:t>
      </w:r>
      <w:r w:rsidRPr="00E04BE0">
        <w:rPr>
          <w:rFonts w:ascii="Arial" w:hAnsi="Arial" w:cs="Arial"/>
          <w:szCs w:val="24"/>
        </w:rPr>
        <w:t>варијабилном</w:t>
      </w:r>
      <w:r w:rsidR="007B6BE3" w:rsidRPr="00E04BE0">
        <w:rPr>
          <w:rFonts w:ascii="Arial" w:hAnsi="Arial" w:cs="Arial"/>
          <w:szCs w:val="24"/>
        </w:rPr>
        <w:t xml:space="preserve"> </w:t>
      </w:r>
      <w:r w:rsidRPr="00E04BE0">
        <w:rPr>
          <w:rFonts w:ascii="Arial" w:hAnsi="Arial" w:cs="Arial"/>
          <w:szCs w:val="24"/>
        </w:rPr>
        <w:t>каматном</w:t>
      </w:r>
      <w:r w:rsidR="007B6BE3" w:rsidRPr="00E04BE0">
        <w:rPr>
          <w:rFonts w:ascii="Arial" w:hAnsi="Arial" w:cs="Arial"/>
          <w:szCs w:val="24"/>
        </w:rPr>
        <w:t xml:space="preserve"> </w:t>
      </w:r>
      <w:r w:rsidRPr="00E04BE0">
        <w:rPr>
          <w:rFonts w:ascii="Arial" w:hAnsi="Arial" w:cs="Arial"/>
          <w:szCs w:val="24"/>
        </w:rPr>
        <w:t>стопом</w:t>
      </w:r>
      <w:r w:rsidR="007B6BE3" w:rsidRPr="00E04BE0">
        <w:rPr>
          <w:rFonts w:ascii="Arial" w:hAnsi="Arial" w:cs="Arial"/>
          <w:szCs w:val="24"/>
        </w:rPr>
        <w:t xml:space="preserve"> </w:t>
      </w:r>
      <w:r w:rsidRPr="00E04BE0">
        <w:rPr>
          <w:rFonts w:ascii="Arial" w:hAnsi="Arial" w:cs="Arial"/>
          <w:szCs w:val="24"/>
        </w:rPr>
        <w:t>у</w:t>
      </w:r>
      <w:r w:rsidR="007B6BE3" w:rsidRPr="00E04BE0">
        <w:rPr>
          <w:rFonts w:ascii="Arial" w:hAnsi="Arial" w:cs="Arial"/>
          <w:szCs w:val="24"/>
        </w:rPr>
        <w:t xml:space="preserve"> </w:t>
      </w:r>
      <w:r w:rsidRPr="00E04BE0">
        <w:rPr>
          <w:rFonts w:ascii="Arial" w:hAnsi="Arial" w:cs="Arial"/>
          <w:szCs w:val="24"/>
        </w:rPr>
        <w:t>периоду</w:t>
      </w:r>
      <w:r w:rsidR="007B6BE3" w:rsidRPr="00E04BE0">
        <w:rPr>
          <w:rFonts w:ascii="Arial" w:hAnsi="Arial" w:cs="Arial"/>
          <w:szCs w:val="24"/>
        </w:rPr>
        <w:t xml:space="preserve"> 2022 – 2024. </w:t>
      </w:r>
      <w:r w:rsidRPr="00E04BE0">
        <w:rPr>
          <w:rFonts w:ascii="Arial" w:hAnsi="Arial" w:cs="Arial"/>
          <w:szCs w:val="24"/>
        </w:rPr>
        <w:t>година</w:t>
      </w:r>
      <w:r w:rsidR="007B6BE3" w:rsidRPr="00E04BE0">
        <w:rPr>
          <w:rFonts w:ascii="Arial" w:hAnsi="Arial" w:cs="Arial"/>
          <w:szCs w:val="24"/>
        </w:rPr>
        <w:t xml:space="preserve"> </w:t>
      </w:r>
      <w:r w:rsidRPr="00E04BE0">
        <w:rPr>
          <w:rFonts w:ascii="Arial" w:hAnsi="Arial" w:cs="Arial"/>
          <w:szCs w:val="24"/>
        </w:rPr>
        <w:t>кориштене</w:t>
      </w:r>
      <w:r w:rsidR="007B6BE3" w:rsidRPr="00E04BE0">
        <w:rPr>
          <w:rFonts w:ascii="Arial" w:hAnsi="Arial" w:cs="Arial"/>
          <w:szCs w:val="24"/>
        </w:rPr>
        <w:t xml:space="preserve"> </w:t>
      </w:r>
      <w:r w:rsidRPr="00E04BE0">
        <w:rPr>
          <w:rFonts w:ascii="Arial" w:hAnsi="Arial" w:cs="Arial"/>
          <w:szCs w:val="24"/>
        </w:rPr>
        <w:t>у</w:t>
      </w:r>
      <w:r w:rsidR="007B6BE3" w:rsidRPr="00E04BE0">
        <w:rPr>
          <w:rFonts w:ascii="Arial" w:hAnsi="Arial" w:cs="Arial"/>
          <w:szCs w:val="24"/>
        </w:rPr>
        <w:t xml:space="preserve"> </w:t>
      </w:r>
      <w:r w:rsidR="00E04BE0" w:rsidRPr="00DB5BBF">
        <w:rPr>
          <w:rFonts w:ascii="Arial" w:hAnsi="Arial" w:cs="Arial"/>
          <w:szCs w:val="24"/>
        </w:rPr>
        <w:t>MTDS AT</w:t>
      </w:r>
    </w:p>
    <w:tbl>
      <w:tblPr>
        <w:tblW w:w="5019" w:type="pct"/>
        <w:jc w:val="cente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Look w:val="04A0" w:firstRow="1" w:lastRow="0" w:firstColumn="1" w:lastColumn="0" w:noHBand="0" w:noVBand="1"/>
      </w:tblPr>
      <w:tblGrid>
        <w:gridCol w:w="4253"/>
        <w:gridCol w:w="1698"/>
        <w:gridCol w:w="1698"/>
        <w:gridCol w:w="1699"/>
      </w:tblGrid>
      <w:tr w:rsidR="007B6BE3" w:rsidRPr="0087376B" w14:paraId="7DF70487" w14:textId="77777777" w:rsidTr="007B6BE3">
        <w:trPr>
          <w:trHeight w:val="302"/>
          <w:jc w:val="center"/>
        </w:trPr>
        <w:tc>
          <w:tcPr>
            <w:tcW w:w="2275" w:type="pct"/>
            <w:shd w:val="clear" w:color="auto" w:fill="auto"/>
            <w:noWrap/>
            <w:vAlign w:val="center"/>
            <w:hideMark/>
          </w:tcPr>
          <w:p w14:paraId="56E69520" w14:textId="77777777" w:rsidR="007B6BE3" w:rsidRPr="0087376B" w:rsidRDefault="007B6BE3" w:rsidP="007B6BE3">
            <w:pPr>
              <w:spacing w:after="0" w:line="240" w:lineRule="auto"/>
              <w:rPr>
                <w:rFonts w:ascii="Arial" w:eastAsia="Times New Roman" w:hAnsi="Arial" w:cs="Arial"/>
                <w:b/>
                <w:bCs/>
                <w:color w:val="FFFFFF"/>
                <w:sz w:val="20"/>
                <w:szCs w:val="20"/>
              </w:rPr>
            </w:pPr>
            <w:r w:rsidRPr="0087376B">
              <w:rPr>
                <w:rFonts w:ascii="Arial" w:eastAsia="Times New Roman" w:hAnsi="Arial" w:cs="Arial"/>
                <w:b/>
                <w:bCs/>
                <w:color w:val="FFFFFF"/>
                <w:sz w:val="20"/>
                <w:szCs w:val="20"/>
              </w:rPr>
              <w:t> </w:t>
            </w:r>
          </w:p>
        </w:tc>
        <w:tc>
          <w:tcPr>
            <w:tcW w:w="908" w:type="pct"/>
            <w:shd w:val="clear" w:color="auto" w:fill="auto"/>
            <w:noWrap/>
            <w:vAlign w:val="center"/>
            <w:hideMark/>
          </w:tcPr>
          <w:p w14:paraId="66F3C6B0" w14:textId="77777777" w:rsidR="007B6BE3" w:rsidRPr="0087376B" w:rsidRDefault="007B6BE3" w:rsidP="007B6BE3">
            <w:pPr>
              <w:spacing w:after="0" w:line="240" w:lineRule="auto"/>
              <w:jc w:val="center"/>
              <w:rPr>
                <w:rFonts w:ascii="Arial" w:eastAsia="Times New Roman" w:hAnsi="Arial" w:cs="Arial"/>
                <w:color w:val="000000"/>
                <w:sz w:val="20"/>
                <w:szCs w:val="20"/>
              </w:rPr>
            </w:pPr>
            <w:r w:rsidRPr="0087376B">
              <w:rPr>
                <w:rFonts w:ascii="Arial" w:eastAsia="Times New Roman" w:hAnsi="Arial" w:cs="Arial"/>
                <w:color w:val="000000"/>
                <w:sz w:val="20"/>
                <w:szCs w:val="20"/>
              </w:rPr>
              <w:t>2023</w:t>
            </w:r>
          </w:p>
        </w:tc>
        <w:tc>
          <w:tcPr>
            <w:tcW w:w="908" w:type="pct"/>
            <w:shd w:val="clear" w:color="auto" w:fill="auto"/>
            <w:noWrap/>
            <w:vAlign w:val="center"/>
            <w:hideMark/>
          </w:tcPr>
          <w:p w14:paraId="311A3484" w14:textId="77777777" w:rsidR="007B6BE3" w:rsidRPr="0087376B" w:rsidRDefault="007B6BE3" w:rsidP="007B6BE3">
            <w:pPr>
              <w:spacing w:after="0" w:line="240" w:lineRule="auto"/>
              <w:jc w:val="center"/>
              <w:rPr>
                <w:rFonts w:ascii="Arial" w:eastAsia="Times New Roman" w:hAnsi="Arial" w:cs="Arial"/>
                <w:color w:val="000000"/>
                <w:sz w:val="20"/>
                <w:szCs w:val="20"/>
              </w:rPr>
            </w:pPr>
            <w:r w:rsidRPr="0087376B">
              <w:rPr>
                <w:rFonts w:ascii="Arial" w:eastAsia="Times New Roman" w:hAnsi="Arial" w:cs="Arial"/>
                <w:color w:val="000000"/>
                <w:sz w:val="20"/>
                <w:szCs w:val="20"/>
              </w:rPr>
              <w:t>2024</w:t>
            </w:r>
          </w:p>
        </w:tc>
        <w:tc>
          <w:tcPr>
            <w:tcW w:w="909" w:type="pct"/>
            <w:shd w:val="clear" w:color="auto" w:fill="auto"/>
            <w:noWrap/>
            <w:vAlign w:val="center"/>
            <w:hideMark/>
          </w:tcPr>
          <w:p w14:paraId="555D78FA" w14:textId="77777777" w:rsidR="007B6BE3" w:rsidRPr="0087376B" w:rsidRDefault="007B6BE3" w:rsidP="007B6BE3">
            <w:pPr>
              <w:spacing w:after="0" w:line="240" w:lineRule="auto"/>
              <w:jc w:val="center"/>
              <w:rPr>
                <w:rFonts w:ascii="Arial" w:eastAsia="Times New Roman" w:hAnsi="Arial" w:cs="Arial"/>
                <w:color w:val="000000"/>
                <w:sz w:val="20"/>
                <w:szCs w:val="20"/>
              </w:rPr>
            </w:pPr>
            <w:r w:rsidRPr="0087376B">
              <w:rPr>
                <w:rFonts w:ascii="Arial" w:eastAsia="Times New Roman" w:hAnsi="Arial" w:cs="Arial"/>
                <w:color w:val="000000"/>
                <w:sz w:val="20"/>
                <w:szCs w:val="20"/>
              </w:rPr>
              <w:t>2025</w:t>
            </w:r>
          </w:p>
        </w:tc>
      </w:tr>
      <w:tr w:rsidR="007B6BE3" w:rsidRPr="0087376B" w14:paraId="14DD4F11" w14:textId="77777777" w:rsidTr="007B6BE3">
        <w:trPr>
          <w:trHeight w:val="302"/>
          <w:jc w:val="center"/>
        </w:trPr>
        <w:tc>
          <w:tcPr>
            <w:tcW w:w="2275" w:type="pct"/>
            <w:shd w:val="clear" w:color="auto" w:fill="auto"/>
            <w:noWrap/>
            <w:vAlign w:val="center"/>
            <w:hideMark/>
          </w:tcPr>
          <w:p w14:paraId="0875BCF6" w14:textId="77777777" w:rsidR="007B6BE3" w:rsidRPr="00E04BE0" w:rsidRDefault="005B20F8" w:rsidP="00E04BE0">
            <w:pPr>
              <w:spacing w:after="0" w:line="240" w:lineRule="auto"/>
              <w:rPr>
                <w:rFonts w:ascii="Arial" w:eastAsia="Times New Roman" w:hAnsi="Arial" w:cs="Arial"/>
                <w:bCs/>
                <w:sz w:val="20"/>
                <w:szCs w:val="20"/>
              </w:rPr>
            </w:pPr>
            <w:r w:rsidRPr="00E04BE0">
              <w:rPr>
                <w:rFonts w:ascii="Arial" w:eastAsia="Times New Roman" w:hAnsi="Arial" w:cs="Arial"/>
                <w:bCs/>
                <w:sz w:val="20"/>
                <w:szCs w:val="20"/>
              </w:rPr>
              <w:t>Концесионални</w:t>
            </w:r>
            <w:r w:rsidR="007B6BE3" w:rsidRPr="00E04BE0">
              <w:rPr>
                <w:rFonts w:ascii="Arial" w:eastAsia="Times New Roman" w:hAnsi="Arial" w:cs="Arial"/>
                <w:bCs/>
                <w:sz w:val="20"/>
                <w:szCs w:val="20"/>
              </w:rPr>
              <w:t xml:space="preserve"> </w:t>
            </w:r>
            <w:r w:rsidR="00E04BE0" w:rsidRPr="00E04BE0">
              <w:rPr>
                <w:rFonts w:ascii="Arial" w:eastAsia="Times New Roman" w:hAnsi="Arial" w:cs="Arial"/>
                <w:bCs/>
                <w:sz w:val="20"/>
                <w:szCs w:val="20"/>
              </w:rPr>
              <w:t>USD</w:t>
            </w:r>
            <w:r w:rsidR="007B6BE3" w:rsidRPr="00E04BE0">
              <w:rPr>
                <w:rFonts w:ascii="Arial" w:eastAsia="Times New Roman" w:hAnsi="Arial" w:cs="Arial"/>
                <w:bCs/>
                <w:sz w:val="20"/>
                <w:szCs w:val="20"/>
              </w:rPr>
              <w:t xml:space="preserve"> </w:t>
            </w:r>
            <w:r w:rsidRPr="00E04BE0">
              <w:rPr>
                <w:rFonts w:ascii="Arial" w:eastAsia="Times New Roman" w:hAnsi="Arial" w:cs="Arial"/>
                <w:bCs/>
                <w:sz w:val="20"/>
                <w:szCs w:val="20"/>
              </w:rPr>
              <w:t>Варијабилни</w:t>
            </w:r>
          </w:p>
        </w:tc>
        <w:tc>
          <w:tcPr>
            <w:tcW w:w="908" w:type="pct"/>
            <w:shd w:val="clear" w:color="auto" w:fill="auto"/>
            <w:noWrap/>
            <w:vAlign w:val="center"/>
            <w:hideMark/>
          </w:tcPr>
          <w:p w14:paraId="27DEDE0B" w14:textId="77777777" w:rsidR="007B6BE3" w:rsidRPr="0087376B" w:rsidRDefault="007B6BE3" w:rsidP="007B6BE3">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1,50%</w:t>
            </w:r>
          </w:p>
        </w:tc>
        <w:tc>
          <w:tcPr>
            <w:tcW w:w="908" w:type="pct"/>
            <w:shd w:val="clear" w:color="auto" w:fill="auto"/>
            <w:noWrap/>
            <w:vAlign w:val="center"/>
            <w:hideMark/>
          </w:tcPr>
          <w:p w14:paraId="2BF91A13" w14:textId="77777777" w:rsidR="007B6BE3" w:rsidRPr="0087376B" w:rsidRDefault="007B6BE3" w:rsidP="007B6BE3">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1,50%</w:t>
            </w:r>
          </w:p>
        </w:tc>
        <w:tc>
          <w:tcPr>
            <w:tcW w:w="909" w:type="pct"/>
            <w:shd w:val="clear" w:color="auto" w:fill="auto"/>
            <w:noWrap/>
            <w:vAlign w:val="center"/>
            <w:hideMark/>
          </w:tcPr>
          <w:p w14:paraId="0E6A08B9" w14:textId="77777777" w:rsidR="007B6BE3" w:rsidRPr="0087376B" w:rsidRDefault="007B6BE3" w:rsidP="007B6BE3">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1,50%</w:t>
            </w:r>
          </w:p>
        </w:tc>
      </w:tr>
      <w:tr w:rsidR="007B6BE3" w:rsidRPr="0087376B" w14:paraId="0070450A" w14:textId="77777777" w:rsidTr="007B6BE3">
        <w:trPr>
          <w:trHeight w:val="302"/>
          <w:jc w:val="center"/>
        </w:trPr>
        <w:tc>
          <w:tcPr>
            <w:tcW w:w="2275" w:type="pct"/>
            <w:shd w:val="clear" w:color="auto" w:fill="auto"/>
            <w:noWrap/>
            <w:vAlign w:val="center"/>
            <w:hideMark/>
          </w:tcPr>
          <w:p w14:paraId="092EF8F3" w14:textId="77777777" w:rsidR="007B6BE3" w:rsidRPr="00E04BE0" w:rsidRDefault="005B20F8" w:rsidP="00E04BE0">
            <w:pPr>
              <w:spacing w:after="0" w:line="240" w:lineRule="auto"/>
              <w:rPr>
                <w:rFonts w:ascii="Arial" w:eastAsia="Times New Roman" w:hAnsi="Arial" w:cs="Arial"/>
                <w:bCs/>
                <w:sz w:val="20"/>
                <w:szCs w:val="20"/>
              </w:rPr>
            </w:pPr>
            <w:r w:rsidRPr="00E04BE0">
              <w:rPr>
                <w:rFonts w:ascii="Arial" w:eastAsia="Times New Roman" w:hAnsi="Arial" w:cs="Arial"/>
                <w:bCs/>
                <w:sz w:val="20"/>
                <w:szCs w:val="20"/>
              </w:rPr>
              <w:t>Концесионални</w:t>
            </w:r>
            <w:r w:rsidR="007B6BE3" w:rsidRPr="00E04BE0">
              <w:rPr>
                <w:rFonts w:ascii="Arial" w:eastAsia="Times New Roman" w:hAnsi="Arial" w:cs="Arial"/>
                <w:bCs/>
                <w:sz w:val="20"/>
                <w:szCs w:val="20"/>
              </w:rPr>
              <w:t xml:space="preserve"> </w:t>
            </w:r>
            <w:r w:rsidRPr="00E04BE0">
              <w:rPr>
                <w:rFonts w:ascii="Arial" w:eastAsia="Times New Roman" w:hAnsi="Arial" w:cs="Arial"/>
                <w:bCs/>
                <w:sz w:val="20"/>
                <w:szCs w:val="20"/>
              </w:rPr>
              <w:t>Е</w:t>
            </w:r>
            <w:r w:rsidR="00E04BE0" w:rsidRPr="00E04BE0">
              <w:rPr>
                <w:rFonts w:ascii="Arial" w:eastAsia="Times New Roman" w:hAnsi="Arial" w:cs="Arial"/>
                <w:bCs/>
                <w:sz w:val="20"/>
                <w:szCs w:val="20"/>
              </w:rPr>
              <w:t>UR</w:t>
            </w:r>
            <w:r w:rsidR="007B6BE3" w:rsidRPr="00E04BE0">
              <w:rPr>
                <w:rFonts w:ascii="Arial" w:eastAsia="Times New Roman" w:hAnsi="Arial" w:cs="Arial"/>
                <w:bCs/>
                <w:sz w:val="20"/>
                <w:szCs w:val="20"/>
              </w:rPr>
              <w:t xml:space="preserve"> </w:t>
            </w:r>
            <w:r w:rsidRPr="00E04BE0">
              <w:rPr>
                <w:rFonts w:ascii="Arial" w:eastAsia="Times New Roman" w:hAnsi="Arial" w:cs="Arial"/>
                <w:bCs/>
                <w:sz w:val="20"/>
                <w:szCs w:val="20"/>
              </w:rPr>
              <w:t>Варијабилни</w:t>
            </w:r>
          </w:p>
        </w:tc>
        <w:tc>
          <w:tcPr>
            <w:tcW w:w="908" w:type="pct"/>
            <w:shd w:val="clear" w:color="auto" w:fill="auto"/>
            <w:noWrap/>
            <w:vAlign w:val="center"/>
            <w:hideMark/>
          </w:tcPr>
          <w:p w14:paraId="6A113779" w14:textId="77777777" w:rsidR="007B6BE3" w:rsidRPr="0087376B" w:rsidRDefault="007B6BE3" w:rsidP="007B6BE3">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1,25%</w:t>
            </w:r>
          </w:p>
        </w:tc>
        <w:tc>
          <w:tcPr>
            <w:tcW w:w="908" w:type="pct"/>
            <w:shd w:val="clear" w:color="auto" w:fill="auto"/>
            <w:noWrap/>
            <w:vAlign w:val="center"/>
            <w:hideMark/>
          </w:tcPr>
          <w:p w14:paraId="318A1BD0" w14:textId="77777777" w:rsidR="007B6BE3" w:rsidRPr="0087376B" w:rsidRDefault="007B6BE3" w:rsidP="007B6BE3">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1,25%</w:t>
            </w:r>
          </w:p>
        </w:tc>
        <w:tc>
          <w:tcPr>
            <w:tcW w:w="909" w:type="pct"/>
            <w:shd w:val="clear" w:color="auto" w:fill="auto"/>
            <w:noWrap/>
            <w:vAlign w:val="center"/>
            <w:hideMark/>
          </w:tcPr>
          <w:p w14:paraId="1A59C1E6" w14:textId="77777777" w:rsidR="007B6BE3" w:rsidRPr="0087376B" w:rsidRDefault="007B6BE3" w:rsidP="007B6BE3">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1,25%</w:t>
            </w:r>
          </w:p>
        </w:tc>
      </w:tr>
      <w:tr w:rsidR="007B6BE3" w:rsidRPr="0087376B" w14:paraId="2C4C2D35" w14:textId="77777777" w:rsidTr="007B6BE3">
        <w:trPr>
          <w:trHeight w:val="302"/>
          <w:jc w:val="center"/>
        </w:trPr>
        <w:tc>
          <w:tcPr>
            <w:tcW w:w="2275" w:type="pct"/>
            <w:shd w:val="clear" w:color="auto" w:fill="auto"/>
            <w:noWrap/>
            <w:vAlign w:val="center"/>
            <w:hideMark/>
          </w:tcPr>
          <w:p w14:paraId="6E1531C0" w14:textId="77777777" w:rsidR="007B6BE3" w:rsidRPr="00E04BE0" w:rsidRDefault="00E04BE0" w:rsidP="007B6BE3">
            <w:pPr>
              <w:spacing w:after="0" w:line="240" w:lineRule="auto"/>
              <w:rPr>
                <w:rFonts w:ascii="Arial" w:eastAsia="Times New Roman" w:hAnsi="Arial" w:cs="Arial"/>
                <w:bCs/>
                <w:sz w:val="20"/>
                <w:szCs w:val="20"/>
              </w:rPr>
            </w:pPr>
            <w:r w:rsidRPr="00E04BE0">
              <w:rPr>
                <w:rFonts w:ascii="Arial" w:eastAsia="Times New Roman" w:hAnsi="Arial" w:cs="Arial"/>
                <w:bCs/>
                <w:sz w:val="20"/>
                <w:szCs w:val="20"/>
              </w:rPr>
              <w:t xml:space="preserve">IMF RFI USD </w:t>
            </w:r>
            <w:r w:rsidR="005B20F8" w:rsidRPr="00E04BE0">
              <w:rPr>
                <w:rFonts w:ascii="Arial" w:eastAsia="Times New Roman" w:hAnsi="Arial" w:cs="Arial"/>
                <w:bCs/>
                <w:sz w:val="20"/>
                <w:szCs w:val="20"/>
              </w:rPr>
              <w:t>Варијабилни</w:t>
            </w:r>
          </w:p>
        </w:tc>
        <w:tc>
          <w:tcPr>
            <w:tcW w:w="908" w:type="pct"/>
            <w:shd w:val="clear" w:color="auto" w:fill="auto"/>
            <w:noWrap/>
            <w:vAlign w:val="center"/>
            <w:hideMark/>
          </w:tcPr>
          <w:p w14:paraId="3E227788" w14:textId="77777777" w:rsidR="007B6BE3" w:rsidRPr="0087376B" w:rsidRDefault="007B6BE3" w:rsidP="007B6BE3">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1,00%</w:t>
            </w:r>
          </w:p>
        </w:tc>
        <w:tc>
          <w:tcPr>
            <w:tcW w:w="908" w:type="pct"/>
            <w:shd w:val="clear" w:color="auto" w:fill="auto"/>
            <w:noWrap/>
            <w:vAlign w:val="center"/>
            <w:hideMark/>
          </w:tcPr>
          <w:p w14:paraId="4B506742" w14:textId="77777777" w:rsidR="007B6BE3" w:rsidRPr="0087376B" w:rsidRDefault="007B6BE3" w:rsidP="007B6BE3">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1,00%</w:t>
            </w:r>
          </w:p>
        </w:tc>
        <w:tc>
          <w:tcPr>
            <w:tcW w:w="909" w:type="pct"/>
            <w:shd w:val="clear" w:color="auto" w:fill="auto"/>
            <w:noWrap/>
            <w:vAlign w:val="center"/>
            <w:hideMark/>
          </w:tcPr>
          <w:p w14:paraId="66963A6C" w14:textId="77777777" w:rsidR="007B6BE3" w:rsidRPr="0087376B" w:rsidRDefault="007B6BE3" w:rsidP="007B6BE3">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1,00%</w:t>
            </w:r>
          </w:p>
        </w:tc>
      </w:tr>
      <w:tr w:rsidR="007B6BE3" w:rsidRPr="0087376B" w14:paraId="70017536" w14:textId="77777777" w:rsidTr="007B6BE3">
        <w:trPr>
          <w:trHeight w:val="318"/>
          <w:jc w:val="center"/>
        </w:trPr>
        <w:tc>
          <w:tcPr>
            <w:tcW w:w="2275" w:type="pct"/>
            <w:shd w:val="clear" w:color="auto" w:fill="auto"/>
            <w:noWrap/>
            <w:vAlign w:val="center"/>
            <w:hideMark/>
          </w:tcPr>
          <w:p w14:paraId="016F1A48" w14:textId="77777777" w:rsidR="007B6BE3" w:rsidRPr="00E04BE0" w:rsidRDefault="00E04BE0" w:rsidP="007B6BE3">
            <w:pPr>
              <w:spacing w:after="0" w:line="240" w:lineRule="auto"/>
              <w:rPr>
                <w:rFonts w:ascii="Arial" w:eastAsia="Times New Roman" w:hAnsi="Arial" w:cs="Arial"/>
                <w:bCs/>
                <w:sz w:val="20"/>
                <w:szCs w:val="20"/>
              </w:rPr>
            </w:pPr>
            <w:r w:rsidRPr="00E04BE0">
              <w:rPr>
                <w:rFonts w:ascii="Arial" w:eastAsia="Times New Roman" w:hAnsi="Arial" w:cs="Arial"/>
                <w:bCs/>
                <w:sz w:val="20"/>
                <w:szCs w:val="20"/>
              </w:rPr>
              <w:t xml:space="preserve">IMF EFF USD </w:t>
            </w:r>
            <w:r w:rsidR="005B20F8" w:rsidRPr="00E04BE0">
              <w:rPr>
                <w:rFonts w:ascii="Arial" w:eastAsia="Times New Roman" w:hAnsi="Arial" w:cs="Arial"/>
                <w:bCs/>
                <w:sz w:val="20"/>
                <w:szCs w:val="20"/>
              </w:rPr>
              <w:t>Варијабилни</w:t>
            </w:r>
          </w:p>
        </w:tc>
        <w:tc>
          <w:tcPr>
            <w:tcW w:w="908" w:type="pct"/>
            <w:shd w:val="clear" w:color="auto" w:fill="auto"/>
            <w:noWrap/>
            <w:vAlign w:val="center"/>
            <w:hideMark/>
          </w:tcPr>
          <w:p w14:paraId="1E4FEF56" w14:textId="77777777" w:rsidR="007B6BE3" w:rsidRPr="0087376B" w:rsidRDefault="007B6BE3" w:rsidP="007B6BE3">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1,00%</w:t>
            </w:r>
          </w:p>
        </w:tc>
        <w:tc>
          <w:tcPr>
            <w:tcW w:w="908" w:type="pct"/>
            <w:shd w:val="clear" w:color="auto" w:fill="auto"/>
            <w:noWrap/>
            <w:vAlign w:val="center"/>
            <w:hideMark/>
          </w:tcPr>
          <w:p w14:paraId="7B9D6C0A" w14:textId="77777777" w:rsidR="007B6BE3" w:rsidRPr="0087376B" w:rsidRDefault="007B6BE3" w:rsidP="007B6BE3">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1,00%</w:t>
            </w:r>
          </w:p>
        </w:tc>
        <w:tc>
          <w:tcPr>
            <w:tcW w:w="909" w:type="pct"/>
            <w:shd w:val="clear" w:color="auto" w:fill="auto"/>
            <w:noWrap/>
            <w:vAlign w:val="center"/>
            <w:hideMark/>
          </w:tcPr>
          <w:p w14:paraId="6146B102" w14:textId="77777777" w:rsidR="007B6BE3" w:rsidRPr="0087376B" w:rsidRDefault="007B6BE3" w:rsidP="007B6BE3">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1,00%</w:t>
            </w:r>
          </w:p>
        </w:tc>
      </w:tr>
    </w:tbl>
    <w:p w14:paraId="02FA9082" w14:textId="77777777" w:rsidR="007B6BE3" w:rsidRPr="0087376B" w:rsidRDefault="007B6BE3" w:rsidP="007B6BE3">
      <w:pPr>
        <w:spacing w:after="0"/>
        <w:jc w:val="both"/>
        <w:rPr>
          <w:rFonts w:ascii="Arial" w:hAnsi="Arial" w:cs="Arial"/>
          <w:sz w:val="24"/>
          <w:szCs w:val="24"/>
        </w:rPr>
      </w:pPr>
    </w:p>
    <w:p w14:paraId="61867050" w14:textId="77777777" w:rsidR="007B6BE3" w:rsidRPr="00E04BE0" w:rsidRDefault="005B20F8" w:rsidP="007B6BE3">
      <w:pPr>
        <w:autoSpaceDE w:val="0"/>
        <w:autoSpaceDN w:val="0"/>
        <w:adjustRightInd w:val="0"/>
        <w:spacing w:after="18" w:line="240" w:lineRule="auto"/>
        <w:ind w:firstLine="720"/>
        <w:jc w:val="both"/>
        <w:rPr>
          <w:rFonts w:ascii="Arial" w:hAnsi="Arial" w:cs="Arial"/>
        </w:rPr>
      </w:pPr>
      <w:r w:rsidRPr="00E04BE0">
        <w:rPr>
          <w:rFonts w:ascii="Arial" w:hAnsi="Arial" w:cs="Arial"/>
        </w:rPr>
        <w:t>Пројекције</w:t>
      </w:r>
      <w:r w:rsidR="007B6BE3" w:rsidRPr="00E04BE0">
        <w:rPr>
          <w:rFonts w:ascii="Arial" w:hAnsi="Arial" w:cs="Arial"/>
        </w:rPr>
        <w:t xml:space="preserve"> </w:t>
      </w:r>
      <w:r w:rsidRPr="00E04BE0">
        <w:rPr>
          <w:rFonts w:ascii="Arial" w:hAnsi="Arial" w:cs="Arial"/>
        </w:rPr>
        <w:t>Европске</w:t>
      </w:r>
      <w:r w:rsidR="007B6BE3" w:rsidRPr="00E04BE0">
        <w:rPr>
          <w:rFonts w:ascii="Arial" w:hAnsi="Arial" w:cs="Arial"/>
        </w:rPr>
        <w:t xml:space="preserve"> </w:t>
      </w:r>
      <w:r w:rsidRPr="00E04BE0">
        <w:rPr>
          <w:rFonts w:ascii="Arial" w:hAnsi="Arial" w:cs="Arial"/>
        </w:rPr>
        <w:t>централне</w:t>
      </w:r>
      <w:r w:rsidR="007B6BE3" w:rsidRPr="00E04BE0">
        <w:rPr>
          <w:rFonts w:ascii="Arial" w:hAnsi="Arial" w:cs="Arial"/>
        </w:rPr>
        <w:t xml:space="preserve"> </w:t>
      </w:r>
      <w:r w:rsidRPr="00E04BE0">
        <w:rPr>
          <w:rFonts w:ascii="Arial" w:hAnsi="Arial" w:cs="Arial"/>
        </w:rPr>
        <w:t>банке</w:t>
      </w:r>
      <w:r w:rsidR="007B6BE3" w:rsidRPr="00E04BE0">
        <w:rPr>
          <w:rFonts w:ascii="Arial" w:hAnsi="Arial" w:cs="Arial"/>
        </w:rPr>
        <w:t xml:space="preserve"> </w:t>
      </w:r>
      <w:r w:rsidRPr="00E04BE0">
        <w:rPr>
          <w:rFonts w:ascii="Arial" w:hAnsi="Arial" w:cs="Arial"/>
        </w:rPr>
        <w:t>из</w:t>
      </w:r>
      <w:r w:rsidR="007B6BE3" w:rsidRPr="00E04BE0">
        <w:rPr>
          <w:rFonts w:ascii="Arial" w:hAnsi="Arial" w:cs="Arial"/>
        </w:rPr>
        <w:t xml:space="preserve"> </w:t>
      </w:r>
      <w:r w:rsidRPr="00E04BE0">
        <w:rPr>
          <w:rFonts w:ascii="Arial" w:hAnsi="Arial" w:cs="Arial"/>
        </w:rPr>
        <w:t>новембра</w:t>
      </w:r>
      <w:r w:rsidR="007B6BE3" w:rsidRPr="00E04BE0">
        <w:rPr>
          <w:rFonts w:ascii="Arial" w:hAnsi="Arial" w:cs="Arial"/>
        </w:rPr>
        <w:t xml:space="preserve"> 2022. </w:t>
      </w:r>
      <w:r w:rsidRPr="00E04BE0">
        <w:rPr>
          <w:rFonts w:ascii="Arial" w:hAnsi="Arial" w:cs="Arial"/>
        </w:rPr>
        <w:t>године</w:t>
      </w:r>
      <w:r w:rsidR="007B6BE3" w:rsidRPr="00E04BE0">
        <w:rPr>
          <w:rFonts w:ascii="Arial" w:hAnsi="Arial" w:cs="Arial"/>
        </w:rPr>
        <w:t xml:space="preserve"> </w:t>
      </w:r>
      <w:r w:rsidRPr="00E04BE0">
        <w:rPr>
          <w:rFonts w:ascii="Arial" w:hAnsi="Arial" w:cs="Arial"/>
        </w:rPr>
        <w:t>указују</w:t>
      </w:r>
      <w:r w:rsidR="007B6BE3" w:rsidRPr="00E04BE0">
        <w:rPr>
          <w:rFonts w:ascii="Arial" w:hAnsi="Arial" w:cs="Arial"/>
        </w:rPr>
        <w:t xml:space="preserve"> </w:t>
      </w:r>
      <w:r w:rsidRPr="00E04BE0">
        <w:rPr>
          <w:rFonts w:ascii="Arial" w:hAnsi="Arial" w:cs="Arial"/>
        </w:rPr>
        <w:t>на</w:t>
      </w:r>
      <w:r w:rsidR="007B6BE3" w:rsidRPr="00E04BE0">
        <w:rPr>
          <w:rFonts w:ascii="Arial" w:hAnsi="Arial" w:cs="Arial"/>
        </w:rPr>
        <w:t xml:space="preserve"> </w:t>
      </w:r>
      <w:r w:rsidRPr="00E04BE0">
        <w:rPr>
          <w:rFonts w:ascii="Arial" w:hAnsi="Arial" w:cs="Arial"/>
        </w:rPr>
        <w:t>јачање</w:t>
      </w:r>
      <w:r w:rsidR="007B6BE3" w:rsidRPr="00E04BE0">
        <w:rPr>
          <w:rFonts w:ascii="Arial" w:hAnsi="Arial" w:cs="Arial"/>
        </w:rPr>
        <w:t xml:space="preserve"> </w:t>
      </w:r>
      <w:r w:rsidR="00E04BE0" w:rsidRPr="00E04BE0">
        <w:rPr>
          <w:rFonts w:ascii="Arial" w:hAnsi="Arial" w:cs="Arial"/>
        </w:rPr>
        <w:t>USD</w:t>
      </w:r>
      <w:r w:rsidR="007B6BE3" w:rsidRPr="00E04BE0">
        <w:rPr>
          <w:rFonts w:ascii="Arial" w:hAnsi="Arial" w:cs="Arial"/>
        </w:rPr>
        <w:t>-</w:t>
      </w:r>
      <w:r w:rsidRPr="00E04BE0">
        <w:rPr>
          <w:rFonts w:ascii="Arial" w:hAnsi="Arial" w:cs="Arial"/>
        </w:rPr>
        <w:t>а</w:t>
      </w:r>
      <w:r w:rsidR="007B6BE3" w:rsidRPr="00E04BE0">
        <w:rPr>
          <w:rFonts w:ascii="Arial" w:hAnsi="Arial" w:cs="Arial"/>
        </w:rPr>
        <w:t xml:space="preserve"> </w:t>
      </w:r>
      <w:r w:rsidRPr="00E04BE0">
        <w:rPr>
          <w:rFonts w:ascii="Arial" w:hAnsi="Arial" w:cs="Arial"/>
        </w:rPr>
        <w:t>у</w:t>
      </w:r>
      <w:r w:rsidR="007B6BE3" w:rsidRPr="00E04BE0">
        <w:rPr>
          <w:rFonts w:ascii="Arial" w:hAnsi="Arial" w:cs="Arial"/>
        </w:rPr>
        <w:t xml:space="preserve"> </w:t>
      </w:r>
      <w:r w:rsidRPr="00E04BE0">
        <w:rPr>
          <w:rFonts w:ascii="Arial" w:hAnsi="Arial" w:cs="Arial"/>
        </w:rPr>
        <w:t>односу</w:t>
      </w:r>
      <w:r w:rsidR="007B6BE3" w:rsidRPr="00E04BE0">
        <w:rPr>
          <w:rFonts w:ascii="Arial" w:hAnsi="Arial" w:cs="Arial"/>
        </w:rPr>
        <w:t xml:space="preserve"> </w:t>
      </w:r>
      <w:r w:rsidRPr="00E04BE0">
        <w:rPr>
          <w:rFonts w:ascii="Arial" w:hAnsi="Arial" w:cs="Arial"/>
        </w:rPr>
        <w:t>на</w:t>
      </w:r>
      <w:r w:rsidR="007B6BE3" w:rsidRPr="00E04BE0">
        <w:rPr>
          <w:rFonts w:ascii="Arial" w:hAnsi="Arial" w:cs="Arial"/>
        </w:rPr>
        <w:t xml:space="preserve"> </w:t>
      </w:r>
      <w:r w:rsidRPr="00E04BE0">
        <w:rPr>
          <w:rFonts w:ascii="Arial" w:hAnsi="Arial" w:cs="Arial"/>
        </w:rPr>
        <w:t>крај</w:t>
      </w:r>
      <w:r w:rsidR="007B6BE3" w:rsidRPr="00E04BE0">
        <w:rPr>
          <w:rFonts w:ascii="Arial" w:hAnsi="Arial" w:cs="Arial"/>
        </w:rPr>
        <w:t xml:space="preserve"> 2021. </w:t>
      </w:r>
      <w:r w:rsidRPr="00E04BE0">
        <w:rPr>
          <w:rFonts w:ascii="Arial" w:hAnsi="Arial" w:cs="Arial"/>
        </w:rPr>
        <w:t>године</w:t>
      </w:r>
      <w:r w:rsidR="007B6BE3" w:rsidRPr="00E04BE0">
        <w:rPr>
          <w:rFonts w:ascii="Arial" w:hAnsi="Arial" w:cs="Arial"/>
        </w:rPr>
        <w:t xml:space="preserve"> </w:t>
      </w:r>
      <w:r w:rsidRPr="00E04BE0">
        <w:rPr>
          <w:rFonts w:ascii="Arial" w:hAnsi="Arial" w:cs="Arial"/>
        </w:rPr>
        <w:t>за</w:t>
      </w:r>
      <w:r w:rsidR="007B6BE3" w:rsidRPr="00E04BE0">
        <w:rPr>
          <w:rFonts w:ascii="Arial" w:hAnsi="Arial" w:cs="Arial"/>
        </w:rPr>
        <w:t xml:space="preserve"> 7,9% </w:t>
      </w:r>
      <w:r w:rsidRPr="00E04BE0">
        <w:rPr>
          <w:rFonts w:ascii="Arial" w:hAnsi="Arial" w:cs="Arial"/>
        </w:rPr>
        <w:t>у</w:t>
      </w:r>
      <w:r w:rsidR="007B6BE3" w:rsidRPr="00E04BE0">
        <w:rPr>
          <w:rFonts w:ascii="Arial" w:hAnsi="Arial" w:cs="Arial"/>
        </w:rPr>
        <w:t xml:space="preserve"> 2022. </w:t>
      </w:r>
      <w:r w:rsidRPr="00E04BE0">
        <w:rPr>
          <w:rFonts w:ascii="Arial" w:hAnsi="Arial" w:cs="Arial"/>
        </w:rPr>
        <w:t>години</w:t>
      </w:r>
      <w:r w:rsidR="007B6BE3" w:rsidRPr="00E04BE0">
        <w:rPr>
          <w:rFonts w:ascii="Arial" w:hAnsi="Arial" w:cs="Arial"/>
        </w:rPr>
        <w:t xml:space="preserve">, 4,0% </w:t>
      </w:r>
      <w:r w:rsidRPr="00E04BE0">
        <w:rPr>
          <w:rFonts w:ascii="Arial" w:hAnsi="Arial" w:cs="Arial"/>
        </w:rPr>
        <w:t>у</w:t>
      </w:r>
      <w:r w:rsidR="007B6BE3" w:rsidRPr="00E04BE0">
        <w:rPr>
          <w:rFonts w:ascii="Arial" w:hAnsi="Arial" w:cs="Arial"/>
        </w:rPr>
        <w:t xml:space="preserve"> 2023. </w:t>
      </w:r>
      <w:r w:rsidRPr="00E04BE0">
        <w:rPr>
          <w:rFonts w:ascii="Arial" w:hAnsi="Arial" w:cs="Arial"/>
        </w:rPr>
        <w:t>години</w:t>
      </w:r>
      <w:r w:rsidR="007B6BE3" w:rsidRPr="00E04BE0">
        <w:rPr>
          <w:rFonts w:ascii="Arial" w:hAnsi="Arial" w:cs="Arial"/>
        </w:rPr>
        <w:t xml:space="preserve"> </w:t>
      </w:r>
      <w:r w:rsidRPr="00E04BE0">
        <w:rPr>
          <w:rFonts w:ascii="Arial" w:hAnsi="Arial" w:cs="Arial"/>
        </w:rPr>
        <w:t>у</w:t>
      </w:r>
      <w:r w:rsidR="007B6BE3" w:rsidRPr="00E04BE0">
        <w:rPr>
          <w:rFonts w:ascii="Arial" w:hAnsi="Arial" w:cs="Arial"/>
        </w:rPr>
        <w:t xml:space="preserve"> </w:t>
      </w:r>
      <w:r w:rsidRPr="00E04BE0">
        <w:rPr>
          <w:rFonts w:ascii="Arial" w:hAnsi="Arial" w:cs="Arial"/>
        </w:rPr>
        <w:t>односу</w:t>
      </w:r>
      <w:r w:rsidR="007B6BE3" w:rsidRPr="00E04BE0">
        <w:rPr>
          <w:rFonts w:ascii="Arial" w:hAnsi="Arial" w:cs="Arial"/>
        </w:rPr>
        <w:t xml:space="preserve"> </w:t>
      </w:r>
      <w:r w:rsidRPr="00E04BE0">
        <w:rPr>
          <w:rFonts w:ascii="Arial" w:hAnsi="Arial" w:cs="Arial"/>
        </w:rPr>
        <w:t>на</w:t>
      </w:r>
      <w:r w:rsidR="007B6BE3" w:rsidRPr="00E04BE0">
        <w:rPr>
          <w:rFonts w:ascii="Arial" w:hAnsi="Arial" w:cs="Arial"/>
        </w:rPr>
        <w:t xml:space="preserve"> 2022. </w:t>
      </w:r>
      <w:r w:rsidRPr="00E04BE0">
        <w:rPr>
          <w:rFonts w:ascii="Arial" w:hAnsi="Arial" w:cs="Arial"/>
        </w:rPr>
        <w:t>годину</w:t>
      </w:r>
      <w:r w:rsidR="007B6BE3" w:rsidRPr="00E04BE0">
        <w:rPr>
          <w:rFonts w:ascii="Arial" w:hAnsi="Arial" w:cs="Arial"/>
        </w:rPr>
        <w:t xml:space="preserve"> </w:t>
      </w:r>
      <w:r w:rsidRPr="00E04BE0">
        <w:rPr>
          <w:rFonts w:ascii="Arial" w:hAnsi="Arial" w:cs="Arial"/>
        </w:rPr>
        <w:t>и</w:t>
      </w:r>
      <w:r w:rsidR="007B6BE3" w:rsidRPr="00E04BE0">
        <w:rPr>
          <w:rFonts w:ascii="Arial" w:hAnsi="Arial" w:cs="Arial"/>
        </w:rPr>
        <w:t xml:space="preserve"> </w:t>
      </w:r>
      <w:r w:rsidRPr="00E04BE0">
        <w:rPr>
          <w:rFonts w:ascii="Arial" w:hAnsi="Arial" w:cs="Arial"/>
        </w:rPr>
        <w:t>задржавање</w:t>
      </w:r>
      <w:r w:rsidR="007B6BE3" w:rsidRPr="00E04BE0">
        <w:rPr>
          <w:rFonts w:ascii="Arial" w:hAnsi="Arial" w:cs="Arial"/>
        </w:rPr>
        <w:t xml:space="preserve"> </w:t>
      </w:r>
      <w:r w:rsidRPr="00E04BE0">
        <w:rPr>
          <w:rFonts w:ascii="Arial" w:hAnsi="Arial" w:cs="Arial"/>
        </w:rPr>
        <w:t>на</w:t>
      </w:r>
      <w:r w:rsidR="007B6BE3" w:rsidRPr="00E04BE0">
        <w:rPr>
          <w:rFonts w:ascii="Arial" w:hAnsi="Arial" w:cs="Arial"/>
        </w:rPr>
        <w:t xml:space="preserve"> </w:t>
      </w:r>
      <w:r w:rsidRPr="00E04BE0">
        <w:rPr>
          <w:rFonts w:ascii="Arial" w:hAnsi="Arial" w:cs="Arial"/>
        </w:rPr>
        <w:t>истом</w:t>
      </w:r>
      <w:r w:rsidR="007B6BE3" w:rsidRPr="00E04BE0">
        <w:rPr>
          <w:rFonts w:ascii="Arial" w:hAnsi="Arial" w:cs="Arial"/>
        </w:rPr>
        <w:t xml:space="preserve"> </w:t>
      </w:r>
      <w:r w:rsidRPr="00E04BE0">
        <w:rPr>
          <w:rFonts w:ascii="Arial" w:hAnsi="Arial" w:cs="Arial"/>
        </w:rPr>
        <w:t>нивоу</w:t>
      </w:r>
      <w:r w:rsidR="007B6BE3" w:rsidRPr="00E04BE0">
        <w:rPr>
          <w:rFonts w:ascii="Arial" w:hAnsi="Arial" w:cs="Arial"/>
        </w:rPr>
        <w:t xml:space="preserve"> </w:t>
      </w:r>
      <w:r w:rsidRPr="00E04BE0">
        <w:rPr>
          <w:rFonts w:ascii="Arial" w:hAnsi="Arial" w:cs="Arial"/>
        </w:rPr>
        <w:t>у</w:t>
      </w:r>
      <w:r w:rsidR="007B6BE3" w:rsidRPr="00E04BE0">
        <w:rPr>
          <w:rFonts w:ascii="Arial" w:hAnsi="Arial" w:cs="Arial"/>
        </w:rPr>
        <w:t xml:space="preserve"> 2024. </w:t>
      </w:r>
      <w:r w:rsidRPr="00E04BE0">
        <w:rPr>
          <w:rFonts w:ascii="Arial" w:hAnsi="Arial" w:cs="Arial"/>
        </w:rPr>
        <w:t>години</w:t>
      </w:r>
      <w:r w:rsidR="007B6BE3" w:rsidRPr="00E04BE0">
        <w:rPr>
          <w:rFonts w:ascii="Arial" w:hAnsi="Arial" w:cs="Arial"/>
        </w:rPr>
        <w:t xml:space="preserve">.  </w:t>
      </w:r>
    </w:p>
    <w:p w14:paraId="7D8FA9E4" w14:textId="77777777" w:rsidR="007B6BE3" w:rsidRPr="00E04BE0" w:rsidRDefault="005B20F8" w:rsidP="007B6BE3">
      <w:pPr>
        <w:autoSpaceDE w:val="0"/>
        <w:autoSpaceDN w:val="0"/>
        <w:adjustRightInd w:val="0"/>
        <w:spacing w:after="18" w:line="240" w:lineRule="auto"/>
        <w:ind w:firstLine="720"/>
        <w:jc w:val="both"/>
        <w:rPr>
          <w:rFonts w:ascii="Arial" w:hAnsi="Arial" w:cs="Arial"/>
        </w:rPr>
      </w:pPr>
      <w:r w:rsidRPr="00E04BE0">
        <w:rPr>
          <w:rFonts w:ascii="Arial" w:hAnsi="Arial" w:cs="Arial"/>
        </w:rPr>
        <w:t>Сличне</w:t>
      </w:r>
      <w:r w:rsidR="007B6BE3" w:rsidRPr="00E04BE0">
        <w:rPr>
          <w:rFonts w:ascii="Arial" w:hAnsi="Arial" w:cs="Arial"/>
        </w:rPr>
        <w:t xml:space="preserve"> </w:t>
      </w:r>
      <w:r w:rsidRPr="00E04BE0">
        <w:rPr>
          <w:rFonts w:ascii="Arial" w:hAnsi="Arial" w:cs="Arial"/>
        </w:rPr>
        <w:t>процјене</w:t>
      </w:r>
      <w:r w:rsidR="007B6BE3" w:rsidRPr="00E04BE0">
        <w:rPr>
          <w:rFonts w:ascii="Arial" w:hAnsi="Arial" w:cs="Arial"/>
        </w:rPr>
        <w:t xml:space="preserve"> </w:t>
      </w:r>
      <w:r w:rsidRPr="00E04BE0">
        <w:rPr>
          <w:rFonts w:ascii="Arial" w:hAnsi="Arial" w:cs="Arial"/>
        </w:rPr>
        <w:t>је</w:t>
      </w:r>
      <w:r w:rsidR="007B6BE3" w:rsidRPr="00E04BE0">
        <w:rPr>
          <w:rFonts w:ascii="Arial" w:hAnsi="Arial" w:cs="Arial"/>
        </w:rPr>
        <w:t xml:space="preserve"> </w:t>
      </w:r>
      <w:r w:rsidRPr="00E04BE0">
        <w:rPr>
          <w:rFonts w:ascii="Arial" w:hAnsi="Arial" w:cs="Arial"/>
        </w:rPr>
        <w:t>објавио</w:t>
      </w:r>
      <w:r w:rsidR="007B6BE3" w:rsidRPr="00E04BE0">
        <w:rPr>
          <w:rFonts w:ascii="Arial" w:hAnsi="Arial" w:cs="Arial"/>
        </w:rPr>
        <w:t xml:space="preserve"> </w:t>
      </w:r>
      <w:r w:rsidRPr="00E04BE0">
        <w:rPr>
          <w:rFonts w:ascii="Arial" w:hAnsi="Arial" w:cs="Arial"/>
        </w:rPr>
        <w:t>и</w:t>
      </w:r>
      <w:r w:rsidR="007B6BE3" w:rsidRPr="00E04BE0">
        <w:rPr>
          <w:rFonts w:ascii="Arial" w:hAnsi="Arial" w:cs="Arial"/>
        </w:rPr>
        <w:t xml:space="preserve"> </w:t>
      </w:r>
      <w:r w:rsidRPr="00E04BE0">
        <w:rPr>
          <w:rFonts w:ascii="Arial" w:hAnsi="Arial" w:cs="Arial"/>
        </w:rPr>
        <w:t>ММФ</w:t>
      </w:r>
      <w:r w:rsidR="007B6BE3" w:rsidRPr="00E04BE0">
        <w:rPr>
          <w:rFonts w:ascii="Arial" w:hAnsi="Arial" w:cs="Arial"/>
        </w:rPr>
        <w:t>-</w:t>
      </w:r>
      <w:r w:rsidRPr="00E04BE0">
        <w:rPr>
          <w:rFonts w:ascii="Arial" w:hAnsi="Arial" w:cs="Arial"/>
        </w:rPr>
        <w:t>а</w:t>
      </w:r>
      <w:r w:rsidR="007B6BE3" w:rsidRPr="00E04BE0">
        <w:rPr>
          <w:rFonts w:ascii="Arial" w:hAnsi="Arial" w:cs="Arial"/>
        </w:rPr>
        <w:t xml:space="preserve"> (</w:t>
      </w:r>
      <w:r w:rsidR="00E04BE0" w:rsidRPr="00E04BE0">
        <w:rPr>
          <w:rFonts w:ascii="Arial" w:hAnsi="Arial" w:cs="Arial"/>
        </w:rPr>
        <w:t xml:space="preserve">World Economic Outlook </w:t>
      </w:r>
      <w:r w:rsidRPr="00E04BE0">
        <w:rPr>
          <w:rFonts w:ascii="Arial" w:hAnsi="Arial" w:cs="Arial"/>
        </w:rPr>
        <w:t>из</w:t>
      </w:r>
      <w:r w:rsidR="007B6BE3" w:rsidRPr="00E04BE0">
        <w:rPr>
          <w:rFonts w:ascii="Arial" w:hAnsi="Arial" w:cs="Arial"/>
        </w:rPr>
        <w:t xml:space="preserve"> </w:t>
      </w:r>
      <w:r w:rsidRPr="00E04BE0">
        <w:rPr>
          <w:rFonts w:ascii="Arial" w:hAnsi="Arial" w:cs="Arial"/>
        </w:rPr>
        <w:t>октобра</w:t>
      </w:r>
      <w:r w:rsidR="007B6BE3" w:rsidRPr="00E04BE0">
        <w:rPr>
          <w:rFonts w:ascii="Arial" w:hAnsi="Arial" w:cs="Arial"/>
        </w:rPr>
        <w:t xml:space="preserve"> 2022. </w:t>
      </w:r>
      <w:r w:rsidRPr="00E04BE0">
        <w:rPr>
          <w:rFonts w:ascii="Arial" w:hAnsi="Arial" w:cs="Arial"/>
        </w:rPr>
        <w:t>године</w:t>
      </w:r>
      <w:r w:rsidR="007B6BE3" w:rsidRPr="00E04BE0">
        <w:rPr>
          <w:rFonts w:ascii="Arial" w:hAnsi="Arial" w:cs="Arial"/>
        </w:rPr>
        <w:t xml:space="preserve">) </w:t>
      </w:r>
      <w:r w:rsidRPr="00E04BE0">
        <w:rPr>
          <w:rFonts w:ascii="Arial" w:hAnsi="Arial" w:cs="Arial"/>
        </w:rPr>
        <w:t>према</w:t>
      </w:r>
      <w:r w:rsidR="007B6BE3" w:rsidRPr="00E04BE0">
        <w:rPr>
          <w:rFonts w:ascii="Arial" w:hAnsi="Arial" w:cs="Arial"/>
        </w:rPr>
        <w:t xml:space="preserve"> </w:t>
      </w:r>
      <w:r w:rsidRPr="00E04BE0">
        <w:rPr>
          <w:rFonts w:ascii="Arial" w:hAnsi="Arial" w:cs="Arial"/>
        </w:rPr>
        <w:t>којем</w:t>
      </w:r>
      <w:r w:rsidR="007B6BE3" w:rsidRPr="00E04BE0">
        <w:rPr>
          <w:rFonts w:ascii="Arial" w:hAnsi="Arial" w:cs="Arial"/>
        </w:rPr>
        <w:t xml:space="preserve"> </w:t>
      </w:r>
      <w:r w:rsidRPr="00E04BE0">
        <w:rPr>
          <w:rFonts w:ascii="Arial" w:hAnsi="Arial" w:cs="Arial"/>
        </w:rPr>
        <w:t>је</w:t>
      </w:r>
      <w:r w:rsidR="007B6BE3" w:rsidRPr="00E04BE0">
        <w:rPr>
          <w:rFonts w:ascii="Arial" w:hAnsi="Arial" w:cs="Arial"/>
        </w:rPr>
        <w:t xml:space="preserve"> </w:t>
      </w:r>
      <w:r w:rsidRPr="00E04BE0">
        <w:rPr>
          <w:rFonts w:ascii="Arial" w:hAnsi="Arial" w:cs="Arial"/>
        </w:rPr>
        <w:t>вриједност</w:t>
      </w:r>
      <w:r w:rsidR="007B6BE3" w:rsidRPr="00E04BE0">
        <w:rPr>
          <w:rFonts w:ascii="Arial" w:hAnsi="Arial" w:cs="Arial"/>
        </w:rPr>
        <w:t xml:space="preserve"> </w:t>
      </w:r>
      <w:r w:rsidR="00E04BE0" w:rsidRPr="00E04BE0">
        <w:rPr>
          <w:rFonts w:ascii="Arial" w:hAnsi="Arial" w:cs="Arial"/>
        </w:rPr>
        <w:t>USD</w:t>
      </w:r>
      <w:r w:rsidR="007B6BE3" w:rsidRPr="00E04BE0">
        <w:rPr>
          <w:rFonts w:ascii="Arial" w:hAnsi="Arial" w:cs="Arial"/>
        </w:rPr>
        <w:t>-</w:t>
      </w:r>
      <w:r w:rsidRPr="00E04BE0">
        <w:rPr>
          <w:rFonts w:ascii="Arial" w:hAnsi="Arial" w:cs="Arial"/>
        </w:rPr>
        <w:t>а</w:t>
      </w:r>
      <w:r w:rsidR="007B6BE3" w:rsidRPr="00E04BE0">
        <w:rPr>
          <w:rFonts w:ascii="Arial" w:hAnsi="Arial" w:cs="Arial"/>
        </w:rPr>
        <w:t xml:space="preserve"> </w:t>
      </w:r>
      <w:r w:rsidRPr="00E04BE0">
        <w:rPr>
          <w:rFonts w:ascii="Arial" w:hAnsi="Arial" w:cs="Arial"/>
        </w:rPr>
        <w:t>за</w:t>
      </w:r>
      <w:r w:rsidR="007B6BE3" w:rsidRPr="00E04BE0">
        <w:rPr>
          <w:rFonts w:ascii="Arial" w:hAnsi="Arial" w:cs="Arial"/>
        </w:rPr>
        <w:t xml:space="preserve"> </w:t>
      </w:r>
      <w:r w:rsidRPr="00E04BE0">
        <w:rPr>
          <w:rFonts w:ascii="Arial" w:hAnsi="Arial" w:cs="Arial"/>
        </w:rPr>
        <w:t>Е</w:t>
      </w:r>
      <w:r w:rsidR="00E04BE0" w:rsidRPr="00E04BE0">
        <w:rPr>
          <w:rFonts w:ascii="Arial" w:hAnsi="Arial" w:cs="Arial"/>
        </w:rPr>
        <w:t>UR</w:t>
      </w:r>
      <w:r w:rsidR="007B6BE3" w:rsidRPr="00E04BE0">
        <w:rPr>
          <w:rFonts w:ascii="Arial" w:hAnsi="Arial" w:cs="Arial"/>
        </w:rPr>
        <w:t xml:space="preserve"> </w:t>
      </w:r>
      <w:r w:rsidRPr="00E04BE0">
        <w:rPr>
          <w:rFonts w:ascii="Arial" w:hAnsi="Arial" w:cs="Arial"/>
        </w:rPr>
        <w:t>у</w:t>
      </w:r>
      <w:r w:rsidR="007B6BE3" w:rsidRPr="00E04BE0">
        <w:rPr>
          <w:rFonts w:ascii="Arial" w:hAnsi="Arial" w:cs="Arial"/>
        </w:rPr>
        <w:t xml:space="preserve"> 2022. </w:t>
      </w:r>
      <w:r w:rsidRPr="00E04BE0">
        <w:rPr>
          <w:rFonts w:ascii="Arial" w:hAnsi="Arial" w:cs="Arial"/>
        </w:rPr>
        <w:t>години</w:t>
      </w:r>
      <w:r w:rsidR="007B6BE3" w:rsidRPr="00E04BE0">
        <w:rPr>
          <w:rFonts w:ascii="Arial" w:hAnsi="Arial" w:cs="Arial"/>
        </w:rPr>
        <w:t xml:space="preserve"> </w:t>
      </w:r>
      <w:r w:rsidRPr="00E04BE0">
        <w:rPr>
          <w:rFonts w:ascii="Arial" w:hAnsi="Arial" w:cs="Arial"/>
        </w:rPr>
        <w:t>у</w:t>
      </w:r>
      <w:r w:rsidR="007B6BE3" w:rsidRPr="00E04BE0">
        <w:rPr>
          <w:rFonts w:ascii="Arial" w:hAnsi="Arial" w:cs="Arial"/>
        </w:rPr>
        <w:t xml:space="preserve"> </w:t>
      </w:r>
      <w:r w:rsidRPr="00E04BE0">
        <w:rPr>
          <w:rFonts w:ascii="Arial" w:hAnsi="Arial" w:cs="Arial"/>
        </w:rPr>
        <w:t>односу</w:t>
      </w:r>
      <w:r w:rsidR="007B6BE3" w:rsidRPr="00E04BE0">
        <w:rPr>
          <w:rFonts w:ascii="Arial" w:hAnsi="Arial" w:cs="Arial"/>
        </w:rPr>
        <w:t xml:space="preserve"> </w:t>
      </w:r>
      <w:r w:rsidRPr="00E04BE0">
        <w:rPr>
          <w:rFonts w:ascii="Arial" w:hAnsi="Arial" w:cs="Arial"/>
        </w:rPr>
        <w:t>на</w:t>
      </w:r>
      <w:r w:rsidR="007B6BE3" w:rsidRPr="00E04BE0">
        <w:rPr>
          <w:rFonts w:ascii="Arial" w:hAnsi="Arial" w:cs="Arial"/>
        </w:rPr>
        <w:t xml:space="preserve"> 31.12.2021. </w:t>
      </w:r>
      <w:r w:rsidRPr="00E04BE0">
        <w:rPr>
          <w:rFonts w:ascii="Arial" w:hAnsi="Arial" w:cs="Arial"/>
        </w:rPr>
        <w:t>године</w:t>
      </w:r>
      <w:r w:rsidR="007B6BE3" w:rsidRPr="00E04BE0">
        <w:rPr>
          <w:rFonts w:ascii="Arial" w:hAnsi="Arial" w:cs="Arial"/>
        </w:rPr>
        <w:t xml:space="preserve">  </w:t>
      </w:r>
      <w:r w:rsidRPr="00E04BE0">
        <w:rPr>
          <w:rFonts w:ascii="Arial" w:hAnsi="Arial" w:cs="Arial"/>
        </w:rPr>
        <w:t>већа</w:t>
      </w:r>
      <w:r w:rsidR="007B6BE3" w:rsidRPr="00E04BE0">
        <w:rPr>
          <w:rFonts w:ascii="Arial" w:hAnsi="Arial" w:cs="Arial"/>
        </w:rPr>
        <w:t xml:space="preserve"> </w:t>
      </w:r>
      <w:r w:rsidRPr="00E04BE0">
        <w:rPr>
          <w:rFonts w:ascii="Arial" w:hAnsi="Arial" w:cs="Arial"/>
        </w:rPr>
        <w:t>за</w:t>
      </w:r>
      <w:r w:rsidR="007B6BE3" w:rsidRPr="00E04BE0">
        <w:rPr>
          <w:rFonts w:ascii="Arial" w:hAnsi="Arial" w:cs="Arial"/>
        </w:rPr>
        <w:t xml:space="preserve"> 7,2%, </w:t>
      </w:r>
      <w:r w:rsidRPr="00E04BE0">
        <w:rPr>
          <w:rFonts w:ascii="Arial" w:hAnsi="Arial" w:cs="Arial"/>
        </w:rPr>
        <w:t>а</w:t>
      </w:r>
      <w:r w:rsidR="007B6BE3" w:rsidRPr="00E04BE0">
        <w:rPr>
          <w:rFonts w:ascii="Arial" w:hAnsi="Arial" w:cs="Arial"/>
        </w:rPr>
        <w:t xml:space="preserve"> </w:t>
      </w:r>
      <w:r w:rsidRPr="00E04BE0">
        <w:rPr>
          <w:rFonts w:ascii="Arial" w:hAnsi="Arial" w:cs="Arial"/>
        </w:rPr>
        <w:t>у</w:t>
      </w:r>
      <w:r w:rsidR="007B6BE3" w:rsidRPr="00E04BE0">
        <w:rPr>
          <w:rFonts w:ascii="Arial" w:hAnsi="Arial" w:cs="Arial"/>
        </w:rPr>
        <w:t xml:space="preserve"> 2023. </w:t>
      </w:r>
      <w:r w:rsidRPr="00E04BE0">
        <w:rPr>
          <w:rFonts w:ascii="Arial" w:hAnsi="Arial" w:cs="Arial"/>
        </w:rPr>
        <w:t>години</w:t>
      </w:r>
      <w:r w:rsidR="007B6BE3" w:rsidRPr="00E04BE0">
        <w:rPr>
          <w:rFonts w:ascii="Arial" w:hAnsi="Arial" w:cs="Arial"/>
        </w:rPr>
        <w:t xml:space="preserve"> </w:t>
      </w:r>
      <w:r w:rsidRPr="00E04BE0">
        <w:rPr>
          <w:rFonts w:ascii="Arial" w:hAnsi="Arial" w:cs="Arial"/>
        </w:rPr>
        <w:t>за</w:t>
      </w:r>
      <w:r w:rsidR="007B6BE3" w:rsidRPr="00E04BE0">
        <w:rPr>
          <w:rFonts w:ascii="Arial" w:hAnsi="Arial" w:cs="Arial"/>
        </w:rPr>
        <w:t xml:space="preserve"> 3,1%. </w:t>
      </w:r>
    </w:p>
    <w:p w14:paraId="0B759833" w14:textId="77777777" w:rsidR="007B6BE3" w:rsidRPr="0087376B" w:rsidRDefault="005B20F8" w:rsidP="007B6BE3">
      <w:pPr>
        <w:spacing w:after="0"/>
        <w:ind w:firstLine="720"/>
        <w:jc w:val="both"/>
        <w:rPr>
          <w:rFonts w:ascii="Arial" w:hAnsi="Arial" w:cs="Arial"/>
          <w:sz w:val="24"/>
          <w:szCs w:val="24"/>
        </w:rPr>
      </w:pPr>
      <w:r w:rsidRPr="00E04BE0">
        <w:rPr>
          <w:rFonts w:ascii="Arial" w:hAnsi="Arial" w:cs="Arial"/>
        </w:rPr>
        <w:t>Узимајући</w:t>
      </w:r>
      <w:r w:rsidR="007B6BE3" w:rsidRPr="00E04BE0">
        <w:rPr>
          <w:rFonts w:ascii="Arial" w:hAnsi="Arial" w:cs="Arial"/>
        </w:rPr>
        <w:t xml:space="preserve"> </w:t>
      </w:r>
      <w:r w:rsidRPr="00E04BE0">
        <w:rPr>
          <w:rFonts w:ascii="Arial" w:hAnsi="Arial" w:cs="Arial"/>
        </w:rPr>
        <w:t>у</w:t>
      </w:r>
      <w:r w:rsidR="007B6BE3" w:rsidRPr="00E04BE0">
        <w:rPr>
          <w:rFonts w:ascii="Arial" w:hAnsi="Arial" w:cs="Arial"/>
        </w:rPr>
        <w:t xml:space="preserve"> </w:t>
      </w:r>
      <w:r w:rsidRPr="00E04BE0">
        <w:rPr>
          <w:rFonts w:ascii="Arial" w:hAnsi="Arial" w:cs="Arial"/>
        </w:rPr>
        <w:t>обзир</w:t>
      </w:r>
      <w:r w:rsidR="007B6BE3" w:rsidRPr="00E04BE0">
        <w:rPr>
          <w:rFonts w:ascii="Arial" w:hAnsi="Arial" w:cs="Arial"/>
        </w:rPr>
        <w:t xml:space="preserve"> </w:t>
      </w:r>
      <w:r w:rsidRPr="00E04BE0">
        <w:rPr>
          <w:rFonts w:ascii="Arial" w:hAnsi="Arial" w:cs="Arial"/>
        </w:rPr>
        <w:t>све</w:t>
      </w:r>
      <w:r w:rsidR="007B6BE3" w:rsidRPr="00E04BE0">
        <w:rPr>
          <w:rFonts w:ascii="Arial" w:hAnsi="Arial" w:cs="Arial"/>
        </w:rPr>
        <w:t xml:space="preserve"> </w:t>
      </w:r>
      <w:r w:rsidRPr="00E04BE0">
        <w:rPr>
          <w:rFonts w:ascii="Arial" w:hAnsi="Arial" w:cs="Arial"/>
        </w:rPr>
        <w:t>наведено</w:t>
      </w:r>
      <w:r w:rsidR="007B6BE3" w:rsidRPr="00E04BE0">
        <w:rPr>
          <w:rFonts w:ascii="Arial" w:hAnsi="Arial" w:cs="Arial"/>
        </w:rPr>
        <w:t xml:space="preserve"> </w:t>
      </w:r>
      <w:r w:rsidRPr="00E04BE0">
        <w:rPr>
          <w:rFonts w:ascii="Arial" w:hAnsi="Arial" w:cs="Arial"/>
        </w:rPr>
        <w:t>приликом</w:t>
      </w:r>
      <w:r w:rsidR="007B6BE3" w:rsidRPr="00E04BE0">
        <w:rPr>
          <w:rFonts w:ascii="Arial" w:hAnsi="Arial" w:cs="Arial"/>
        </w:rPr>
        <w:t xml:space="preserve"> </w:t>
      </w:r>
      <w:r w:rsidRPr="00E04BE0">
        <w:rPr>
          <w:rFonts w:ascii="Arial" w:hAnsi="Arial" w:cs="Arial"/>
        </w:rPr>
        <w:t>израде</w:t>
      </w:r>
      <w:r w:rsidR="007B6BE3" w:rsidRPr="00E04BE0">
        <w:rPr>
          <w:rFonts w:ascii="Arial" w:hAnsi="Arial" w:cs="Arial"/>
        </w:rPr>
        <w:t xml:space="preserve"> </w:t>
      </w:r>
      <w:r w:rsidRPr="00E04BE0">
        <w:rPr>
          <w:rFonts w:ascii="Arial" w:hAnsi="Arial" w:cs="Arial"/>
        </w:rPr>
        <w:t>стратегије</w:t>
      </w:r>
      <w:r w:rsidR="007B6BE3" w:rsidRPr="00E04BE0">
        <w:rPr>
          <w:rFonts w:ascii="Arial" w:hAnsi="Arial" w:cs="Arial"/>
        </w:rPr>
        <w:t xml:space="preserve"> </w:t>
      </w:r>
      <w:r w:rsidRPr="00E04BE0">
        <w:rPr>
          <w:rFonts w:ascii="Arial" w:hAnsi="Arial" w:cs="Arial"/>
        </w:rPr>
        <w:t>предвиђен</w:t>
      </w:r>
      <w:r w:rsidR="007B6BE3" w:rsidRPr="00E04BE0">
        <w:rPr>
          <w:rFonts w:ascii="Arial" w:hAnsi="Arial" w:cs="Arial"/>
        </w:rPr>
        <w:t xml:space="preserve"> </w:t>
      </w:r>
      <w:r w:rsidRPr="00E04BE0">
        <w:rPr>
          <w:rFonts w:ascii="Arial" w:hAnsi="Arial" w:cs="Arial"/>
        </w:rPr>
        <w:t>је</w:t>
      </w:r>
      <w:r w:rsidR="007B6BE3" w:rsidRPr="00E04BE0">
        <w:rPr>
          <w:rFonts w:ascii="Arial" w:hAnsi="Arial" w:cs="Arial"/>
        </w:rPr>
        <w:t xml:space="preserve"> </w:t>
      </w:r>
      <w:r w:rsidRPr="00E04BE0">
        <w:rPr>
          <w:rFonts w:ascii="Arial" w:hAnsi="Arial" w:cs="Arial"/>
        </w:rPr>
        <w:t>пораст</w:t>
      </w:r>
      <w:r w:rsidR="007B6BE3" w:rsidRPr="00E04BE0">
        <w:rPr>
          <w:rFonts w:ascii="Arial" w:hAnsi="Arial" w:cs="Arial"/>
        </w:rPr>
        <w:t xml:space="preserve"> </w:t>
      </w:r>
      <w:r w:rsidRPr="00E04BE0">
        <w:rPr>
          <w:rFonts w:ascii="Arial" w:hAnsi="Arial" w:cs="Arial"/>
        </w:rPr>
        <w:t>вриједност</w:t>
      </w:r>
      <w:r w:rsidR="007B6BE3" w:rsidRPr="00E04BE0">
        <w:rPr>
          <w:rFonts w:ascii="Arial" w:hAnsi="Arial" w:cs="Arial"/>
        </w:rPr>
        <w:t xml:space="preserve"> </w:t>
      </w:r>
      <w:r w:rsidR="00E04BE0" w:rsidRPr="00E04BE0">
        <w:rPr>
          <w:rFonts w:ascii="Arial" w:hAnsi="Arial" w:cs="Arial"/>
        </w:rPr>
        <w:t>USD</w:t>
      </w:r>
      <w:r w:rsidR="007B6BE3" w:rsidRPr="00E04BE0">
        <w:rPr>
          <w:rFonts w:ascii="Arial" w:hAnsi="Arial" w:cs="Arial"/>
        </w:rPr>
        <w:t xml:space="preserve"> </w:t>
      </w:r>
      <w:r w:rsidRPr="00E04BE0">
        <w:rPr>
          <w:rFonts w:ascii="Arial" w:hAnsi="Arial" w:cs="Arial"/>
        </w:rPr>
        <w:t>у</w:t>
      </w:r>
      <w:r w:rsidR="007B6BE3" w:rsidRPr="00E04BE0">
        <w:rPr>
          <w:rFonts w:ascii="Arial" w:hAnsi="Arial" w:cs="Arial"/>
        </w:rPr>
        <w:t xml:space="preserve"> </w:t>
      </w:r>
      <w:r w:rsidRPr="00E04BE0">
        <w:rPr>
          <w:rFonts w:ascii="Arial" w:hAnsi="Arial" w:cs="Arial"/>
        </w:rPr>
        <w:t>односу</w:t>
      </w:r>
      <w:r w:rsidR="007B6BE3" w:rsidRPr="00E04BE0">
        <w:rPr>
          <w:rFonts w:ascii="Arial" w:hAnsi="Arial" w:cs="Arial"/>
        </w:rPr>
        <w:t xml:space="preserve"> </w:t>
      </w:r>
      <w:r w:rsidRPr="00E04BE0">
        <w:rPr>
          <w:rFonts w:ascii="Arial" w:hAnsi="Arial" w:cs="Arial"/>
        </w:rPr>
        <w:t>на</w:t>
      </w:r>
      <w:r w:rsidR="007B6BE3" w:rsidRPr="00E04BE0">
        <w:rPr>
          <w:rFonts w:ascii="Arial" w:hAnsi="Arial" w:cs="Arial"/>
        </w:rPr>
        <w:t xml:space="preserve"> </w:t>
      </w:r>
      <w:r w:rsidRPr="00E04BE0">
        <w:rPr>
          <w:rFonts w:ascii="Arial" w:hAnsi="Arial" w:cs="Arial"/>
        </w:rPr>
        <w:t>Е</w:t>
      </w:r>
      <w:r w:rsidR="00E04BE0" w:rsidRPr="00E04BE0">
        <w:rPr>
          <w:rFonts w:ascii="Arial" w:hAnsi="Arial" w:cs="Arial"/>
        </w:rPr>
        <w:t>UR</w:t>
      </w:r>
      <w:r w:rsidR="007B6BE3" w:rsidRPr="00E04BE0">
        <w:rPr>
          <w:rFonts w:ascii="Arial" w:hAnsi="Arial" w:cs="Arial"/>
        </w:rPr>
        <w:t xml:space="preserve"> </w:t>
      </w:r>
      <w:r w:rsidRPr="00E04BE0">
        <w:rPr>
          <w:rFonts w:ascii="Arial" w:hAnsi="Arial" w:cs="Arial"/>
        </w:rPr>
        <w:t>за</w:t>
      </w:r>
      <w:r w:rsidR="007B6BE3" w:rsidRPr="00E04BE0">
        <w:rPr>
          <w:rFonts w:ascii="Arial" w:hAnsi="Arial" w:cs="Arial"/>
        </w:rPr>
        <w:t xml:space="preserve"> 2023. </w:t>
      </w:r>
      <w:r w:rsidRPr="00E04BE0">
        <w:rPr>
          <w:rFonts w:ascii="Arial" w:hAnsi="Arial" w:cs="Arial"/>
        </w:rPr>
        <w:t>годину</w:t>
      </w:r>
      <w:r w:rsidR="007B6BE3" w:rsidRPr="00E04BE0">
        <w:rPr>
          <w:rFonts w:ascii="Arial" w:hAnsi="Arial" w:cs="Arial"/>
        </w:rPr>
        <w:t xml:space="preserve"> </w:t>
      </w:r>
      <w:r>
        <w:rPr>
          <w:rFonts w:ascii="Arial" w:hAnsi="Arial" w:cs="Arial"/>
          <w:color w:val="000000"/>
        </w:rPr>
        <w:t>у</w:t>
      </w:r>
      <w:r w:rsidR="007B6BE3" w:rsidRPr="0087376B">
        <w:rPr>
          <w:rFonts w:ascii="Arial" w:hAnsi="Arial" w:cs="Arial"/>
          <w:color w:val="000000"/>
        </w:rPr>
        <w:t xml:space="preserve"> </w:t>
      </w:r>
      <w:r>
        <w:rPr>
          <w:rFonts w:ascii="Arial" w:hAnsi="Arial" w:cs="Arial"/>
          <w:color w:val="000000"/>
        </w:rPr>
        <w:t>износу</w:t>
      </w:r>
      <w:r w:rsidR="007B6BE3" w:rsidRPr="0087376B">
        <w:rPr>
          <w:rFonts w:ascii="Arial" w:hAnsi="Arial" w:cs="Arial"/>
          <w:color w:val="000000"/>
        </w:rPr>
        <w:t xml:space="preserve"> 4%, </w:t>
      </w:r>
      <w:r>
        <w:rPr>
          <w:rFonts w:ascii="Arial" w:hAnsi="Arial" w:cs="Arial"/>
          <w:color w:val="000000"/>
        </w:rPr>
        <w:t>а</w:t>
      </w:r>
      <w:r w:rsidR="007B6BE3" w:rsidRPr="0087376B">
        <w:rPr>
          <w:rFonts w:ascii="Arial" w:hAnsi="Arial" w:cs="Arial"/>
          <w:color w:val="000000"/>
        </w:rPr>
        <w:t xml:space="preserve"> </w:t>
      </w:r>
      <w:r>
        <w:rPr>
          <w:rFonts w:ascii="Arial" w:hAnsi="Arial" w:cs="Arial"/>
          <w:color w:val="000000"/>
        </w:rPr>
        <w:t>за</w:t>
      </w:r>
      <w:r w:rsidR="007B6BE3" w:rsidRPr="0087376B">
        <w:rPr>
          <w:rFonts w:ascii="Arial" w:hAnsi="Arial" w:cs="Arial"/>
          <w:color w:val="000000"/>
        </w:rPr>
        <w:t xml:space="preserve"> 2024. </w:t>
      </w:r>
      <w:r>
        <w:rPr>
          <w:rFonts w:ascii="Arial" w:hAnsi="Arial" w:cs="Arial"/>
          <w:color w:val="000000"/>
        </w:rPr>
        <w:t>и</w:t>
      </w:r>
      <w:r w:rsidR="007B6BE3" w:rsidRPr="0087376B">
        <w:rPr>
          <w:rFonts w:ascii="Arial" w:hAnsi="Arial" w:cs="Arial"/>
          <w:color w:val="000000"/>
        </w:rPr>
        <w:t xml:space="preserve"> 2025. </w:t>
      </w:r>
      <w:r>
        <w:rPr>
          <w:rFonts w:ascii="Arial" w:hAnsi="Arial" w:cs="Arial"/>
          <w:color w:val="000000"/>
        </w:rPr>
        <w:t>годину</w:t>
      </w:r>
      <w:r w:rsidR="007B6BE3" w:rsidRPr="0087376B">
        <w:rPr>
          <w:rFonts w:ascii="Arial" w:hAnsi="Arial" w:cs="Arial"/>
          <w:color w:val="000000"/>
        </w:rPr>
        <w:t xml:space="preserve"> 0%. </w:t>
      </w:r>
    </w:p>
    <w:p w14:paraId="395CA67B" w14:textId="77777777" w:rsidR="007B6BE3" w:rsidRPr="0087376B" w:rsidRDefault="007B6BE3" w:rsidP="007B6BE3">
      <w:pPr>
        <w:spacing w:after="0" w:line="240" w:lineRule="auto"/>
        <w:rPr>
          <w:rFonts w:ascii="Arial" w:hAnsi="Arial" w:cs="Arial"/>
        </w:rPr>
      </w:pPr>
      <w:r w:rsidRPr="0087376B">
        <w:rPr>
          <w:rFonts w:ascii="Arial" w:hAnsi="Arial" w:cs="Arial"/>
        </w:rPr>
        <w:tab/>
      </w:r>
    </w:p>
    <w:p w14:paraId="326BA13D" w14:textId="6B1F42C4" w:rsidR="007B6BE3" w:rsidRDefault="005B20F8" w:rsidP="007B6BE3">
      <w:pPr>
        <w:spacing w:after="0" w:line="240" w:lineRule="auto"/>
        <w:ind w:firstLine="720"/>
        <w:jc w:val="both"/>
        <w:rPr>
          <w:rFonts w:ascii="Arial" w:hAnsi="Arial" w:cs="Arial"/>
        </w:rPr>
      </w:pPr>
      <w:r>
        <w:rPr>
          <w:rFonts w:ascii="Arial" w:hAnsi="Arial" w:cs="Arial"/>
        </w:rPr>
        <w:t>За</w:t>
      </w:r>
      <w:r w:rsidR="007B6BE3" w:rsidRPr="0087376B">
        <w:rPr>
          <w:rFonts w:ascii="Arial" w:hAnsi="Arial" w:cs="Arial"/>
        </w:rPr>
        <w:t xml:space="preserve"> </w:t>
      </w:r>
      <w:r>
        <w:rPr>
          <w:rFonts w:ascii="Arial" w:hAnsi="Arial" w:cs="Arial"/>
        </w:rPr>
        <w:t>потребе</w:t>
      </w:r>
      <w:r w:rsidR="007B6BE3" w:rsidRPr="0087376B">
        <w:rPr>
          <w:rFonts w:ascii="Arial" w:hAnsi="Arial" w:cs="Arial"/>
        </w:rPr>
        <w:t xml:space="preserve"> </w:t>
      </w:r>
      <w:r>
        <w:rPr>
          <w:rFonts w:ascii="Arial" w:hAnsi="Arial" w:cs="Arial"/>
        </w:rPr>
        <w:t>израде</w:t>
      </w:r>
      <w:r w:rsidR="007B6BE3" w:rsidRPr="0087376B">
        <w:rPr>
          <w:rFonts w:ascii="Arial" w:hAnsi="Arial" w:cs="Arial"/>
        </w:rPr>
        <w:t xml:space="preserve"> </w:t>
      </w:r>
      <w:r>
        <w:rPr>
          <w:rFonts w:ascii="Arial" w:hAnsi="Arial" w:cs="Arial"/>
        </w:rPr>
        <w:t>различитих</w:t>
      </w:r>
      <w:r w:rsidR="007B6BE3" w:rsidRPr="0087376B">
        <w:rPr>
          <w:rFonts w:ascii="Arial" w:hAnsi="Arial" w:cs="Arial"/>
        </w:rPr>
        <w:t xml:space="preserve"> </w:t>
      </w:r>
      <w:r>
        <w:rPr>
          <w:rFonts w:ascii="Arial" w:hAnsi="Arial" w:cs="Arial"/>
        </w:rPr>
        <w:t>сценарија</w:t>
      </w:r>
      <w:r w:rsidR="007B6BE3" w:rsidRPr="0087376B">
        <w:rPr>
          <w:rFonts w:ascii="Arial" w:hAnsi="Arial" w:cs="Arial"/>
        </w:rPr>
        <w:t xml:space="preserve"> </w:t>
      </w:r>
      <w:r>
        <w:rPr>
          <w:rFonts w:ascii="Arial" w:hAnsi="Arial" w:cs="Arial"/>
        </w:rPr>
        <w:t>Стратегије</w:t>
      </w:r>
      <w:r w:rsidR="007B6BE3" w:rsidRPr="0087376B">
        <w:rPr>
          <w:rFonts w:ascii="Arial" w:hAnsi="Arial" w:cs="Arial"/>
        </w:rPr>
        <w:t xml:space="preserve"> </w:t>
      </w:r>
      <w:r>
        <w:rPr>
          <w:rFonts w:ascii="Arial" w:hAnsi="Arial" w:cs="Arial"/>
        </w:rPr>
        <w:t>управљања</w:t>
      </w:r>
      <w:r w:rsidR="007B6BE3" w:rsidRPr="0087376B">
        <w:rPr>
          <w:rFonts w:ascii="Arial" w:hAnsi="Arial" w:cs="Arial"/>
        </w:rPr>
        <w:t xml:space="preserve"> </w:t>
      </w:r>
      <w:r>
        <w:rPr>
          <w:rFonts w:ascii="Arial" w:hAnsi="Arial" w:cs="Arial"/>
        </w:rPr>
        <w:t>дугом</w:t>
      </w:r>
      <w:r w:rsidR="007B6BE3" w:rsidRPr="0087376B">
        <w:rPr>
          <w:rFonts w:ascii="Arial" w:hAnsi="Arial" w:cs="Arial"/>
        </w:rPr>
        <w:t xml:space="preserve"> </w:t>
      </w:r>
      <w:r>
        <w:rPr>
          <w:rFonts w:ascii="Arial" w:hAnsi="Arial" w:cs="Arial"/>
        </w:rPr>
        <w:t>коришћени</w:t>
      </w:r>
      <w:r w:rsidR="007B6BE3" w:rsidRPr="0087376B">
        <w:rPr>
          <w:rFonts w:ascii="Arial" w:hAnsi="Arial" w:cs="Arial"/>
        </w:rPr>
        <w:t xml:space="preserve"> </w:t>
      </w:r>
      <w:r>
        <w:rPr>
          <w:rFonts w:ascii="Arial" w:hAnsi="Arial" w:cs="Arial"/>
        </w:rPr>
        <w:t>су</w:t>
      </w:r>
      <w:r w:rsidR="007B6BE3" w:rsidRPr="0087376B">
        <w:rPr>
          <w:rFonts w:ascii="Arial" w:hAnsi="Arial" w:cs="Arial"/>
        </w:rPr>
        <w:t xml:space="preserve"> </w:t>
      </w:r>
      <w:r>
        <w:rPr>
          <w:rFonts w:ascii="Arial" w:hAnsi="Arial" w:cs="Arial"/>
        </w:rPr>
        <w:t>прилагођени</w:t>
      </w:r>
      <w:r w:rsidR="007B6BE3" w:rsidRPr="0087376B">
        <w:rPr>
          <w:rFonts w:ascii="Arial" w:hAnsi="Arial" w:cs="Arial"/>
        </w:rPr>
        <w:t xml:space="preserve"> </w:t>
      </w:r>
      <w:r>
        <w:rPr>
          <w:rFonts w:ascii="Arial" w:hAnsi="Arial" w:cs="Arial"/>
        </w:rPr>
        <w:t>инструменти</w:t>
      </w:r>
      <w:r w:rsidR="007B6BE3" w:rsidRPr="0087376B">
        <w:rPr>
          <w:rFonts w:ascii="Arial" w:hAnsi="Arial" w:cs="Arial"/>
        </w:rPr>
        <w:t xml:space="preserve"> </w:t>
      </w:r>
      <w:r>
        <w:rPr>
          <w:rFonts w:ascii="Arial" w:hAnsi="Arial" w:cs="Arial"/>
        </w:rPr>
        <w:t>како</w:t>
      </w:r>
      <w:r w:rsidR="007B6BE3" w:rsidRPr="0087376B">
        <w:rPr>
          <w:rFonts w:ascii="Arial" w:hAnsi="Arial" w:cs="Arial"/>
        </w:rPr>
        <w:t xml:space="preserve"> </w:t>
      </w:r>
      <w:r>
        <w:rPr>
          <w:rFonts w:ascii="Arial" w:hAnsi="Arial" w:cs="Arial"/>
        </w:rPr>
        <w:t>би</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различити</w:t>
      </w:r>
      <w:r w:rsidR="007B6BE3" w:rsidRPr="0087376B">
        <w:rPr>
          <w:rFonts w:ascii="Arial" w:hAnsi="Arial" w:cs="Arial"/>
        </w:rPr>
        <w:t xml:space="preserve"> </w:t>
      </w:r>
      <w:r>
        <w:rPr>
          <w:rFonts w:ascii="Arial" w:hAnsi="Arial" w:cs="Arial"/>
        </w:rPr>
        <w:t>услови</w:t>
      </w:r>
      <w:r w:rsidR="007B6BE3" w:rsidRPr="0087376B">
        <w:rPr>
          <w:rFonts w:ascii="Arial" w:hAnsi="Arial" w:cs="Arial"/>
        </w:rPr>
        <w:t xml:space="preserve"> </w:t>
      </w:r>
      <w:r>
        <w:rPr>
          <w:rFonts w:ascii="Arial" w:hAnsi="Arial" w:cs="Arial"/>
        </w:rPr>
        <w:t>кредита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портфплију</w:t>
      </w:r>
      <w:r w:rsidR="007B6BE3" w:rsidRPr="0087376B">
        <w:rPr>
          <w:rFonts w:ascii="Arial" w:hAnsi="Arial" w:cs="Arial"/>
        </w:rPr>
        <w:t xml:space="preserve"> </w:t>
      </w:r>
      <w:r>
        <w:rPr>
          <w:rFonts w:ascii="Arial" w:hAnsi="Arial" w:cs="Arial"/>
        </w:rPr>
        <w:t>свели</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сличан</w:t>
      </w:r>
      <w:r w:rsidR="007B6BE3" w:rsidRPr="0087376B">
        <w:rPr>
          <w:rFonts w:ascii="Arial" w:hAnsi="Arial" w:cs="Arial"/>
        </w:rPr>
        <w:t xml:space="preserve"> </w:t>
      </w:r>
      <w:r>
        <w:rPr>
          <w:rFonts w:ascii="Arial" w:hAnsi="Arial" w:cs="Arial"/>
        </w:rPr>
        <w:t>инструмент</w:t>
      </w:r>
      <w:r w:rsidR="007B6BE3" w:rsidRPr="0087376B">
        <w:rPr>
          <w:rFonts w:ascii="Arial" w:hAnsi="Arial" w:cs="Arial"/>
        </w:rPr>
        <w:t xml:space="preserve"> (</w:t>
      </w:r>
      <w:r>
        <w:rPr>
          <w:rFonts w:ascii="Arial" w:hAnsi="Arial" w:cs="Arial"/>
        </w:rPr>
        <w:t>разлика</w:t>
      </w:r>
      <w:r w:rsidR="007B6BE3" w:rsidRPr="0087376B">
        <w:rPr>
          <w:rFonts w:ascii="Arial" w:hAnsi="Arial" w:cs="Arial"/>
        </w:rPr>
        <w:t xml:space="preserve"> </w:t>
      </w:r>
      <w:r>
        <w:rPr>
          <w:rFonts w:ascii="Arial" w:hAnsi="Arial" w:cs="Arial"/>
        </w:rPr>
        <w:t>постоји</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валути</w:t>
      </w:r>
      <w:r w:rsidR="007B6BE3" w:rsidRPr="0087376B">
        <w:rPr>
          <w:rFonts w:ascii="Arial" w:hAnsi="Arial" w:cs="Arial"/>
        </w:rPr>
        <w:t xml:space="preserve">, </w:t>
      </w:r>
      <w:r>
        <w:rPr>
          <w:rFonts w:ascii="Arial" w:hAnsi="Arial" w:cs="Arial"/>
        </w:rPr>
        <w:t>годинама</w:t>
      </w:r>
      <w:r w:rsidR="007B6BE3" w:rsidRPr="0087376B">
        <w:rPr>
          <w:rFonts w:ascii="Arial" w:hAnsi="Arial" w:cs="Arial"/>
        </w:rPr>
        <w:t xml:space="preserve"> </w:t>
      </w:r>
      <w:r>
        <w:rPr>
          <w:rFonts w:ascii="Arial" w:hAnsi="Arial" w:cs="Arial"/>
        </w:rPr>
        <w:t>доспијећа</w:t>
      </w:r>
      <w:r w:rsidR="007B6BE3" w:rsidRPr="0087376B">
        <w:rPr>
          <w:rFonts w:ascii="Arial" w:hAnsi="Arial" w:cs="Arial"/>
        </w:rPr>
        <w:t xml:space="preserve">, </w:t>
      </w:r>
      <w:r>
        <w:rPr>
          <w:rFonts w:ascii="Arial" w:hAnsi="Arial" w:cs="Arial"/>
        </w:rPr>
        <w:t>каматној</w:t>
      </w:r>
      <w:r w:rsidR="007B6BE3" w:rsidRPr="0087376B">
        <w:rPr>
          <w:rFonts w:ascii="Arial" w:hAnsi="Arial" w:cs="Arial"/>
        </w:rPr>
        <w:t xml:space="preserve"> </w:t>
      </w:r>
      <w:r>
        <w:rPr>
          <w:rFonts w:ascii="Arial" w:hAnsi="Arial" w:cs="Arial"/>
        </w:rPr>
        <w:t>стопи</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граце</w:t>
      </w:r>
      <w:r w:rsidR="007B6BE3" w:rsidRPr="0087376B">
        <w:rPr>
          <w:rFonts w:ascii="Arial" w:hAnsi="Arial" w:cs="Arial"/>
        </w:rPr>
        <w:t xml:space="preserve">“ </w:t>
      </w:r>
      <w:r>
        <w:rPr>
          <w:rFonts w:ascii="Arial" w:hAnsi="Arial" w:cs="Arial"/>
        </w:rPr>
        <w:t>периоду</w:t>
      </w:r>
      <w:r w:rsidR="007B6BE3" w:rsidRPr="0087376B">
        <w:rPr>
          <w:rFonts w:ascii="Arial" w:hAnsi="Arial" w:cs="Arial"/>
        </w:rPr>
        <w:t>)</w:t>
      </w:r>
    </w:p>
    <w:p w14:paraId="29513A50" w14:textId="2C36D220" w:rsidR="00762711" w:rsidRDefault="00762711" w:rsidP="007B6BE3">
      <w:pPr>
        <w:spacing w:after="0" w:line="240" w:lineRule="auto"/>
        <w:ind w:firstLine="720"/>
        <w:jc w:val="both"/>
        <w:rPr>
          <w:rFonts w:ascii="Arial" w:hAnsi="Arial" w:cs="Arial"/>
        </w:rPr>
      </w:pPr>
    </w:p>
    <w:p w14:paraId="4E27DEE8" w14:textId="6A9F367B" w:rsidR="00762711" w:rsidRDefault="00762711" w:rsidP="007B6BE3">
      <w:pPr>
        <w:spacing w:after="0" w:line="240" w:lineRule="auto"/>
        <w:ind w:firstLine="720"/>
        <w:jc w:val="both"/>
        <w:rPr>
          <w:rFonts w:ascii="Arial" w:hAnsi="Arial" w:cs="Arial"/>
        </w:rPr>
      </w:pPr>
    </w:p>
    <w:p w14:paraId="78FA0278" w14:textId="2A3DA41D" w:rsidR="00762711" w:rsidRDefault="00762711" w:rsidP="007B6BE3">
      <w:pPr>
        <w:spacing w:after="0" w:line="240" w:lineRule="auto"/>
        <w:ind w:firstLine="720"/>
        <w:jc w:val="both"/>
        <w:rPr>
          <w:rFonts w:ascii="Arial" w:hAnsi="Arial" w:cs="Arial"/>
        </w:rPr>
      </w:pPr>
    </w:p>
    <w:p w14:paraId="19CDC361" w14:textId="05CD27B9" w:rsidR="00762711" w:rsidRDefault="00762711" w:rsidP="007B6BE3">
      <w:pPr>
        <w:spacing w:after="0" w:line="240" w:lineRule="auto"/>
        <w:ind w:firstLine="720"/>
        <w:jc w:val="both"/>
        <w:rPr>
          <w:rFonts w:ascii="Arial" w:hAnsi="Arial" w:cs="Arial"/>
        </w:rPr>
      </w:pPr>
    </w:p>
    <w:p w14:paraId="2A79A2A0" w14:textId="77777777" w:rsidR="00762711" w:rsidRPr="0087376B" w:rsidRDefault="00762711" w:rsidP="007B6BE3">
      <w:pPr>
        <w:spacing w:after="0" w:line="240" w:lineRule="auto"/>
        <w:ind w:firstLine="720"/>
        <w:jc w:val="both"/>
        <w:rPr>
          <w:rFonts w:ascii="Arial" w:hAnsi="Arial" w:cs="Arial"/>
        </w:rPr>
      </w:pPr>
    </w:p>
    <w:p w14:paraId="661571DB" w14:textId="77777777" w:rsidR="007B6BE3" w:rsidRPr="0087376B" w:rsidRDefault="007B6BE3" w:rsidP="007B6BE3">
      <w:pPr>
        <w:spacing w:after="0" w:line="240" w:lineRule="auto"/>
        <w:rPr>
          <w:rFonts w:ascii="Arial" w:hAnsi="Arial" w:cs="Arial"/>
        </w:rPr>
      </w:pPr>
    </w:p>
    <w:p w14:paraId="0FF2A937" w14:textId="0E59B998" w:rsidR="007B6BE3" w:rsidRPr="0087376B" w:rsidRDefault="005B20F8" w:rsidP="007B6BE3">
      <w:pPr>
        <w:spacing w:after="0" w:line="240" w:lineRule="auto"/>
        <w:jc w:val="both"/>
        <w:rPr>
          <w:rFonts w:ascii="Arial" w:hAnsi="Arial" w:cs="Arial"/>
          <w:sz w:val="24"/>
          <w:szCs w:val="24"/>
        </w:rPr>
      </w:pPr>
      <w:r>
        <w:rPr>
          <w:rFonts w:ascii="Arial" w:hAnsi="Arial" w:cs="Arial"/>
          <w:szCs w:val="24"/>
        </w:rPr>
        <w:lastRenderedPageBreak/>
        <w:t>Табела</w:t>
      </w:r>
      <w:r w:rsidR="007B6BE3" w:rsidRPr="0087376B">
        <w:rPr>
          <w:rFonts w:ascii="Arial" w:hAnsi="Arial" w:cs="Arial"/>
          <w:szCs w:val="24"/>
        </w:rPr>
        <w:t xml:space="preserve"> 13. </w:t>
      </w:r>
      <w:r>
        <w:rPr>
          <w:rFonts w:ascii="Arial" w:hAnsi="Arial" w:cs="Arial"/>
          <w:szCs w:val="24"/>
        </w:rPr>
        <w:t>Стилиз</w:t>
      </w:r>
      <w:r w:rsidR="00C7294F">
        <w:rPr>
          <w:rFonts w:ascii="Arial" w:hAnsi="Arial" w:cs="Arial"/>
          <w:szCs w:val="24"/>
          <w:lang w:val="sr-Cyrl-BA"/>
        </w:rPr>
        <w:t>овани</w:t>
      </w:r>
      <w:r w:rsidR="007B6BE3" w:rsidRPr="0087376B">
        <w:rPr>
          <w:rFonts w:ascii="Arial" w:hAnsi="Arial" w:cs="Arial"/>
          <w:szCs w:val="24"/>
        </w:rPr>
        <w:t xml:space="preserve"> </w:t>
      </w:r>
      <w:r>
        <w:rPr>
          <w:rFonts w:ascii="Arial" w:hAnsi="Arial" w:cs="Arial"/>
          <w:szCs w:val="24"/>
        </w:rPr>
        <w:t>инструменти</w:t>
      </w:r>
      <w:r w:rsidR="007B6BE3" w:rsidRPr="0087376B">
        <w:rPr>
          <w:rFonts w:ascii="Arial" w:hAnsi="Arial" w:cs="Arial"/>
          <w:szCs w:val="24"/>
        </w:rPr>
        <w:t xml:space="preserve"> </w:t>
      </w:r>
      <w:r>
        <w:rPr>
          <w:rFonts w:ascii="Arial" w:hAnsi="Arial" w:cs="Arial"/>
          <w:szCs w:val="24"/>
        </w:rPr>
        <w:t>портфолија</w:t>
      </w:r>
      <w:r w:rsidR="007B6BE3" w:rsidRPr="0087376B">
        <w:rPr>
          <w:rFonts w:ascii="Arial" w:hAnsi="Arial" w:cs="Arial"/>
          <w:szCs w:val="24"/>
        </w:rPr>
        <w:t xml:space="preserve"> </w:t>
      </w:r>
      <w:r>
        <w:rPr>
          <w:rFonts w:ascii="Arial" w:hAnsi="Arial" w:cs="Arial"/>
          <w:szCs w:val="24"/>
        </w:rPr>
        <w:t>дуга</w:t>
      </w:r>
      <w:r w:rsidR="007B6BE3" w:rsidRPr="0087376B">
        <w:rPr>
          <w:rFonts w:ascii="Arial" w:hAnsi="Arial" w:cs="Arial"/>
          <w:szCs w:val="24"/>
        </w:rPr>
        <w:t xml:space="preserve"> </w:t>
      </w:r>
      <w:r>
        <w:rPr>
          <w:rFonts w:ascii="Arial" w:hAnsi="Arial" w:cs="Arial"/>
          <w:szCs w:val="24"/>
        </w:rPr>
        <w:t>Федерације</w:t>
      </w:r>
      <w:r w:rsidR="007B6BE3" w:rsidRPr="0087376B">
        <w:rPr>
          <w:rFonts w:ascii="Arial" w:hAnsi="Arial" w:cs="Arial"/>
          <w:szCs w:val="24"/>
        </w:rPr>
        <w:t xml:space="preserve"> </w:t>
      </w:r>
      <w:r>
        <w:rPr>
          <w:rFonts w:ascii="Arial" w:hAnsi="Arial" w:cs="Arial"/>
          <w:szCs w:val="24"/>
        </w:rPr>
        <w:t>БиХ</w:t>
      </w:r>
    </w:p>
    <w:tbl>
      <w:tblPr>
        <w:tblW w:w="5000" w:type="pct"/>
        <w:tblLook w:val="04A0" w:firstRow="1" w:lastRow="0" w:firstColumn="1" w:lastColumn="0" w:noHBand="0" w:noVBand="1"/>
      </w:tblPr>
      <w:tblGrid>
        <w:gridCol w:w="1094"/>
        <w:gridCol w:w="1894"/>
        <w:gridCol w:w="1094"/>
        <w:gridCol w:w="1313"/>
        <w:gridCol w:w="980"/>
        <w:gridCol w:w="980"/>
        <w:gridCol w:w="980"/>
        <w:gridCol w:w="978"/>
      </w:tblGrid>
      <w:tr w:rsidR="007B6BE3" w:rsidRPr="0087376B" w14:paraId="4086F9AB" w14:textId="77777777" w:rsidTr="00E04BE0">
        <w:trPr>
          <w:trHeight w:val="555"/>
        </w:trPr>
        <w:tc>
          <w:tcPr>
            <w:tcW w:w="587"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6B5269DC" w14:textId="77777777" w:rsidR="007B6BE3" w:rsidRPr="0087376B" w:rsidRDefault="005B20F8" w:rsidP="007B6BE3">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Ознака</w:t>
            </w:r>
            <w:r w:rsidR="007B6BE3" w:rsidRPr="0087376B">
              <w:rPr>
                <w:rFonts w:ascii="Arial Narrow" w:eastAsia="Times New Roman" w:hAnsi="Arial Narrow" w:cs="Calibri"/>
                <w:sz w:val="18"/>
                <w:szCs w:val="18"/>
              </w:rPr>
              <w:t xml:space="preserve"> </w:t>
            </w:r>
            <w:r>
              <w:rPr>
                <w:rFonts w:ascii="Arial Narrow" w:eastAsia="Times New Roman" w:hAnsi="Arial Narrow" w:cs="Calibri"/>
                <w:sz w:val="18"/>
                <w:szCs w:val="18"/>
              </w:rPr>
              <w:t>инструмента</w:t>
            </w:r>
          </w:p>
        </w:tc>
        <w:tc>
          <w:tcPr>
            <w:tcW w:w="1017" w:type="pct"/>
            <w:tcBorders>
              <w:top w:val="single" w:sz="8" w:space="0" w:color="4F81BD"/>
              <w:left w:val="nil"/>
              <w:bottom w:val="single" w:sz="8" w:space="0" w:color="4F81BD"/>
              <w:right w:val="single" w:sz="8" w:space="0" w:color="4F81BD"/>
            </w:tcBorders>
            <w:shd w:val="clear" w:color="auto" w:fill="auto"/>
            <w:vAlign w:val="center"/>
            <w:hideMark/>
          </w:tcPr>
          <w:p w14:paraId="53B416AE" w14:textId="77777777" w:rsidR="007B6BE3" w:rsidRPr="0087376B" w:rsidRDefault="005B20F8" w:rsidP="007B6BE3">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Име</w:t>
            </w:r>
            <w:r w:rsidR="007B6BE3" w:rsidRPr="0087376B">
              <w:rPr>
                <w:rFonts w:ascii="Arial Narrow" w:eastAsia="Times New Roman" w:hAnsi="Arial Narrow" w:cs="Calibri"/>
                <w:sz w:val="18"/>
                <w:szCs w:val="18"/>
              </w:rPr>
              <w:t xml:space="preserve"> </w:t>
            </w:r>
            <w:r>
              <w:rPr>
                <w:rFonts w:ascii="Arial Narrow" w:eastAsia="Times New Roman" w:hAnsi="Arial Narrow" w:cs="Calibri"/>
                <w:sz w:val="18"/>
                <w:szCs w:val="18"/>
              </w:rPr>
              <w:t>или</w:t>
            </w:r>
            <w:r w:rsidR="007B6BE3" w:rsidRPr="0087376B">
              <w:rPr>
                <w:rFonts w:ascii="Arial Narrow" w:eastAsia="Times New Roman" w:hAnsi="Arial Narrow" w:cs="Calibri"/>
                <w:sz w:val="18"/>
                <w:szCs w:val="18"/>
              </w:rPr>
              <w:t xml:space="preserve"> </w:t>
            </w:r>
            <w:r>
              <w:rPr>
                <w:rFonts w:ascii="Arial Narrow" w:eastAsia="Times New Roman" w:hAnsi="Arial Narrow" w:cs="Calibri"/>
                <w:sz w:val="18"/>
                <w:szCs w:val="18"/>
              </w:rPr>
              <w:t>врста</w:t>
            </w:r>
            <w:r w:rsidR="007B6BE3" w:rsidRPr="0087376B">
              <w:rPr>
                <w:rFonts w:ascii="Arial Narrow" w:eastAsia="Times New Roman" w:hAnsi="Arial Narrow" w:cs="Calibri"/>
                <w:sz w:val="18"/>
                <w:szCs w:val="18"/>
              </w:rPr>
              <w:t xml:space="preserve"> </w:t>
            </w:r>
            <w:r>
              <w:rPr>
                <w:rFonts w:ascii="Arial Narrow" w:eastAsia="Times New Roman" w:hAnsi="Arial Narrow" w:cs="Calibri"/>
                <w:sz w:val="18"/>
                <w:szCs w:val="18"/>
              </w:rPr>
              <w:t>инструмента</w:t>
            </w:r>
          </w:p>
        </w:tc>
        <w:tc>
          <w:tcPr>
            <w:tcW w:w="587" w:type="pct"/>
            <w:tcBorders>
              <w:top w:val="single" w:sz="8" w:space="0" w:color="4F81BD"/>
              <w:left w:val="nil"/>
              <w:bottom w:val="single" w:sz="8" w:space="0" w:color="4F81BD"/>
              <w:right w:val="single" w:sz="8" w:space="0" w:color="4F81BD"/>
            </w:tcBorders>
            <w:shd w:val="clear" w:color="auto" w:fill="auto"/>
            <w:vAlign w:val="center"/>
            <w:hideMark/>
          </w:tcPr>
          <w:p w14:paraId="3ED6F17F" w14:textId="77777777" w:rsidR="007B6BE3" w:rsidRPr="0087376B" w:rsidRDefault="005B20F8" w:rsidP="007B6BE3">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Фиксни</w:t>
            </w:r>
            <w:r w:rsidR="007B6BE3" w:rsidRPr="0087376B">
              <w:rPr>
                <w:rFonts w:ascii="Arial Narrow" w:eastAsia="Times New Roman" w:hAnsi="Arial Narrow" w:cs="Calibri"/>
                <w:sz w:val="18"/>
                <w:szCs w:val="18"/>
              </w:rPr>
              <w:t xml:space="preserve"> </w:t>
            </w:r>
            <w:r>
              <w:rPr>
                <w:rFonts w:ascii="Arial Narrow" w:eastAsia="Times New Roman" w:hAnsi="Arial Narrow" w:cs="Calibri"/>
                <w:sz w:val="18"/>
                <w:szCs w:val="18"/>
              </w:rPr>
              <w:t>или</w:t>
            </w:r>
            <w:r w:rsidR="007B6BE3" w:rsidRPr="0087376B">
              <w:rPr>
                <w:rFonts w:ascii="Arial Narrow" w:eastAsia="Times New Roman" w:hAnsi="Arial Narrow" w:cs="Calibri"/>
                <w:sz w:val="18"/>
                <w:szCs w:val="18"/>
              </w:rPr>
              <w:t xml:space="preserve"> </w:t>
            </w:r>
            <w:r>
              <w:rPr>
                <w:rFonts w:ascii="Arial Narrow" w:eastAsia="Times New Roman" w:hAnsi="Arial Narrow" w:cs="Calibri"/>
                <w:sz w:val="18"/>
                <w:szCs w:val="18"/>
              </w:rPr>
              <w:t>варијабилни</w:t>
            </w:r>
          </w:p>
        </w:tc>
        <w:tc>
          <w:tcPr>
            <w:tcW w:w="705" w:type="pct"/>
            <w:tcBorders>
              <w:top w:val="single" w:sz="8" w:space="0" w:color="4F81BD"/>
              <w:left w:val="nil"/>
              <w:bottom w:val="single" w:sz="8" w:space="0" w:color="4F81BD"/>
              <w:right w:val="single" w:sz="8" w:space="0" w:color="4F81BD"/>
            </w:tcBorders>
            <w:shd w:val="clear" w:color="auto" w:fill="auto"/>
            <w:vAlign w:val="center"/>
            <w:hideMark/>
          </w:tcPr>
          <w:p w14:paraId="56FB5845" w14:textId="77777777" w:rsidR="007B6BE3" w:rsidRPr="0087376B" w:rsidRDefault="005B20F8" w:rsidP="007B6BE3">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Концесионални</w:t>
            </w:r>
            <w:r w:rsidR="007B6BE3" w:rsidRPr="0087376B">
              <w:rPr>
                <w:rFonts w:ascii="Arial Narrow" w:eastAsia="Times New Roman" w:hAnsi="Arial Narrow" w:cs="Calibri"/>
                <w:sz w:val="18"/>
                <w:szCs w:val="18"/>
              </w:rPr>
              <w:t xml:space="preserve"> </w:t>
            </w:r>
            <w:r>
              <w:rPr>
                <w:rFonts w:ascii="Arial Narrow" w:eastAsia="Times New Roman" w:hAnsi="Arial Narrow" w:cs="Calibri"/>
                <w:sz w:val="18"/>
                <w:szCs w:val="18"/>
              </w:rPr>
              <w:t>или</w:t>
            </w:r>
            <w:r w:rsidR="007B6BE3" w:rsidRPr="0087376B">
              <w:rPr>
                <w:rFonts w:ascii="Arial Narrow" w:eastAsia="Times New Roman" w:hAnsi="Arial Narrow" w:cs="Calibri"/>
                <w:sz w:val="18"/>
                <w:szCs w:val="18"/>
              </w:rPr>
              <w:t xml:space="preserve"> </w:t>
            </w:r>
            <w:r>
              <w:rPr>
                <w:rFonts w:ascii="Arial Narrow" w:eastAsia="Times New Roman" w:hAnsi="Arial Narrow" w:cs="Calibri"/>
                <w:sz w:val="18"/>
                <w:szCs w:val="18"/>
              </w:rPr>
              <w:t>тржни</w:t>
            </w:r>
          </w:p>
        </w:tc>
        <w:tc>
          <w:tcPr>
            <w:tcW w:w="526" w:type="pct"/>
            <w:tcBorders>
              <w:top w:val="single" w:sz="8" w:space="0" w:color="4F81BD"/>
              <w:left w:val="nil"/>
              <w:bottom w:val="single" w:sz="8" w:space="0" w:color="4F81BD"/>
              <w:right w:val="single" w:sz="8" w:space="0" w:color="4F81BD"/>
            </w:tcBorders>
            <w:shd w:val="clear" w:color="auto" w:fill="auto"/>
            <w:vAlign w:val="center"/>
            <w:hideMark/>
          </w:tcPr>
          <w:p w14:paraId="037645AF" w14:textId="77777777" w:rsidR="007B6BE3" w:rsidRPr="0087376B" w:rsidRDefault="005B20F8" w:rsidP="007B6BE3">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Доспијеће</w:t>
            </w:r>
            <w:r w:rsidR="007B6BE3" w:rsidRPr="0087376B">
              <w:rPr>
                <w:rFonts w:ascii="Arial Narrow" w:eastAsia="Times New Roman" w:hAnsi="Arial Narrow" w:cs="Calibri"/>
                <w:sz w:val="18"/>
                <w:szCs w:val="18"/>
              </w:rPr>
              <w:t xml:space="preserve"> (</w:t>
            </w:r>
            <w:r>
              <w:rPr>
                <w:rFonts w:ascii="Arial Narrow" w:eastAsia="Times New Roman" w:hAnsi="Arial Narrow" w:cs="Calibri"/>
                <w:sz w:val="18"/>
                <w:szCs w:val="18"/>
              </w:rPr>
              <w:t>година</w:t>
            </w:r>
            <w:r w:rsidR="007B6BE3" w:rsidRPr="0087376B">
              <w:rPr>
                <w:rFonts w:ascii="Arial Narrow" w:eastAsia="Times New Roman" w:hAnsi="Arial Narrow" w:cs="Calibri"/>
                <w:sz w:val="18"/>
                <w:szCs w:val="18"/>
              </w:rPr>
              <w:t>)</w:t>
            </w:r>
          </w:p>
        </w:tc>
        <w:tc>
          <w:tcPr>
            <w:tcW w:w="526" w:type="pct"/>
            <w:tcBorders>
              <w:top w:val="single" w:sz="8" w:space="0" w:color="4F81BD"/>
              <w:left w:val="nil"/>
              <w:bottom w:val="single" w:sz="8" w:space="0" w:color="4F81BD"/>
              <w:right w:val="single" w:sz="8" w:space="0" w:color="4F81BD"/>
            </w:tcBorders>
            <w:shd w:val="clear" w:color="auto" w:fill="auto"/>
            <w:vAlign w:val="center"/>
            <w:hideMark/>
          </w:tcPr>
          <w:p w14:paraId="6B5BEC4A" w14:textId="77777777" w:rsidR="007B6BE3" w:rsidRPr="0087376B" w:rsidRDefault="005B20F8" w:rsidP="007B6BE3">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Граце</w:t>
            </w:r>
            <w:r w:rsidR="007B6BE3" w:rsidRPr="0087376B">
              <w:rPr>
                <w:rFonts w:ascii="Arial Narrow" w:eastAsia="Times New Roman" w:hAnsi="Arial Narrow" w:cs="Calibri"/>
                <w:sz w:val="18"/>
                <w:szCs w:val="18"/>
              </w:rPr>
              <w:t xml:space="preserve"> (</w:t>
            </w:r>
            <w:r>
              <w:rPr>
                <w:rFonts w:ascii="Arial Narrow" w:eastAsia="Times New Roman" w:hAnsi="Arial Narrow" w:cs="Calibri"/>
                <w:sz w:val="18"/>
                <w:szCs w:val="18"/>
              </w:rPr>
              <w:t>година</w:t>
            </w:r>
            <w:r w:rsidR="007B6BE3" w:rsidRPr="0087376B">
              <w:rPr>
                <w:rFonts w:ascii="Arial Narrow" w:eastAsia="Times New Roman" w:hAnsi="Arial Narrow" w:cs="Calibri"/>
                <w:sz w:val="18"/>
                <w:szCs w:val="18"/>
              </w:rPr>
              <w:t>)</w:t>
            </w:r>
          </w:p>
        </w:tc>
        <w:tc>
          <w:tcPr>
            <w:tcW w:w="526" w:type="pct"/>
            <w:tcBorders>
              <w:top w:val="single" w:sz="8" w:space="0" w:color="4F81BD"/>
              <w:left w:val="nil"/>
              <w:bottom w:val="single" w:sz="8" w:space="0" w:color="4F81BD"/>
              <w:right w:val="single" w:sz="8" w:space="0" w:color="4F81BD"/>
            </w:tcBorders>
            <w:shd w:val="clear" w:color="auto" w:fill="auto"/>
            <w:vAlign w:val="center"/>
            <w:hideMark/>
          </w:tcPr>
          <w:p w14:paraId="4084C90C" w14:textId="77777777" w:rsidR="007B6BE3" w:rsidRPr="0087376B" w:rsidRDefault="005B20F8" w:rsidP="007B6BE3">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Врста</w:t>
            </w:r>
            <w:r w:rsidR="007B6BE3" w:rsidRPr="0087376B">
              <w:rPr>
                <w:rFonts w:ascii="Arial Narrow" w:eastAsia="Times New Roman" w:hAnsi="Arial Narrow" w:cs="Calibri"/>
                <w:sz w:val="18"/>
                <w:szCs w:val="18"/>
              </w:rPr>
              <w:t xml:space="preserve"> </w:t>
            </w:r>
            <w:r>
              <w:rPr>
                <w:rFonts w:ascii="Arial Narrow" w:eastAsia="Times New Roman" w:hAnsi="Arial Narrow" w:cs="Calibri"/>
                <w:sz w:val="18"/>
                <w:szCs w:val="18"/>
              </w:rPr>
              <w:t>валуте</w:t>
            </w:r>
          </w:p>
        </w:tc>
        <w:tc>
          <w:tcPr>
            <w:tcW w:w="525" w:type="pct"/>
            <w:tcBorders>
              <w:top w:val="single" w:sz="8" w:space="0" w:color="4F81BD"/>
              <w:left w:val="nil"/>
              <w:bottom w:val="single" w:sz="8" w:space="0" w:color="4F81BD"/>
              <w:right w:val="single" w:sz="8" w:space="0" w:color="4F81BD"/>
            </w:tcBorders>
            <w:shd w:val="clear" w:color="auto" w:fill="auto"/>
            <w:vAlign w:val="center"/>
            <w:hideMark/>
          </w:tcPr>
          <w:p w14:paraId="41219612" w14:textId="77777777" w:rsidR="007B6BE3" w:rsidRPr="0087376B" w:rsidRDefault="005B20F8" w:rsidP="007B6BE3">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Валута</w:t>
            </w:r>
          </w:p>
        </w:tc>
      </w:tr>
      <w:tr w:rsidR="00E04BE0" w:rsidRPr="0087376B" w14:paraId="78F83039" w14:textId="77777777" w:rsidTr="00E04BE0">
        <w:trPr>
          <w:trHeight w:val="345"/>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1524F9C1"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USD_2</w:t>
            </w:r>
          </w:p>
        </w:tc>
        <w:tc>
          <w:tcPr>
            <w:tcW w:w="1017" w:type="pct"/>
            <w:tcBorders>
              <w:top w:val="nil"/>
              <w:left w:val="nil"/>
              <w:bottom w:val="single" w:sz="8" w:space="0" w:color="4F81BD"/>
              <w:right w:val="single" w:sz="8" w:space="0" w:color="4F81BD"/>
            </w:tcBorders>
            <w:shd w:val="clear" w:color="auto" w:fill="auto"/>
            <w:noWrap/>
            <w:vAlign w:val="center"/>
            <w:hideMark/>
          </w:tcPr>
          <w:p w14:paraId="468E126B"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 xml:space="preserve">Концесионални USD </w:t>
            </w:r>
          </w:p>
        </w:tc>
        <w:tc>
          <w:tcPr>
            <w:tcW w:w="587" w:type="pct"/>
            <w:tcBorders>
              <w:top w:val="nil"/>
              <w:left w:val="nil"/>
              <w:bottom w:val="single" w:sz="8" w:space="0" w:color="4F81BD"/>
              <w:right w:val="single" w:sz="8" w:space="0" w:color="4F81BD"/>
            </w:tcBorders>
            <w:shd w:val="clear" w:color="auto" w:fill="auto"/>
            <w:noWrap/>
            <w:vAlign w:val="center"/>
            <w:hideMark/>
          </w:tcPr>
          <w:p w14:paraId="53655A47"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Фиксни</w:t>
            </w:r>
          </w:p>
        </w:tc>
        <w:tc>
          <w:tcPr>
            <w:tcW w:w="705" w:type="pct"/>
            <w:tcBorders>
              <w:top w:val="nil"/>
              <w:left w:val="nil"/>
              <w:bottom w:val="single" w:sz="8" w:space="0" w:color="4F81BD"/>
              <w:right w:val="single" w:sz="8" w:space="0" w:color="4F81BD"/>
            </w:tcBorders>
            <w:shd w:val="clear" w:color="auto" w:fill="auto"/>
            <w:noWrap/>
            <w:vAlign w:val="center"/>
            <w:hideMark/>
          </w:tcPr>
          <w:p w14:paraId="7245339A"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Концесионални</w:t>
            </w:r>
          </w:p>
        </w:tc>
        <w:tc>
          <w:tcPr>
            <w:tcW w:w="526" w:type="pct"/>
            <w:tcBorders>
              <w:top w:val="nil"/>
              <w:left w:val="nil"/>
              <w:bottom w:val="single" w:sz="8" w:space="0" w:color="4F81BD"/>
              <w:right w:val="single" w:sz="8" w:space="0" w:color="4F81BD"/>
            </w:tcBorders>
            <w:shd w:val="clear" w:color="auto" w:fill="auto"/>
            <w:noWrap/>
            <w:vAlign w:val="center"/>
            <w:hideMark/>
          </w:tcPr>
          <w:p w14:paraId="63D984AB"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20</w:t>
            </w:r>
          </w:p>
        </w:tc>
        <w:tc>
          <w:tcPr>
            <w:tcW w:w="526" w:type="pct"/>
            <w:tcBorders>
              <w:top w:val="nil"/>
              <w:left w:val="nil"/>
              <w:bottom w:val="single" w:sz="8" w:space="0" w:color="4F81BD"/>
              <w:right w:val="single" w:sz="8" w:space="0" w:color="4F81BD"/>
            </w:tcBorders>
            <w:shd w:val="clear" w:color="auto" w:fill="auto"/>
            <w:noWrap/>
            <w:vAlign w:val="center"/>
            <w:hideMark/>
          </w:tcPr>
          <w:p w14:paraId="2AC3795A"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5</w:t>
            </w:r>
          </w:p>
        </w:tc>
        <w:tc>
          <w:tcPr>
            <w:tcW w:w="526" w:type="pct"/>
            <w:tcBorders>
              <w:top w:val="nil"/>
              <w:left w:val="nil"/>
              <w:bottom w:val="single" w:sz="8" w:space="0" w:color="4F81BD"/>
              <w:right w:val="single" w:sz="8" w:space="0" w:color="4F81BD"/>
            </w:tcBorders>
            <w:shd w:val="clear" w:color="auto" w:fill="auto"/>
            <w:noWrap/>
            <w:vAlign w:val="center"/>
            <w:hideMark/>
          </w:tcPr>
          <w:p w14:paraId="28133462"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Страна</w:t>
            </w:r>
          </w:p>
        </w:tc>
        <w:tc>
          <w:tcPr>
            <w:tcW w:w="525" w:type="pct"/>
            <w:tcBorders>
              <w:top w:val="nil"/>
              <w:left w:val="nil"/>
              <w:bottom w:val="single" w:sz="8" w:space="0" w:color="4F81BD"/>
              <w:right w:val="single" w:sz="8" w:space="0" w:color="4F81BD"/>
            </w:tcBorders>
            <w:shd w:val="clear" w:color="auto" w:fill="auto"/>
            <w:noWrap/>
            <w:vAlign w:val="center"/>
            <w:hideMark/>
          </w:tcPr>
          <w:p w14:paraId="03CD6068"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USD</w:t>
            </w:r>
          </w:p>
        </w:tc>
      </w:tr>
      <w:tr w:rsidR="00E04BE0" w:rsidRPr="0087376B" w14:paraId="53089F0A" w14:textId="77777777" w:rsidTr="00E04BE0">
        <w:trPr>
          <w:trHeight w:val="465"/>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645EEE9F"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USD_3</w:t>
            </w:r>
          </w:p>
        </w:tc>
        <w:tc>
          <w:tcPr>
            <w:tcW w:w="1017" w:type="pct"/>
            <w:tcBorders>
              <w:top w:val="nil"/>
              <w:left w:val="nil"/>
              <w:bottom w:val="single" w:sz="8" w:space="0" w:color="4F81BD"/>
              <w:right w:val="single" w:sz="8" w:space="0" w:color="4F81BD"/>
            </w:tcBorders>
            <w:shd w:val="clear" w:color="auto" w:fill="auto"/>
            <w:noWrap/>
            <w:vAlign w:val="center"/>
            <w:hideMark/>
          </w:tcPr>
          <w:p w14:paraId="28F5239A"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 xml:space="preserve">Концесионални EUR </w:t>
            </w:r>
          </w:p>
        </w:tc>
        <w:tc>
          <w:tcPr>
            <w:tcW w:w="587" w:type="pct"/>
            <w:tcBorders>
              <w:top w:val="nil"/>
              <w:left w:val="nil"/>
              <w:bottom w:val="single" w:sz="8" w:space="0" w:color="4F81BD"/>
              <w:right w:val="single" w:sz="8" w:space="0" w:color="4F81BD"/>
            </w:tcBorders>
            <w:shd w:val="clear" w:color="auto" w:fill="auto"/>
            <w:noWrap/>
            <w:vAlign w:val="center"/>
            <w:hideMark/>
          </w:tcPr>
          <w:p w14:paraId="5F639C9E"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Фиксни</w:t>
            </w:r>
          </w:p>
        </w:tc>
        <w:tc>
          <w:tcPr>
            <w:tcW w:w="705" w:type="pct"/>
            <w:tcBorders>
              <w:top w:val="nil"/>
              <w:left w:val="nil"/>
              <w:bottom w:val="single" w:sz="8" w:space="0" w:color="4F81BD"/>
              <w:right w:val="single" w:sz="8" w:space="0" w:color="4F81BD"/>
            </w:tcBorders>
            <w:shd w:val="clear" w:color="auto" w:fill="auto"/>
            <w:noWrap/>
            <w:vAlign w:val="center"/>
            <w:hideMark/>
          </w:tcPr>
          <w:p w14:paraId="0B7C32CB"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Концесионални</w:t>
            </w:r>
          </w:p>
        </w:tc>
        <w:tc>
          <w:tcPr>
            <w:tcW w:w="526" w:type="pct"/>
            <w:tcBorders>
              <w:top w:val="nil"/>
              <w:left w:val="nil"/>
              <w:bottom w:val="single" w:sz="8" w:space="0" w:color="4F81BD"/>
              <w:right w:val="single" w:sz="8" w:space="0" w:color="4F81BD"/>
            </w:tcBorders>
            <w:shd w:val="clear" w:color="auto" w:fill="auto"/>
            <w:noWrap/>
            <w:vAlign w:val="center"/>
            <w:hideMark/>
          </w:tcPr>
          <w:p w14:paraId="36B53D9C"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20</w:t>
            </w:r>
          </w:p>
        </w:tc>
        <w:tc>
          <w:tcPr>
            <w:tcW w:w="526" w:type="pct"/>
            <w:tcBorders>
              <w:top w:val="nil"/>
              <w:left w:val="nil"/>
              <w:bottom w:val="single" w:sz="8" w:space="0" w:color="4F81BD"/>
              <w:right w:val="single" w:sz="8" w:space="0" w:color="4F81BD"/>
            </w:tcBorders>
            <w:shd w:val="clear" w:color="auto" w:fill="auto"/>
            <w:noWrap/>
            <w:vAlign w:val="center"/>
            <w:hideMark/>
          </w:tcPr>
          <w:p w14:paraId="6209556C"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5</w:t>
            </w:r>
          </w:p>
        </w:tc>
        <w:tc>
          <w:tcPr>
            <w:tcW w:w="526" w:type="pct"/>
            <w:tcBorders>
              <w:top w:val="nil"/>
              <w:left w:val="nil"/>
              <w:bottom w:val="single" w:sz="8" w:space="0" w:color="4F81BD"/>
              <w:right w:val="single" w:sz="8" w:space="0" w:color="4F81BD"/>
            </w:tcBorders>
            <w:shd w:val="clear" w:color="auto" w:fill="auto"/>
            <w:noWrap/>
            <w:vAlign w:val="center"/>
            <w:hideMark/>
          </w:tcPr>
          <w:p w14:paraId="1B1F0294"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Страна</w:t>
            </w:r>
          </w:p>
        </w:tc>
        <w:tc>
          <w:tcPr>
            <w:tcW w:w="525" w:type="pct"/>
            <w:tcBorders>
              <w:top w:val="nil"/>
              <w:left w:val="nil"/>
              <w:bottom w:val="single" w:sz="8" w:space="0" w:color="4F81BD"/>
              <w:right w:val="single" w:sz="8" w:space="0" w:color="4F81BD"/>
            </w:tcBorders>
            <w:shd w:val="clear" w:color="auto" w:fill="auto"/>
            <w:noWrap/>
            <w:vAlign w:val="center"/>
            <w:hideMark/>
          </w:tcPr>
          <w:p w14:paraId="0FB2A24A"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EUR</w:t>
            </w:r>
          </w:p>
        </w:tc>
      </w:tr>
      <w:tr w:rsidR="00E04BE0" w:rsidRPr="0087376B" w14:paraId="39EB7FD8" w14:textId="77777777" w:rsidTr="00E04BE0">
        <w:trPr>
          <w:trHeight w:val="465"/>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0CCA1848"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USD_4</w:t>
            </w:r>
          </w:p>
        </w:tc>
        <w:tc>
          <w:tcPr>
            <w:tcW w:w="1017" w:type="pct"/>
            <w:tcBorders>
              <w:top w:val="nil"/>
              <w:left w:val="nil"/>
              <w:bottom w:val="single" w:sz="8" w:space="0" w:color="4F81BD"/>
              <w:right w:val="single" w:sz="8" w:space="0" w:color="4F81BD"/>
            </w:tcBorders>
            <w:shd w:val="clear" w:color="auto" w:fill="auto"/>
            <w:noWrap/>
            <w:vAlign w:val="center"/>
            <w:hideMark/>
          </w:tcPr>
          <w:p w14:paraId="401226DF"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Концесионални USD</w:t>
            </w:r>
          </w:p>
        </w:tc>
        <w:tc>
          <w:tcPr>
            <w:tcW w:w="587" w:type="pct"/>
            <w:tcBorders>
              <w:top w:val="nil"/>
              <w:left w:val="nil"/>
              <w:bottom w:val="single" w:sz="8" w:space="0" w:color="4F81BD"/>
              <w:right w:val="single" w:sz="8" w:space="0" w:color="4F81BD"/>
            </w:tcBorders>
            <w:shd w:val="clear" w:color="auto" w:fill="auto"/>
            <w:noWrap/>
            <w:vAlign w:val="center"/>
            <w:hideMark/>
          </w:tcPr>
          <w:p w14:paraId="136A1301"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Варијабилни</w:t>
            </w:r>
          </w:p>
        </w:tc>
        <w:tc>
          <w:tcPr>
            <w:tcW w:w="705" w:type="pct"/>
            <w:tcBorders>
              <w:top w:val="nil"/>
              <w:left w:val="nil"/>
              <w:bottom w:val="single" w:sz="8" w:space="0" w:color="4F81BD"/>
              <w:right w:val="single" w:sz="8" w:space="0" w:color="4F81BD"/>
            </w:tcBorders>
            <w:shd w:val="clear" w:color="auto" w:fill="auto"/>
            <w:noWrap/>
            <w:vAlign w:val="center"/>
            <w:hideMark/>
          </w:tcPr>
          <w:p w14:paraId="6767C69B"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Концесионални</w:t>
            </w:r>
          </w:p>
        </w:tc>
        <w:tc>
          <w:tcPr>
            <w:tcW w:w="526" w:type="pct"/>
            <w:tcBorders>
              <w:top w:val="nil"/>
              <w:left w:val="nil"/>
              <w:bottom w:val="single" w:sz="8" w:space="0" w:color="4F81BD"/>
              <w:right w:val="single" w:sz="8" w:space="0" w:color="4F81BD"/>
            </w:tcBorders>
            <w:shd w:val="clear" w:color="auto" w:fill="auto"/>
            <w:noWrap/>
            <w:vAlign w:val="center"/>
            <w:hideMark/>
          </w:tcPr>
          <w:p w14:paraId="133B1FD3"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18</w:t>
            </w:r>
          </w:p>
        </w:tc>
        <w:tc>
          <w:tcPr>
            <w:tcW w:w="526" w:type="pct"/>
            <w:tcBorders>
              <w:top w:val="nil"/>
              <w:left w:val="nil"/>
              <w:bottom w:val="single" w:sz="8" w:space="0" w:color="4F81BD"/>
              <w:right w:val="single" w:sz="8" w:space="0" w:color="4F81BD"/>
            </w:tcBorders>
            <w:shd w:val="clear" w:color="auto" w:fill="auto"/>
            <w:noWrap/>
            <w:vAlign w:val="center"/>
            <w:hideMark/>
          </w:tcPr>
          <w:p w14:paraId="5E408A43"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4</w:t>
            </w:r>
          </w:p>
        </w:tc>
        <w:tc>
          <w:tcPr>
            <w:tcW w:w="526" w:type="pct"/>
            <w:tcBorders>
              <w:top w:val="nil"/>
              <w:left w:val="nil"/>
              <w:bottom w:val="single" w:sz="8" w:space="0" w:color="4F81BD"/>
              <w:right w:val="single" w:sz="8" w:space="0" w:color="4F81BD"/>
            </w:tcBorders>
            <w:shd w:val="clear" w:color="auto" w:fill="auto"/>
            <w:noWrap/>
            <w:vAlign w:val="center"/>
            <w:hideMark/>
          </w:tcPr>
          <w:p w14:paraId="6D051769"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Страна</w:t>
            </w:r>
          </w:p>
        </w:tc>
        <w:tc>
          <w:tcPr>
            <w:tcW w:w="525" w:type="pct"/>
            <w:tcBorders>
              <w:top w:val="nil"/>
              <w:left w:val="nil"/>
              <w:bottom w:val="single" w:sz="8" w:space="0" w:color="4F81BD"/>
              <w:right w:val="single" w:sz="8" w:space="0" w:color="4F81BD"/>
            </w:tcBorders>
            <w:shd w:val="clear" w:color="auto" w:fill="auto"/>
            <w:noWrap/>
            <w:vAlign w:val="center"/>
            <w:hideMark/>
          </w:tcPr>
          <w:p w14:paraId="776006A3"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USD</w:t>
            </w:r>
          </w:p>
        </w:tc>
      </w:tr>
      <w:tr w:rsidR="00E04BE0" w:rsidRPr="0087376B" w14:paraId="77B0B6C4" w14:textId="77777777" w:rsidTr="00E04BE0">
        <w:trPr>
          <w:trHeight w:val="465"/>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1A945936"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USD_5</w:t>
            </w:r>
          </w:p>
        </w:tc>
        <w:tc>
          <w:tcPr>
            <w:tcW w:w="1017" w:type="pct"/>
            <w:tcBorders>
              <w:top w:val="nil"/>
              <w:left w:val="nil"/>
              <w:bottom w:val="single" w:sz="8" w:space="0" w:color="4F81BD"/>
              <w:right w:val="single" w:sz="8" w:space="0" w:color="4F81BD"/>
            </w:tcBorders>
            <w:shd w:val="clear" w:color="auto" w:fill="auto"/>
            <w:noWrap/>
            <w:vAlign w:val="center"/>
            <w:hideMark/>
          </w:tcPr>
          <w:p w14:paraId="482F3AFE"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 xml:space="preserve">Концесионални EUR </w:t>
            </w:r>
          </w:p>
        </w:tc>
        <w:tc>
          <w:tcPr>
            <w:tcW w:w="587" w:type="pct"/>
            <w:tcBorders>
              <w:top w:val="nil"/>
              <w:left w:val="nil"/>
              <w:bottom w:val="single" w:sz="8" w:space="0" w:color="4F81BD"/>
              <w:right w:val="single" w:sz="8" w:space="0" w:color="4F81BD"/>
            </w:tcBorders>
            <w:shd w:val="clear" w:color="auto" w:fill="auto"/>
            <w:noWrap/>
            <w:vAlign w:val="center"/>
            <w:hideMark/>
          </w:tcPr>
          <w:p w14:paraId="56F6FBF6"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Варијабилни</w:t>
            </w:r>
          </w:p>
        </w:tc>
        <w:tc>
          <w:tcPr>
            <w:tcW w:w="705" w:type="pct"/>
            <w:tcBorders>
              <w:top w:val="nil"/>
              <w:left w:val="nil"/>
              <w:bottom w:val="single" w:sz="8" w:space="0" w:color="4F81BD"/>
              <w:right w:val="single" w:sz="8" w:space="0" w:color="4F81BD"/>
            </w:tcBorders>
            <w:shd w:val="clear" w:color="auto" w:fill="auto"/>
            <w:noWrap/>
            <w:vAlign w:val="center"/>
            <w:hideMark/>
          </w:tcPr>
          <w:p w14:paraId="5C2CF677"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Концесионални</w:t>
            </w:r>
          </w:p>
        </w:tc>
        <w:tc>
          <w:tcPr>
            <w:tcW w:w="526" w:type="pct"/>
            <w:tcBorders>
              <w:top w:val="nil"/>
              <w:left w:val="nil"/>
              <w:bottom w:val="single" w:sz="8" w:space="0" w:color="4F81BD"/>
              <w:right w:val="single" w:sz="8" w:space="0" w:color="4F81BD"/>
            </w:tcBorders>
            <w:shd w:val="clear" w:color="auto" w:fill="auto"/>
            <w:noWrap/>
            <w:vAlign w:val="center"/>
            <w:hideMark/>
          </w:tcPr>
          <w:p w14:paraId="43F814DD"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15</w:t>
            </w:r>
          </w:p>
        </w:tc>
        <w:tc>
          <w:tcPr>
            <w:tcW w:w="526" w:type="pct"/>
            <w:tcBorders>
              <w:top w:val="nil"/>
              <w:left w:val="nil"/>
              <w:bottom w:val="single" w:sz="8" w:space="0" w:color="4F81BD"/>
              <w:right w:val="single" w:sz="8" w:space="0" w:color="4F81BD"/>
            </w:tcBorders>
            <w:shd w:val="clear" w:color="auto" w:fill="auto"/>
            <w:noWrap/>
            <w:vAlign w:val="center"/>
            <w:hideMark/>
          </w:tcPr>
          <w:p w14:paraId="1F452FC3"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3</w:t>
            </w:r>
          </w:p>
        </w:tc>
        <w:tc>
          <w:tcPr>
            <w:tcW w:w="526" w:type="pct"/>
            <w:tcBorders>
              <w:top w:val="nil"/>
              <w:left w:val="nil"/>
              <w:bottom w:val="single" w:sz="8" w:space="0" w:color="4F81BD"/>
              <w:right w:val="single" w:sz="8" w:space="0" w:color="4F81BD"/>
            </w:tcBorders>
            <w:shd w:val="clear" w:color="auto" w:fill="auto"/>
            <w:noWrap/>
            <w:vAlign w:val="center"/>
            <w:hideMark/>
          </w:tcPr>
          <w:p w14:paraId="3C461EA3"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Страна</w:t>
            </w:r>
          </w:p>
        </w:tc>
        <w:tc>
          <w:tcPr>
            <w:tcW w:w="525" w:type="pct"/>
            <w:tcBorders>
              <w:top w:val="nil"/>
              <w:left w:val="nil"/>
              <w:bottom w:val="single" w:sz="8" w:space="0" w:color="4F81BD"/>
              <w:right w:val="single" w:sz="8" w:space="0" w:color="4F81BD"/>
            </w:tcBorders>
            <w:shd w:val="clear" w:color="auto" w:fill="auto"/>
            <w:noWrap/>
            <w:vAlign w:val="center"/>
            <w:hideMark/>
          </w:tcPr>
          <w:p w14:paraId="6912220A"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EUR</w:t>
            </w:r>
          </w:p>
        </w:tc>
      </w:tr>
      <w:tr w:rsidR="00E04BE0" w:rsidRPr="0087376B" w14:paraId="233473BE" w14:textId="77777777" w:rsidTr="00E04BE0">
        <w:trPr>
          <w:trHeight w:val="315"/>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516074F0"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USD_6</w:t>
            </w:r>
          </w:p>
        </w:tc>
        <w:tc>
          <w:tcPr>
            <w:tcW w:w="1017" w:type="pct"/>
            <w:tcBorders>
              <w:top w:val="nil"/>
              <w:left w:val="nil"/>
              <w:bottom w:val="single" w:sz="8" w:space="0" w:color="4F81BD"/>
              <w:right w:val="single" w:sz="8" w:space="0" w:color="4F81BD"/>
            </w:tcBorders>
            <w:shd w:val="clear" w:color="auto" w:fill="auto"/>
            <w:noWrap/>
            <w:vAlign w:val="center"/>
            <w:hideMark/>
          </w:tcPr>
          <w:p w14:paraId="7C72FF37"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 xml:space="preserve">IMF EFF USD </w:t>
            </w:r>
          </w:p>
        </w:tc>
        <w:tc>
          <w:tcPr>
            <w:tcW w:w="587" w:type="pct"/>
            <w:tcBorders>
              <w:top w:val="nil"/>
              <w:left w:val="nil"/>
              <w:bottom w:val="single" w:sz="8" w:space="0" w:color="4F81BD"/>
              <w:right w:val="single" w:sz="8" w:space="0" w:color="4F81BD"/>
            </w:tcBorders>
            <w:shd w:val="clear" w:color="auto" w:fill="auto"/>
            <w:noWrap/>
            <w:vAlign w:val="center"/>
            <w:hideMark/>
          </w:tcPr>
          <w:p w14:paraId="62B5CDA0"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Варијабилни</w:t>
            </w:r>
          </w:p>
        </w:tc>
        <w:tc>
          <w:tcPr>
            <w:tcW w:w="705" w:type="pct"/>
            <w:tcBorders>
              <w:top w:val="nil"/>
              <w:left w:val="nil"/>
              <w:bottom w:val="single" w:sz="8" w:space="0" w:color="4F81BD"/>
              <w:right w:val="single" w:sz="8" w:space="0" w:color="4F81BD"/>
            </w:tcBorders>
            <w:shd w:val="clear" w:color="auto" w:fill="auto"/>
            <w:noWrap/>
            <w:vAlign w:val="center"/>
            <w:hideMark/>
          </w:tcPr>
          <w:p w14:paraId="739E5BA6"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Концесионални</w:t>
            </w:r>
          </w:p>
        </w:tc>
        <w:tc>
          <w:tcPr>
            <w:tcW w:w="526" w:type="pct"/>
            <w:tcBorders>
              <w:top w:val="nil"/>
              <w:left w:val="nil"/>
              <w:bottom w:val="single" w:sz="8" w:space="0" w:color="4F81BD"/>
              <w:right w:val="single" w:sz="8" w:space="0" w:color="4F81BD"/>
            </w:tcBorders>
            <w:shd w:val="clear" w:color="auto" w:fill="auto"/>
            <w:noWrap/>
            <w:vAlign w:val="center"/>
            <w:hideMark/>
          </w:tcPr>
          <w:p w14:paraId="1D2ED80F"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10</w:t>
            </w:r>
          </w:p>
        </w:tc>
        <w:tc>
          <w:tcPr>
            <w:tcW w:w="526" w:type="pct"/>
            <w:tcBorders>
              <w:top w:val="nil"/>
              <w:left w:val="nil"/>
              <w:bottom w:val="single" w:sz="8" w:space="0" w:color="4F81BD"/>
              <w:right w:val="single" w:sz="8" w:space="0" w:color="4F81BD"/>
            </w:tcBorders>
            <w:shd w:val="clear" w:color="auto" w:fill="auto"/>
            <w:noWrap/>
            <w:vAlign w:val="center"/>
            <w:hideMark/>
          </w:tcPr>
          <w:p w14:paraId="29236887"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4</w:t>
            </w:r>
          </w:p>
        </w:tc>
        <w:tc>
          <w:tcPr>
            <w:tcW w:w="526" w:type="pct"/>
            <w:tcBorders>
              <w:top w:val="nil"/>
              <w:left w:val="nil"/>
              <w:bottom w:val="single" w:sz="8" w:space="0" w:color="4F81BD"/>
              <w:right w:val="single" w:sz="8" w:space="0" w:color="4F81BD"/>
            </w:tcBorders>
            <w:shd w:val="clear" w:color="auto" w:fill="auto"/>
            <w:noWrap/>
            <w:vAlign w:val="center"/>
            <w:hideMark/>
          </w:tcPr>
          <w:p w14:paraId="4E6DDBE8"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Страна</w:t>
            </w:r>
          </w:p>
        </w:tc>
        <w:tc>
          <w:tcPr>
            <w:tcW w:w="525" w:type="pct"/>
            <w:tcBorders>
              <w:top w:val="nil"/>
              <w:left w:val="nil"/>
              <w:bottom w:val="single" w:sz="8" w:space="0" w:color="4F81BD"/>
              <w:right w:val="single" w:sz="8" w:space="0" w:color="4F81BD"/>
            </w:tcBorders>
            <w:shd w:val="clear" w:color="auto" w:fill="auto"/>
            <w:noWrap/>
            <w:vAlign w:val="center"/>
            <w:hideMark/>
          </w:tcPr>
          <w:p w14:paraId="679A3D74"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USD</w:t>
            </w:r>
          </w:p>
        </w:tc>
      </w:tr>
      <w:tr w:rsidR="00E04BE0" w:rsidRPr="0087376B" w14:paraId="0C487D31" w14:textId="77777777" w:rsidTr="00E04BE0">
        <w:trPr>
          <w:trHeight w:val="315"/>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2E490961"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USD_7</w:t>
            </w:r>
          </w:p>
        </w:tc>
        <w:tc>
          <w:tcPr>
            <w:tcW w:w="1017" w:type="pct"/>
            <w:tcBorders>
              <w:top w:val="nil"/>
              <w:left w:val="nil"/>
              <w:bottom w:val="single" w:sz="8" w:space="0" w:color="4F81BD"/>
              <w:right w:val="single" w:sz="8" w:space="0" w:color="4F81BD"/>
            </w:tcBorders>
            <w:shd w:val="clear" w:color="auto" w:fill="auto"/>
            <w:noWrap/>
            <w:vAlign w:val="center"/>
            <w:hideMark/>
          </w:tcPr>
          <w:p w14:paraId="42F9A169"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IMF RFI USD</w:t>
            </w:r>
          </w:p>
        </w:tc>
        <w:tc>
          <w:tcPr>
            <w:tcW w:w="587" w:type="pct"/>
            <w:tcBorders>
              <w:top w:val="nil"/>
              <w:left w:val="nil"/>
              <w:bottom w:val="single" w:sz="8" w:space="0" w:color="4F81BD"/>
              <w:right w:val="single" w:sz="8" w:space="0" w:color="4F81BD"/>
            </w:tcBorders>
            <w:shd w:val="clear" w:color="auto" w:fill="auto"/>
            <w:noWrap/>
            <w:vAlign w:val="center"/>
            <w:hideMark/>
          </w:tcPr>
          <w:p w14:paraId="7DB20472"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Варијабилни</w:t>
            </w:r>
          </w:p>
        </w:tc>
        <w:tc>
          <w:tcPr>
            <w:tcW w:w="705" w:type="pct"/>
            <w:tcBorders>
              <w:top w:val="nil"/>
              <w:left w:val="nil"/>
              <w:bottom w:val="single" w:sz="8" w:space="0" w:color="4F81BD"/>
              <w:right w:val="single" w:sz="8" w:space="0" w:color="4F81BD"/>
            </w:tcBorders>
            <w:shd w:val="clear" w:color="auto" w:fill="auto"/>
            <w:noWrap/>
            <w:vAlign w:val="center"/>
            <w:hideMark/>
          </w:tcPr>
          <w:p w14:paraId="3161784F"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Концесионални</w:t>
            </w:r>
          </w:p>
        </w:tc>
        <w:tc>
          <w:tcPr>
            <w:tcW w:w="526" w:type="pct"/>
            <w:tcBorders>
              <w:top w:val="nil"/>
              <w:left w:val="nil"/>
              <w:bottom w:val="single" w:sz="8" w:space="0" w:color="4F81BD"/>
              <w:right w:val="single" w:sz="8" w:space="0" w:color="4F81BD"/>
            </w:tcBorders>
            <w:shd w:val="clear" w:color="auto" w:fill="auto"/>
            <w:noWrap/>
            <w:vAlign w:val="center"/>
            <w:hideMark/>
          </w:tcPr>
          <w:p w14:paraId="035141F3"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5</w:t>
            </w:r>
          </w:p>
        </w:tc>
        <w:tc>
          <w:tcPr>
            <w:tcW w:w="526" w:type="pct"/>
            <w:tcBorders>
              <w:top w:val="nil"/>
              <w:left w:val="nil"/>
              <w:bottom w:val="single" w:sz="8" w:space="0" w:color="4F81BD"/>
              <w:right w:val="single" w:sz="8" w:space="0" w:color="4F81BD"/>
            </w:tcBorders>
            <w:shd w:val="clear" w:color="auto" w:fill="auto"/>
            <w:noWrap/>
            <w:vAlign w:val="center"/>
            <w:hideMark/>
          </w:tcPr>
          <w:p w14:paraId="5F5BB32F"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3</w:t>
            </w:r>
          </w:p>
        </w:tc>
        <w:tc>
          <w:tcPr>
            <w:tcW w:w="526" w:type="pct"/>
            <w:tcBorders>
              <w:top w:val="nil"/>
              <w:left w:val="nil"/>
              <w:bottom w:val="single" w:sz="8" w:space="0" w:color="4F81BD"/>
              <w:right w:val="single" w:sz="8" w:space="0" w:color="4F81BD"/>
            </w:tcBorders>
            <w:shd w:val="clear" w:color="auto" w:fill="auto"/>
            <w:noWrap/>
            <w:vAlign w:val="center"/>
            <w:hideMark/>
          </w:tcPr>
          <w:p w14:paraId="5BF5FCD9"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Страна</w:t>
            </w:r>
          </w:p>
        </w:tc>
        <w:tc>
          <w:tcPr>
            <w:tcW w:w="525" w:type="pct"/>
            <w:tcBorders>
              <w:top w:val="nil"/>
              <w:left w:val="nil"/>
              <w:bottom w:val="single" w:sz="8" w:space="0" w:color="4F81BD"/>
              <w:right w:val="single" w:sz="8" w:space="0" w:color="4F81BD"/>
            </w:tcBorders>
            <w:shd w:val="clear" w:color="auto" w:fill="auto"/>
            <w:noWrap/>
            <w:vAlign w:val="center"/>
            <w:hideMark/>
          </w:tcPr>
          <w:p w14:paraId="06F1FB75"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USD</w:t>
            </w:r>
          </w:p>
        </w:tc>
      </w:tr>
      <w:tr w:rsidR="00E04BE0" w:rsidRPr="0087376B" w14:paraId="71F800F6" w14:textId="77777777" w:rsidTr="00E04BE0">
        <w:trPr>
          <w:trHeight w:val="315"/>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53F7716E"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BAM_9</w:t>
            </w:r>
          </w:p>
        </w:tc>
        <w:tc>
          <w:tcPr>
            <w:tcW w:w="1017" w:type="pct"/>
            <w:tcBorders>
              <w:top w:val="nil"/>
              <w:left w:val="nil"/>
              <w:bottom w:val="single" w:sz="8" w:space="0" w:color="4F81BD"/>
              <w:right w:val="single" w:sz="8" w:space="0" w:color="4F81BD"/>
            </w:tcBorders>
            <w:shd w:val="clear" w:color="auto" w:fill="auto"/>
            <w:noWrap/>
            <w:vAlign w:val="center"/>
            <w:hideMark/>
          </w:tcPr>
          <w:p w14:paraId="56C75E61"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 xml:space="preserve">Т запис </w:t>
            </w:r>
          </w:p>
        </w:tc>
        <w:tc>
          <w:tcPr>
            <w:tcW w:w="587" w:type="pct"/>
            <w:tcBorders>
              <w:top w:val="nil"/>
              <w:left w:val="nil"/>
              <w:bottom w:val="single" w:sz="8" w:space="0" w:color="4F81BD"/>
              <w:right w:val="single" w:sz="8" w:space="0" w:color="4F81BD"/>
            </w:tcBorders>
            <w:shd w:val="clear" w:color="auto" w:fill="auto"/>
            <w:noWrap/>
            <w:vAlign w:val="center"/>
            <w:hideMark/>
          </w:tcPr>
          <w:p w14:paraId="397C8BC7"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Фиксни</w:t>
            </w:r>
          </w:p>
        </w:tc>
        <w:tc>
          <w:tcPr>
            <w:tcW w:w="705" w:type="pct"/>
            <w:tcBorders>
              <w:top w:val="nil"/>
              <w:left w:val="nil"/>
              <w:bottom w:val="single" w:sz="8" w:space="0" w:color="4F81BD"/>
              <w:right w:val="single" w:sz="8" w:space="0" w:color="4F81BD"/>
            </w:tcBorders>
            <w:shd w:val="clear" w:color="auto" w:fill="auto"/>
            <w:noWrap/>
            <w:vAlign w:val="center"/>
            <w:hideMark/>
          </w:tcPr>
          <w:p w14:paraId="7A0B1147"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Тржни</w:t>
            </w:r>
          </w:p>
        </w:tc>
        <w:tc>
          <w:tcPr>
            <w:tcW w:w="526" w:type="pct"/>
            <w:tcBorders>
              <w:top w:val="nil"/>
              <w:left w:val="nil"/>
              <w:bottom w:val="single" w:sz="8" w:space="0" w:color="4F81BD"/>
              <w:right w:val="single" w:sz="8" w:space="0" w:color="4F81BD"/>
            </w:tcBorders>
            <w:shd w:val="clear" w:color="auto" w:fill="auto"/>
            <w:noWrap/>
            <w:vAlign w:val="center"/>
            <w:hideMark/>
          </w:tcPr>
          <w:p w14:paraId="15A2D5A5"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w:t>
            </w:r>
          </w:p>
        </w:tc>
        <w:tc>
          <w:tcPr>
            <w:tcW w:w="526" w:type="pct"/>
            <w:tcBorders>
              <w:top w:val="nil"/>
              <w:left w:val="nil"/>
              <w:bottom w:val="single" w:sz="8" w:space="0" w:color="4F81BD"/>
              <w:right w:val="single" w:sz="8" w:space="0" w:color="4F81BD"/>
            </w:tcBorders>
            <w:shd w:val="clear" w:color="auto" w:fill="auto"/>
            <w:noWrap/>
            <w:vAlign w:val="center"/>
            <w:hideMark/>
          </w:tcPr>
          <w:p w14:paraId="22EAD05E"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0</w:t>
            </w:r>
          </w:p>
        </w:tc>
        <w:tc>
          <w:tcPr>
            <w:tcW w:w="526" w:type="pct"/>
            <w:tcBorders>
              <w:top w:val="nil"/>
              <w:left w:val="nil"/>
              <w:bottom w:val="single" w:sz="8" w:space="0" w:color="4F81BD"/>
              <w:right w:val="single" w:sz="8" w:space="0" w:color="4F81BD"/>
            </w:tcBorders>
            <w:shd w:val="clear" w:color="auto" w:fill="auto"/>
            <w:noWrap/>
            <w:vAlign w:val="center"/>
            <w:hideMark/>
          </w:tcPr>
          <w:p w14:paraId="25486D2F"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Домаћа</w:t>
            </w:r>
          </w:p>
        </w:tc>
        <w:tc>
          <w:tcPr>
            <w:tcW w:w="525" w:type="pct"/>
            <w:tcBorders>
              <w:top w:val="nil"/>
              <w:left w:val="nil"/>
              <w:bottom w:val="single" w:sz="8" w:space="0" w:color="4F81BD"/>
              <w:right w:val="single" w:sz="8" w:space="0" w:color="4F81BD"/>
            </w:tcBorders>
            <w:shd w:val="clear" w:color="auto" w:fill="auto"/>
            <w:noWrap/>
            <w:vAlign w:val="center"/>
            <w:hideMark/>
          </w:tcPr>
          <w:p w14:paraId="66915F0A"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BAM</w:t>
            </w:r>
          </w:p>
        </w:tc>
      </w:tr>
      <w:tr w:rsidR="00E04BE0" w:rsidRPr="0087376B" w14:paraId="46317C35" w14:textId="77777777" w:rsidTr="00E04BE0">
        <w:trPr>
          <w:trHeight w:val="465"/>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5249C0A5"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BAM_11</w:t>
            </w:r>
          </w:p>
        </w:tc>
        <w:tc>
          <w:tcPr>
            <w:tcW w:w="1017" w:type="pct"/>
            <w:tcBorders>
              <w:top w:val="nil"/>
              <w:left w:val="nil"/>
              <w:bottom w:val="single" w:sz="8" w:space="0" w:color="4F81BD"/>
              <w:right w:val="single" w:sz="8" w:space="0" w:color="4F81BD"/>
            </w:tcBorders>
            <w:shd w:val="clear" w:color="auto" w:fill="auto"/>
            <w:noWrap/>
            <w:vAlign w:val="center"/>
            <w:hideMark/>
          </w:tcPr>
          <w:p w14:paraId="72706DB4"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 xml:space="preserve">2-3y Т обвезница </w:t>
            </w:r>
          </w:p>
        </w:tc>
        <w:tc>
          <w:tcPr>
            <w:tcW w:w="587" w:type="pct"/>
            <w:tcBorders>
              <w:top w:val="nil"/>
              <w:left w:val="nil"/>
              <w:bottom w:val="single" w:sz="8" w:space="0" w:color="4F81BD"/>
              <w:right w:val="single" w:sz="8" w:space="0" w:color="4F81BD"/>
            </w:tcBorders>
            <w:shd w:val="clear" w:color="auto" w:fill="auto"/>
            <w:noWrap/>
            <w:vAlign w:val="center"/>
            <w:hideMark/>
          </w:tcPr>
          <w:p w14:paraId="5E2D8494"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Фиксни</w:t>
            </w:r>
          </w:p>
        </w:tc>
        <w:tc>
          <w:tcPr>
            <w:tcW w:w="705" w:type="pct"/>
            <w:tcBorders>
              <w:top w:val="nil"/>
              <w:left w:val="nil"/>
              <w:bottom w:val="single" w:sz="8" w:space="0" w:color="4F81BD"/>
              <w:right w:val="single" w:sz="8" w:space="0" w:color="4F81BD"/>
            </w:tcBorders>
            <w:shd w:val="clear" w:color="auto" w:fill="auto"/>
            <w:noWrap/>
            <w:vAlign w:val="center"/>
            <w:hideMark/>
          </w:tcPr>
          <w:p w14:paraId="13441B14"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Тржни</w:t>
            </w:r>
          </w:p>
        </w:tc>
        <w:tc>
          <w:tcPr>
            <w:tcW w:w="526" w:type="pct"/>
            <w:tcBorders>
              <w:top w:val="nil"/>
              <w:left w:val="nil"/>
              <w:bottom w:val="single" w:sz="8" w:space="0" w:color="4F81BD"/>
              <w:right w:val="single" w:sz="8" w:space="0" w:color="4F81BD"/>
            </w:tcBorders>
            <w:shd w:val="clear" w:color="auto" w:fill="auto"/>
            <w:noWrap/>
            <w:vAlign w:val="center"/>
            <w:hideMark/>
          </w:tcPr>
          <w:p w14:paraId="36CF84AA"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3</w:t>
            </w:r>
          </w:p>
        </w:tc>
        <w:tc>
          <w:tcPr>
            <w:tcW w:w="526" w:type="pct"/>
            <w:tcBorders>
              <w:top w:val="nil"/>
              <w:left w:val="nil"/>
              <w:bottom w:val="single" w:sz="8" w:space="0" w:color="4F81BD"/>
              <w:right w:val="single" w:sz="8" w:space="0" w:color="4F81BD"/>
            </w:tcBorders>
            <w:shd w:val="clear" w:color="auto" w:fill="auto"/>
            <w:noWrap/>
            <w:vAlign w:val="center"/>
            <w:hideMark/>
          </w:tcPr>
          <w:p w14:paraId="522142A7"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2</w:t>
            </w:r>
          </w:p>
        </w:tc>
        <w:tc>
          <w:tcPr>
            <w:tcW w:w="526" w:type="pct"/>
            <w:tcBorders>
              <w:top w:val="nil"/>
              <w:left w:val="nil"/>
              <w:bottom w:val="single" w:sz="8" w:space="0" w:color="4F81BD"/>
              <w:right w:val="single" w:sz="8" w:space="0" w:color="4F81BD"/>
            </w:tcBorders>
            <w:shd w:val="clear" w:color="auto" w:fill="auto"/>
            <w:noWrap/>
            <w:vAlign w:val="center"/>
            <w:hideMark/>
          </w:tcPr>
          <w:p w14:paraId="6106D2CA"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Домаћа</w:t>
            </w:r>
          </w:p>
        </w:tc>
        <w:tc>
          <w:tcPr>
            <w:tcW w:w="525" w:type="pct"/>
            <w:tcBorders>
              <w:top w:val="nil"/>
              <w:left w:val="nil"/>
              <w:bottom w:val="single" w:sz="8" w:space="0" w:color="4F81BD"/>
              <w:right w:val="single" w:sz="8" w:space="0" w:color="4F81BD"/>
            </w:tcBorders>
            <w:shd w:val="clear" w:color="auto" w:fill="auto"/>
            <w:noWrap/>
            <w:vAlign w:val="center"/>
            <w:hideMark/>
          </w:tcPr>
          <w:p w14:paraId="5DD16C38"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BAM</w:t>
            </w:r>
          </w:p>
        </w:tc>
      </w:tr>
      <w:tr w:rsidR="00E04BE0" w:rsidRPr="0087376B" w14:paraId="77467675" w14:textId="77777777" w:rsidTr="00E04BE0">
        <w:trPr>
          <w:trHeight w:val="465"/>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7376CB40"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BAM_12</w:t>
            </w:r>
          </w:p>
        </w:tc>
        <w:tc>
          <w:tcPr>
            <w:tcW w:w="1017" w:type="pct"/>
            <w:tcBorders>
              <w:top w:val="nil"/>
              <w:left w:val="nil"/>
              <w:bottom w:val="single" w:sz="8" w:space="0" w:color="4F81BD"/>
              <w:right w:val="single" w:sz="8" w:space="0" w:color="4F81BD"/>
            </w:tcBorders>
            <w:shd w:val="clear" w:color="auto" w:fill="auto"/>
            <w:noWrap/>
            <w:vAlign w:val="center"/>
            <w:hideMark/>
          </w:tcPr>
          <w:p w14:paraId="2F6059D3"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 xml:space="preserve">5-7y Т обвезница </w:t>
            </w:r>
          </w:p>
        </w:tc>
        <w:tc>
          <w:tcPr>
            <w:tcW w:w="587" w:type="pct"/>
            <w:tcBorders>
              <w:top w:val="nil"/>
              <w:left w:val="nil"/>
              <w:bottom w:val="single" w:sz="8" w:space="0" w:color="4F81BD"/>
              <w:right w:val="single" w:sz="8" w:space="0" w:color="4F81BD"/>
            </w:tcBorders>
            <w:shd w:val="clear" w:color="auto" w:fill="auto"/>
            <w:noWrap/>
            <w:vAlign w:val="center"/>
            <w:hideMark/>
          </w:tcPr>
          <w:p w14:paraId="1E62CBFF"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Фиксни</w:t>
            </w:r>
          </w:p>
        </w:tc>
        <w:tc>
          <w:tcPr>
            <w:tcW w:w="705" w:type="pct"/>
            <w:tcBorders>
              <w:top w:val="nil"/>
              <w:left w:val="nil"/>
              <w:bottom w:val="single" w:sz="8" w:space="0" w:color="4F81BD"/>
              <w:right w:val="single" w:sz="8" w:space="0" w:color="4F81BD"/>
            </w:tcBorders>
            <w:shd w:val="clear" w:color="auto" w:fill="auto"/>
            <w:noWrap/>
            <w:vAlign w:val="center"/>
            <w:hideMark/>
          </w:tcPr>
          <w:p w14:paraId="4F38AF08"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Тржни</w:t>
            </w:r>
          </w:p>
        </w:tc>
        <w:tc>
          <w:tcPr>
            <w:tcW w:w="526" w:type="pct"/>
            <w:tcBorders>
              <w:top w:val="nil"/>
              <w:left w:val="nil"/>
              <w:bottom w:val="single" w:sz="8" w:space="0" w:color="4F81BD"/>
              <w:right w:val="single" w:sz="8" w:space="0" w:color="4F81BD"/>
            </w:tcBorders>
            <w:shd w:val="clear" w:color="auto" w:fill="auto"/>
            <w:noWrap/>
            <w:vAlign w:val="center"/>
            <w:hideMark/>
          </w:tcPr>
          <w:p w14:paraId="4C9FA4FD"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6</w:t>
            </w:r>
          </w:p>
        </w:tc>
        <w:tc>
          <w:tcPr>
            <w:tcW w:w="526" w:type="pct"/>
            <w:tcBorders>
              <w:top w:val="nil"/>
              <w:left w:val="nil"/>
              <w:bottom w:val="single" w:sz="8" w:space="0" w:color="4F81BD"/>
              <w:right w:val="single" w:sz="8" w:space="0" w:color="4F81BD"/>
            </w:tcBorders>
            <w:shd w:val="clear" w:color="auto" w:fill="auto"/>
            <w:noWrap/>
            <w:vAlign w:val="center"/>
            <w:hideMark/>
          </w:tcPr>
          <w:p w14:paraId="23896B02"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5</w:t>
            </w:r>
          </w:p>
        </w:tc>
        <w:tc>
          <w:tcPr>
            <w:tcW w:w="526" w:type="pct"/>
            <w:tcBorders>
              <w:top w:val="nil"/>
              <w:left w:val="nil"/>
              <w:bottom w:val="single" w:sz="8" w:space="0" w:color="4F81BD"/>
              <w:right w:val="single" w:sz="8" w:space="0" w:color="4F81BD"/>
            </w:tcBorders>
            <w:shd w:val="clear" w:color="auto" w:fill="auto"/>
            <w:noWrap/>
            <w:vAlign w:val="center"/>
            <w:hideMark/>
          </w:tcPr>
          <w:p w14:paraId="69DAF12F"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Домаћа</w:t>
            </w:r>
          </w:p>
        </w:tc>
        <w:tc>
          <w:tcPr>
            <w:tcW w:w="525" w:type="pct"/>
            <w:tcBorders>
              <w:top w:val="nil"/>
              <w:left w:val="nil"/>
              <w:bottom w:val="single" w:sz="8" w:space="0" w:color="4F81BD"/>
              <w:right w:val="single" w:sz="8" w:space="0" w:color="4F81BD"/>
            </w:tcBorders>
            <w:shd w:val="clear" w:color="auto" w:fill="auto"/>
            <w:noWrap/>
            <w:vAlign w:val="center"/>
            <w:hideMark/>
          </w:tcPr>
          <w:p w14:paraId="0F638087"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BAM</w:t>
            </w:r>
          </w:p>
        </w:tc>
      </w:tr>
      <w:tr w:rsidR="00E04BE0" w:rsidRPr="0087376B" w14:paraId="569AEE03" w14:textId="77777777" w:rsidTr="00E04BE0">
        <w:trPr>
          <w:trHeight w:val="465"/>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653B6847"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BAM_16</w:t>
            </w:r>
          </w:p>
        </w:tc>
        <w:tc>
          <w:tcPr>
            <w:tcW w:w="1017" w:type="pct"/>
            <w:tcBorders>
              <w:top w:val="nil"/>
              <w:left w:val="nil"/>
              <w:bottom w:val="single" w:sz="8" w:space="0" w:color="4F81BD"/>
              <w:right w:val="single" w:sz="8" w:space="0" w:color="4F81BD"/>
            </w:tcBorders>
            <w:shd w:val="clear" w:color="auto" w:fill="auto"/>
            <w:noWrap/>
            <w:vAlign w:val="center"/>
            <w:hideMark/>
          </w:tcPr>
          <w:p w14:paraId="331C5CB6"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10y Т обвезница</w:t>
            </w:r>
          </w:p>
        </w:tc>
        <w:tc>
          <w:tcPr>
            <w:tcW w:w="587" w:type="pct"/>
            <w:tcBorders>
              <w:top w:val="nil"/>
              <w:left w:val="nil"/>
              <w:bottom w:val="single" w:sz="8" w:space="0" w:color="4F81BD"/>
              <w:right w:val="single" w:sz="8" w:space="0" w:color="4F81BD"/>
            </w:tcBorders>
            <w:shd w:val="clear" w:color="auto" w:fill="auto"/>
            <w:noWrap/>
            <w:vAlign w:val="center"/>
            <w:hideMark/>
          </w:tcPr>
          <w:p w14:paraId="621D81B0"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Фиксни</w:t>
            </w:r>
          </w:p>
        </w:tc>
        <w:tc>
          <w:tcPr>
            <w:tcW w:w="705" w:type="pct"/>
            <w:tcBorders>
              <w:top w:val="nil"/>
              <w:left w:val="nil"/>
              <w:bottom w:val="single" w:sz="8" w:space="0" w:color="4F81BD"/>
              <w:right w:val="single" w:sz="8" w:space="0" w:color="4F81BD"/>
            </w:tcBorders>
            <w:shd w:val="clear" w:color="auto" w:fill="auto"/>
            <w:noWrap/>
            <w:vAlign w:val="center"/>
            <w:hideMark/>
          </w:tcPr>
          <w:p w14:paraId="21053965"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Тржни</w:t>
            </w:r>
          </w:p>
        </w:tc>
        <w:tc>
          <w:tcPr>
            <w:tcW w:w="526" w:type="pct"/>
            <w:tcBorders>
              <w:top w:val="nil"/>
              <w:left w:val="nil"/>
              <w:bottom w:val="single" w:sz="8" w:space="0" w:color="4F81BD"/>
              <w:right w:val="single" w:sz="8" w:space="0" w:color="4F81BD"/>
            </w:tcBorders>
            <w:shd w:val="clear" w:color="auto" w:fill="auto"/>
            <w:noWrap/>
            <w:vAlign w:val="center"/>
            <w:hideMark/>
          </w:tcPr>
          <w:p w14:paraId="6077A637"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10</w:t>
            </w:r>
          </w:p>
        </w:tc>
        <w:tc>
          <w:tcPr>
            <w:tcW w:w="526" w:type="pct"/>
            <w:tcBorders>
              <w:top w:val="nil"/>
              <w:left w:val="nil"/>
              <w:bottom w:val="single" w:sz="8" w:space="0" w:color="4F81BD"/>
              <w:right w:val="single" w:sz="8" w:space="0" w:color="4F81BD"/>
            </w:tcBorders>
            <w:shd w:val="clear" w:color="auto" w:fill="auto"/>
            <w:noWrap/>
            <w:vAlign w:val="center"/>
            <w:hideMark/>
          </w:tcPr>
          <w:p w14:paraId="6930739B"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9</w:t>
            </w:r>
          </w:p>
        </w:tc>
        <w:tc>
          <w:tcPr>
            <w:tcW w:w="526" w:type="pct"/>
            <w:tcBorders>
              <w:top w:val="nil"/>
              <w:left w:val="nil"/>
              <w:bottom w:val="single" w:sz="8" w:space="0" w:color="4F81BD"/>
              <w:right w:val="single" w:sz="8" w:space="0" w:color="4F81BD"/>
            </w:tcBorders>
            <w:shd w:val="clear" w:color="auto" w:fill="auto"/>
            <w:noWrap/>
            <w:vAlign w:val="center"/>
            <w:hideMark/>
          </w:tcPr>
          <w:p w14:paraId="02CFE32B"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Домаћа</w:t>
            </w:r>
          </w:p>
        </w:tc>
        <w:tc>
          <w:tcPr>
            <w:tcW w:w="525" w:type="pct"/>
            <w:tcBorders>
              <w:top w:val="nil"/>
              <w:left w:val="nil"/>
              <w:bottom w:val="single" w:sz="8" w:space="0" w:color="4F81BD"/>
              <w:right w:val="single" w:sz="8" w:space="0" w:color="4F81BD"/>
            </w:tcBorders>
            <w:shd w:val="clear" w:color="auto" w:fill="auto"/>
            <w:noWrap/>
            <w:vAlign w:val="center"/>
            <w:hideMark/>
          </w:tcPr>
          <w:p w14:paraId="7C4AA4A3"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BAM</w:t>
            </w:r>
          </w:p>
        </w:tc>
      </w:tr>
      <w:tr w:rsidR="00E04BE0" w:rsidRPr="0087376B" w14:paraId="7BE32885" w14:textId="77777777" w:rsidTr="00E04BE0">
        <w:trPr>
          <w:trHeight w:val="420"/>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10A9D01F"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BAM_17</w:t>
            </w:r>
          </w:p>
        </w:tc>
        <w:tc>
          <w:tcPr>
            <w:tcW w:w="1017" w:type="pct"/>
            <w:tcBorders>
              <w:top w:val="nil"/>
              <w:left w:val="nil"/>
              <w:bottom w:val="single" w:sz="8" w:space="0" w:color="4F81BD"/>
              <w:right w:val="single" w:sz="8" w:space="0" w:color="4F81BD"/>
            </w:tcBorders>
            <w:shd w:val="clear" w:color="auto" w:fill="auto"/>
            <w:noWrap/>
            <w:vAlign w:val="center"/>
            <w:hideMark/>
          </w:tcPr>
          <w:p w14:paraId="5DA1DF5F"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15y Т обвезница</w:t>
            </w:r>
          </w:p>
        </w:tc>
        <w:tc>
          <w:tcPr>
            <w:tcW w:w="587" w:type="pct"/>
            <w:tcBorders>
              <w:top w:val="nil"/>
              <w:left w:val="nil"/>
              <w:bottom w:val="single" w:sz="8" w:space="0" w:color="4F81BD"/>
              <w:right w:val="single" w:sz="8" w:space="0" w:color="4F81BD"/>
            </w:tcBorders>
            <w:shd w:val="clear" w:color="auto" w:fill="auto"/>
            <w:noWrap/>
            <w:vAlign w:val="center"/>
            <w:hideMark/>
          </w:tcPr>
          <w:p w14:paraId="26031C80"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Фиксни</w:t>
            </w:r>
          </w:p>
        </w:tc>
        <w:tc>
          <w:tcPr>
            <w:tcW w:w="705" w:type="pct"/>
            <w:tcBorders>
              <w:top w:val="nil"/>
              <w:left w:val="nil"/>
              <w:bottom w:val="single" w:sz="8" w:space="0" w:color="4F81BD"/>
              <w:right w:val="single" w:sz="8" w:space="0" w:color="4F81BD"/>
            </w:tcBorders>
            <w:shd w:val="clear" w:color="auto" w:fill="auto"/>
            <w:noWrap/>
            <w:vAlign w:val="center"/>
            <w:hideMark/>
          </w:tcPr>
          <w:p w14:paraId="60691DEF"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Тржни</w:t>
            </w:r>
          </w:p>
        </w:tc>
        <w:tc>
          <w:tcPr>
            <w:tcW w:w="526" w:type="pct"/>
            <w:tcBorders>
              <w:top w:val="nil"/>
              <w:left w:val="nil"/>
              <w:bottom w:val="single" w:sz="8" w:space="0" w:color="4F81BD"/>
              <w:right w:val="single" w:sz="8" w:space="0" w:color="4F81BD"/>
            </w:tcBorders>
            <w:shd w:val="clear" w:color="auto" w:fill="auto"/>
            <w:noWrap/>
            <w:vAlign w:val="center"/>
            <w:hideMark/>
          </w:tcPr>
          <w:p w14:paraId="3BAE45F2"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15</w:t>
            </w:r>
          </w:p>
        </w:tc>
        <w:tc>
          <w:tcPr>
            <w:tcW w:w="526" w:type="pct"/>
            <w:tcBorders>
              <w:top w:val="nil"/>
              <w:left w:val="nil"/>
              <w:bottom w:val="single" w:sz="8" w:space="0" w:color="4F81BD"/>
              <w:right w:val="single" w:sz="8" w:space="0" w:color="4F81BD"/>
            </w:tcBorders>
            <w:shd w:val="clear" w:color="auto" w:fill="auto"/>
            <w:noWrap/>
            <w:vAlign w:val="center"/>
            <w:hideMark/>
          </w:tcPr>
          <w:p w14:paraId="27BE32E0"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14</w:t>
            </w:r>
          </w:p>
        </w:tc>
        <w:tc>
          <w:tcPr>
            <w:tcW w:w="526" w:type="pct"/>
            <w:tcBorders>
              <w:top w:val="nil"/>
              <w:left w:val="nil"/>
              <w:bottom w:val="single" w:sz="8" w:space="0" w:color="4F81BD"/>
              <w:right w:val="single" w:sz="8" w:space="0" w:color="4F81BD"/>
            </w:tcBorders>
            <w:shd w:val="clear" w:color="auto" w:fill="auto"/>
            <w:noWrap/>
            <w:vAlign w:val="center"/>
            <w:hideMark/>
          </w:tcPr>
          <w:p w14:paraId="46B28CAC"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Домаћа</w:t>
            </w:r>
          </w:p>
        </w:tc>
        <w:tc>
          <w:tcPr>
            <w:tcW w:w="525" w:type="pct"/>
            <w:tcBorders>
              <w:top w:val="nil"/>
              <w:left w:val="nil"/>
              <w:bottom w:val="single" w:sz="8" w:space="0" w:color="4F81BD"/>
              <w:right w:val="single" w:sz="8" w:space="0" w:color="4F81BD"/>
            </w:tcBorders>
            <w:shd w:val="clear" w:color="auto" w:fill="auto"/>
            <w:noWrap/>
            <w:vAlign w:val="center"/>
            <w:hideMark/>
          </w:tcPr>
          <w:p w14:paraId="4ACB7F65"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BAM</w:t>
            </w:r>
          </w:p>
        </w:tc>
      </w:tr>
      <w:tr w:rsidR="00E04BE0" w:rsidRPr="0087376B" w14:paraId="34BCACFB" w14:textId="77777777" w:rsidTr="00E04BE0">
        <w:trPr>
          <w:trHeight w:val="315"/>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5496668F"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USD_8</w:t>
            </w:r>
          </w:p>
        </w:tc>
        <w:tc>
          <w:tcPr>
            <w:tcW w:w="1017" w:type="pct"/>
            <w:tcBorders>
              <w:top w:val="nil"/>
              <w:left w:val="nil"/>
              <w:bottom w:val="single" w:sz="8" w:space="0" w:color="4F81BD"/>
              <w:right w:val="single" w:sz="8" w:space="0" w:color="4F81BD"/>
            </w:tcBorders>
            <w:shd w:val="clear" w:color="auto" w:fill="auto"/>
            <w:noWrap/>
            <w:vAlign w:val="center"/>
            <w:hideMark/>
          </w:tcPr>
          <w:p w14:paraId="28E959B0"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5y Eurobond</w:t>
            </w:r>
          </w:p>
        </w:tc>
        <w:tc>
          <w:tcPr>
            <w:tcW w:w="587" w:type="pct"/>
            <w:tcBorders>
              <w:top w:val="nil"/>
              <w:left w:val="nil"/>
              <w:bottom w:val="single" w:sz="8" w:space="0" w:color="4F81BD"/>
              <w:right w:val="single" w:sz="8" w:space="0" w:color="4F81BD"/>
            </w:tcBorders>
            <w:shd w:val="clear" w:color="auto" w:fill="auto"/>
            <w:noWrap/>
            <w:vAlign w:val="center"/>
            <w:hideMark/>
          </w:tcPr>
          <w:p w14:paraId="1B227155"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Фиксни</w:t>
            </w:r>
          </w:p>
        </w:tc>
        <w:tc>
          <w:tcPr>
            <w:tcW w:w="705" w:type="pct"/>
            <w:tcBorders>
              <w:top w:val="nil"/>
              <w:left w:val="nil"/>
              <w:bottom w:val="single" w:sz="8" w:space="0" w:color="4F81BD"/>
              <w:right w:val="single" w:sz="8" w:space="0" w:color="4F81BD"/>
            </w:tcBorders>
            <w:shd w:val="clear" w:color="auto" w:fill="auto"/>
            <w:noWrap/>
            <w:vAlign w:val="center"/>
            <w:hideMark/>
          </w:tcPr>
          <w:p w14:paraId="13628CCB"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Тржни</w:t>
            </w:r>
          </w:p>
        </w:tc>
        <w:tc>
          <w:tcPr>
            <w:tcW w:w="526" w:type="pct"/>
            <w:tcBorders>
              <w:top w:val="nil"/>
              <w:left w:val="nil"/>
              <w:bottom w:val="single" w:sz="8" w:space="0" w:color="4F81BD"/>
              <w:right w:val="single" w:sz="8" w:space="0" w:color="4F81BD"/>
            </w:tcBorders>
            <w:shd w:val="clear" w:color="auto" w:fill="auto"/>
            <w:noWrap/>
            <w:vAlign w:val="center"/>
            <w:hideMark/>
          </w:tcPr>
          <w:p w14:paraId="46C00317"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5</w:t>
            </w:r>
          </w:p>
        </w:tc>
        <w:tc>
          <w:tcPr>
            <w:tcW w:w="526" w:type="pct"/>
            <w:tcBorders>
              <w:top w:val="nil"/>
              <w:left w:val="nil"/>
              <w:bottom w:val="single" w:sz="8" w:space="0" w:color="4F81BD"/>
              <w:right w:val="single" w:sz="8" w:space="0" w:color="4F81BD"/>
            </w:tcBorders>
            <w:shd w:val="clear" w:color="auto" w:fill="auto"/>
            <w:noWrap/>
            <w:vAlign w:val="center"/>
            <w:hideMark/>
          </w:tcPr>
          <w:p w14:paraId="4F435DCD"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4</w:t>
            </w:r>
          </w:p>
        </w:tc>
        <w:tc>
          <w:tcPr>
            <w:tcW w:w="526" w:type="pct"/>
            <w:tcBorders>
              <w:top w:val="nil"/>
              <w:left w:val="nil"/>
              <w:bottom w:val="single" w:sz="8" w:space="0" w:color="4F81BD"/>
              <w:right w:val="single" w:sz="8" w:space="0" w:color="4F81BD"/>
            </w:tcBorders>
            <w:shd w:val="clear" w:color="auto" w:fill="auto"/>
            <w:noWrap/>
            <w:vAlign w:val="center"/>
            <w:hideMark/>
          </w:tcPr>
          <w:p w14:paraId="66725025"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Страна</w:t>
            </w:r>
          </w:p>
        </w:tc>
        <w:tc>
          <w:tcPr>
            <w:tcW w:w="525" w:type="pct"/>
            <w:tcBorders>
              <w:top w:val="nil"/>
              <w:left w:val="nil"/>
              <w:bottom w:val="single" w:sz="8" w:space="0" w:color="4F81BD"/>
              <w:right w:val="single" w:sz="8" w:space="0" w:color="4F81BD"/>
            </w:tcBorders>
            <w:shd w:val="clear" w:color="auto" w:fill="auto"/>
            <w:noWrap/>
            <w:vAlign w:val="center"/>
            <w:hideMark/>
          </w:tcPr>
          <w:p w14:paraId="4A799101"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EUR</w:t>
            </w:r>
          </w:p>
        </w:tc>
      </w:tr>
      <w:tr w:rsidR="00E04BE0" w:rsidRPr="0087376B" w14:paraId="44C57BEA" w14:textId="77777777" w:rsidTr="00E04BE0">
        <w:trPr>
          <w:trHeight w:val="315"/>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4544D5F3"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USD_18</w:t>
            </w:r>
          </w:p>
        </w:tc>
        <w:tc>
          <w:tcPr>
            <w:tcW w:w="1017" w:type="pct"/>
            <w:tcBorders>
              <w:top w:val="nil"/>
              <w:left w:val="nil"/>
              <w:bottom w:val="single" w:sz="8" w:space="0" w:color="4F81BD"/>
              <w:right w:val="single" w:sz="8" w:space="0" w:color="4F81BD"/>
            </w:tcBorders>
            <w:shd w:val="clear" w:color="auto" w:fill="auto"/>
            <w:noWrap/>
            <w:vAlign w:val="center"/>
            <w:hideMark/>
          </w:tcPr>
          <w:p w14:paraId="7CD0B107"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10Y Eurobond</w:t>
            </w:r>
          </w:p>
        </w:tc>
        <w:tc>
          <w:tcPr>
            <w:tcW w:w="587" w:type="pct"/>
            <w:tcBorders>
              <w:top w:val="nil"/>
              <w:left w:val="nil"/>
              <w:bottom w:val="single" w:sz="8" w:space="0" w:color="4F81BD"/>
              <w:right w:val="single" w:sz="8" w:space="0" w:color="4F81BD"/>
            </w:tcBorders>
            <w:shd w:val="clear" w:color="auto" w:fill="auto"/>
            <w:noWrap/>
            <w:vAlign w:val="center"/>
            <w:hideMark/>
          </w:tcPr>
          <w:p w14:paraId="6D244D01"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Фиксни</w:t>
            </w:r>
          </w:p>
        </w:tc>
        <w:tc>
          <w:tcPr>
            <w:tcW w:w="705" w:type="pct"/>
            <w:tcBorders>
              <w:top w:val="nil"/>
              <w:left w:val="nil"/>
              <w:bottom w:val="single" w:sz="8" w:space="0" w:color="4F81BD"/>
              <w:right w:val="single" w:sz="8" w:space="0" w:color="4F81BD"/>
            </w:tcBorders>
            <w:shd w:val="clear" w:color="auto" w:fill="auto"/>
            <w:noWrap/>
            <w:vAlign w:val="center"/>
            <w:hideMark/>
          </w:tcPr>
          <w:p w14:paraId="24AB1C1F"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Тржни</w:t>
            </w:r>
          </w:p>
        </w:tc>
        <w:tc>
          <w:tcPr>
            <w:tcW w:w="526" w:type="pct"/>
            <w:tcBorders>
              <w:top w:val="nil"/>
              <w:left w:val="nil"/>
              <w:bottom w:val="single" w:sz="8" w:space="0" w:color="4F81BD"/>
              <w:right w:val="single" w:sz="8" w:space="0" w:color="4F81BD"/>
            </w:tcBorders>
            <w:shd w:val="clear" w:color="auto" w:fill="auto"/>
            <w:noWrap/>
            <w:vAlign w:val="center"/>
            <w:hideMark/>
          </w:tcPr>
          <w:p w14:paraId="5362955F"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10</w:t>
            </w:r>
          </w:p>
        </w:tc>
        <w:tc>
          <w:tcPr>
            <w:tcW w:w="526" w:type="pct"/>
            <w:tcBorders>
              <w:top w:val="nil"/>
              <w:left w:val="nil"/>
              <w:bottom w:val="single" w:sz="8" w:space="0" w:color="4F81BD"/>
              <w:right w:val="single" w:sz="8" w:space="0" w:color="4F81BD"/>
            </w:tcBorders>
            <w:shd w:val="clear" w:color="auto" w:fill="auto"/>
            <w:noWrap/>
            <w:vAlign w:val="center"/>
            <w:hideMark/>
          </w:tcPr>
          <w:p w14:paraId="08093BA0"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9</w:t>
            </w:r>
          </w:p>
        </w:tc>
        <w:tc>
          <w:tcPr>
            <w:tcW w:w="526" w:type="pct"/>
            <w:tcBorders>
              <w:top w:val="nil"/>
              <w:left w:val="nil"/>
              <w:bottom w:val="single" w:sz="8" w:space="0" w:color="4F81BD"/>
              <w:right w:val="single" w:sz="8" w:space="0" w:color="4F81BD"/>
            </w:tcBorders>
            <w:shd w:val="clear" w:color="auto" w:fill="auto"/>
            <w:noWrap/>
            <w:vAlign w:val="center"/>
            <w:hideMark/>
          </w:tcPr>
          <w:p w14:paraId="654121FE"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Страна</w:t>
            </w:r>
          </w:p>
        </w:tc>
        <w:tc>
          <w:tcPr>
            <w:tcW w:w="525" w:type="pct"/>
            <w:tcBorders>
              <w:top w:val="nil"/>
              <w:left w:val="nil"/>
              <w:bottom w:val="single" w:sz="8" w:space="0" w:color="4F81BD"/>
              <w:right w:val="single" w:sz="8" w:space="0" w:color="4F81BD"/>
            </w:tcBorders>
            <w:shd w:val="clear" w:color="auto" w:fill="auto"/>
            <w:noWrap/>
            <w:vAlign w:val="center"/>
            <w:hideMark/>
          </w:tcPr>
          <w:p w14:paraId="0EC2084F"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EUR</w:t>
            </w:r>
          </w:p>
        </w:tc>
      </w:tr>
      <w:tr w:rsidR="00E04BE0" w:rsidRPr="0087376B" w14:paraId="42A46231" w14:textId="77777777" w:rsidTr="00E04BE0">
        <w:trPr>
          <w:trHeight w:val="315"/>
        </w:trPr>
        <w:tc>
          <w:tcPr>
            <w:tcW w:w="587" w:type="pct"/>
            <w:tcBorders>
              <w:top w:val="nil"/>
              <w:left w:val="single" w:sz="8" w:space="0" w:color="4F81BD"/>
              <w:bottom w:val="single" w:sz="8" w:space="0" w:color="4F81BD"/>
              <w:right w:val="single" w:sz="8" w:space="0" w:color="4F81BD"/>
            </w:tcBorders>
            <w:shd w:val="clear" w:color="auto" w:fill="auto"/>
            <w:noWrap/>
            <w:vAlign w:val="center"/>
            <w:hideMark/>
          </w:tcPr>
          <w:p w14:paraId="672FA934"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USD_19</w:t>
            </w:r>
          </w:p>
        </w:tc>
        <w:tc>
          <w:tcPr>
            <w:tcW w:w="1017" w:type="pct"/>
            <w:tcBorders>
              <w:top w:val="nil"/>
              <w:left w:val="nil"/>
              <w:bottom w:val="single" w:sz="8" w:space="0" w:color="4F81BD"/>
              <w:right w:val="single" w:sz="8" w:space="0" w:color="4F81BD"/>
            </w:tcBorders>
            <w:shd w:val="clear" w:color="auto" w:fill="auto"/>
            <w:noWrap/>
            <w:vAlign w:val="center"/>
            <w:hideMark/>
          </w:tcPr>
          <w:p w14:paraId="2A7B30FE" w14:textId="77777777" w:rsidR="00E04BE0" w:rsidRPr="00E04BE0" w:rsidRDefault="00E04BE0" w:rsidP="00E04BE0">
            <w:pPr>
              <w:spacing w:after="0" w:line="240" w:lineRule="auto"/>
              <w:jc w:val="center"/>
              <w:rPr>
                <w:rFonts w:ascii="Arial Narrow" w:eastAsia="Times New Roman" w:hAnsi="Arial Narrow" w:cs="Calibri"/>
                <w:sz w:val="18"/>
                <w:szCs w:val="18"/>
              </w:rPr>
            </w:pPr>
            <w:r w:rsidRPr="00E04BE0">
              <w:rPr>
                <w:rFonts w:ascii="Arial Narrow" w:eastAsia="Times New Roman" w:hAnsi="Arial Narrow" w:cs="Calibri"/>
                <w:sz w:val="18"/>
                <w:szCs w:val="18"/>
              </w:rPr>
              <w:t>15Y Eurobond</w:t>
            </w:r>
          </w:p>
        </w:tc>
        <w:tc>
          <w:tcPr>
            <w:tcW w:w="587" w:type="pct"/>
            <w:tcBorders>
              <w:top w:val="nil"/>
              <w:left w:val="nil"/>
              <w:bottom w:val="single" w:sz="8" w:space="0" w:color="4F81BD"/>
              <w:right w:val="single" w:sz="8" w:space="0" w:color="4F81BD"/>
            </w:tcBorders>
            <w:shd w:val="clear" w:color="auto" w:fill="auto"/>
            <w:noWrap/>
            <w:vAlign w:val="center"/>
            <w:hideMark/>
          </w:tcPr>
          <w:p w14:paraId="531358D6"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Фиксни</w:t>
            </w:r>
          </w:p>
        </w:tc>
        <w:tc>
          <w:tcPr>
            <w:tcW w:w="705" w:type="pct"/>
            <w:tcBorders>
              <w:top w:val="nil"/>
              <w:left w:val="nil"/>
              <w:bottom w:val="single" w:sz="8" w:space="0" w:color="4F81BD"/>
              <w:right w:val="single" w:sz="8" w:space="0" w:color="4F81BD"/>
            </w:tcBorders>
            <w:shd w:val="clear" w:color="auto" w:fill="auto"/>
            <w:noWrap/>
            <w:vAlign w:val="center"/>
            <w:hideMark/>
          </w:tcPr>
          <w:p w14:paraId="2843FE68"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Тржни</w:t>
            </w:r>
          </w:p>
        </w:tc>
        <w:tc>
          <w:tcPr>
            <w:tcW w:w="526" w:type="pct"/>
            <w:tcBorders>
              <w:top w:val="nil"/>
              <w:left w:val="nil"/>
              <w:bottom w:val="single" w:sz="8" w:space="0" w:color="4F81BD"/>
              <w:right w:val="single" w:sz="8" w:space="0" w:color="4F81BD"/>
            </w:tcBorders>
            <w:shd w:val="clear" w:color="auto" w:fill="auto"/>
            <w:noWrap/>
            <w:vAlign w:val="center"/>
            <w:hideMark/>
          </w:tcPr>
          <w:p w14:paraId="5383AE80"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15</w:t>
            </w:r>
          </w:p>
        </w:tc>
        <w:tc>
          <w:tcPr>
            <w:tcW w:w="526" w:type="pct"/>
            <w:tcBorders>
              <w:top w:val="nil"/>
              <w:left w:val="nil"/>
              <w:bottom w:val="single" w:sz="8" w:space="0" w:color="4F81BD"/>
              <w:right w:val="single" w:sz="8" w:space="0" w:color="4F81BD"/>
            </w:tcBorders>
            <w:shd w:val="clear" w:color="auto" w:fill="auto"/>
            <w:noWrap/>
            <w:vAlign w:val="center"/>
            <w:hideMark/>
          </w:tcPr>
          <w:p w14:paraId="7DCA52B7" w14:textId="77777777" w:rsidR="00E04BE0" w:rsidRPr="0087376B" w:rsidRDefault="00E04BE0" w:rsidP="00E04BE0">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14</w:t>
            </w:r>
          </w:p>
        </w:tc>
        <w:tc>
          <w:tcPr>
            <w:tcW w:w="526" w:type="pct"/>
            <w:tcBorders>
              <w:top w:val="nil"/>
              <w:left w:val="nil"/>
              <w:bottom w:val="single" w:sz="8" w:space="0" w:color="4F81BD"/>
              <w:right w:val="single" w:sz="8" w:space="0" w:color="4F81BD"/>
            </w:tcBorders>
            <w:shd w:val="clear" w:color="auto" w:fill="auto"/>
            <w:noWrap/>
            <w:vAlign w:val="center"/>
            <w:hideMark/>
          </w:tcPr>
          <w:p w14:paraId="55D43E1A" w14:textId="77777777" w:rsidR="00E04BE0" w:rsidRPr="0087376B" w:rsidRDefault="00E04BE0" w:rsidP="00E04BE0">
            <w:pPr>
              <w:spacing w:after="0" w:line="240" w:lineRule="auto"/>
              <w:jc w:val="center"/>
              <w:rPr>
                <w:rFonts w:ascii="Arial Narrow" w:eastAsia="Times New Roman" w:hAnsi="Arial Narrow" w:cs="Calibri"/>
                <w:sz w:val="18"/>
                <w:szCs w:val="18"/>
              </w:rPr>
            </w:pPr>
            <w:r>
              <w:rPr>
                <w:rFonts w:ascii="Arial Narrow" w:eastAsia="Times New Roman" w:hAnsi="Arial Narrow" w:cs="Calibri"/>
                <w:sz w:val="18"/>
                <w:szCs w:val="18"/>
              </w:rPr>
              <w:t>Страна</w:t>
            </w:r>
          </w:p>
        </w:tc>
        <w:tc>
          <w:tcPr>
            <w:tcW w:w="525" w:type="pct"/>
            <w:tcBorders>
              <w:top w:val="nil"/>
              <w:left w:val="nil"/>
              <w:bottom w:val="single" w:sz="8" w:space="0" w:color="4F81BD"/>
              <w:right w:val="single" w:sz="8" w:space="0" w:color="4F81BD"/>
            </w:tcBorders>
            <w:shd w:val="clear" w:color="auto" w:fill="auto"/>
            <w:noWrap/>
            <w:vAlign w:val="center"/>
            <w:hideMark/>
          </w:tcPr>
          <w:p w14:paraId="4A5F3C98" w14:textId="77777777" w:rsidR="00E04BE0" w:rsidRPr="00DB5BBF" w:rsidRDefault="00E04BE0" w:rsidP="00E04BE0">
            <w:pPr>
              <w:spacing w:after="0" w:line="240" w:lineRule="auto"/>
              <w:jc w:val="center"/>
              <w:rPr>
                <w:rFonts w:ascii="Arial Narrow" w:eastAsia="Times New Roman" w:hAnsi="Arial Narrow" w:cs="Calibri"/>
                <w:sz w:val="18"/>
                <w:szCs w:val="18"/>
              </w:rPr>
            </w:pPr>
            <w:r w:rsidRPr="00DB5BBF">
              <w:rPr>
                <w:rFonts w:ascii="Arial Narrow" w:eastAsia="Times New Roman" w:hAnsi="Arial Narrow" w:cs="Calibri"/>
                <w:sz w:val="18"/>
                <w:szCs w:val="18"/>
              </w:rPr>
              <w:t>EUR</w:t>
            </w:r>
          </w:p>
        </w:tc>
      </w:tr>
    </w:tbl>
    <w:p w14:paraId="71CCEF25" w14:textId="77777777" w:rsidR="0092788C" w:rsidRDefault="0092788C" w:rsidP="007B6BE3">
      <w:pPr>
        <w:spacing w:after="0" w:line="240" w:lineRule="auto"/>
        <w:jc w:val="both"/>
        <w:rPr>
          <w:rFonts w:ascii="Arial" w:hAnsi="Arial" w:cs="Arial"/>
          <w:szCs w:val="24"/>
        </w:rPr>
      </w:pPr>
    </w:p>
    <w:p w14:paraId="40C14681" w14:textId="4A6A79BC" w:rsidR="007B6BE3" w:rsidRPr="0087376B" w:rsidRDefault="005B20F8" w:rsidP="007B6BE3">
      <w:pPr>
        <w:spacing w:after="0" w:line="240" w:lineRule="auto"/>
        <w:jc w:val="both"/>
        <w:rPr>
          <w:rFonts w:ascii="Arial" w:hAnsi="Arial" w:cs="Arial"/>
          <w:szCs w:val="24"/>
        </w:rPr>
      </w:pPr>
      <w:r>
        <w:rPr>
          <w:rFonts w:ascii="Arial" w:hAnsi="Arial" w:cs="Arial"/>
          <w:szCs w:val="24"/>
        </w:rPr>
        <w:t>Табела</w:t>
      </w:r>
      <w:r w:rsidR="007B6BE3" w:rsidRPr="0087376B">
        <w:rPr>
          <w:rFonts w:ascii="Arial" w:hAnsi="Arial" w:cs="Arial"/>
          <w:szCs w:val="24"/>
        </w:rPr>
        <w:t xml:space="preserve"> 14. </w:t>
      </w:r>
      <w:r>
        <w:rPr>
          <w:rFonts w:ascii="Arial" w:hAnsi="Arial" w:cs="Arial"/>
          <w:szCs w:val="24"/>
        </w:rPr>
        <w:t>Поређење</w:t>
      </w:r>
      <w:r w:rsidR="007B6BE3" w:rsidRPr="0087376B">
        <w:rPr>
          <w:rFonts w:ascii="Arial" w:hAnsi="Arial" w:cs="Arial"/>
          <w:szCs w:val="24"/>
        </w:rPr>
        <w:t xml:space="preserve"> </w:t>
      </w:r>
      <w:r>
        <w:rPr>
          <w:rFonts w:ascii="Arial" w:hAnsi="Arial" w:cs="Arial"/>
          <w:szCs w:val="24"/>
        </w:rPr>
        <w:t>тренутних</w:t>
      </w:r>
      <w:r w:rsidR="007B6BE3" w:rsidRPr="0087376B">
        <w:rPr>
          <w:rFonts w:ascii="Arial" w:hAnsi="Arial" w:cs="Arial"/>
          <w:szCs w:val="24"/>
        </w:rPr>
        <w:t xml:space="preserve"> </w:t>
      </w:r>
      <w:r>
        <w:rPr>
          <w:rFonts w:ascii="Arial" w:hAnsi="Arial" w:cs="Arial"/>
          <w:szCs w:val="24"/>
        </w:rPr>
        <w:t>индикатора</w:t>
      </w:r>
      <w:r w:rsidR="007B6BE3" w:rsidRPr="0087376B">
        <w:rPr>
          <w:rFonts w:ascii="Arial" w:hAnsi="Arial" w:cs="Arial"/>
          <w:szCs w:val="24"/>
        </w:rPr>
        <w:t xml:space="preserve"> </w:t>
      </w:r>
      <w:r>
        <w:rPr>
          <w:rFonts w:ascii="Arial" w:hAnsi="Arial" w:cs="Arial"/>
          <w:szCs w:val="24"/>
        </w:rPr>
        <w:t>ризика</w:t>
      </w:r>
      <w:r w:rsidR="007B6BE3" w:rsidRPr="0087376B">
        <w:rPr>
          <w:rFonts w:ascii="Arial" w:hAnsi="Arial" w:cs="Arial"/>
          <w:szCs w:val="24"/>
        </w:rPr>
        <w:t xml:space="preserve"> </w:t>
      </w:r>
      <w:r>
        <w:rPr>
          <w:rFonts w:ascii="Arial" w:hAnsi="Arial" w:cs="Arial"/>
          <w:szCs w:val="24"/>
        </w:rPr>
        <w:t>портфолија</w:t>
      </w:r>
      <w:r w:rsidR="007B6BE3" w:rsidRPr="0087376B">
        <w:rPr>
          <w:rFonts w:ascii="Arial" w:hAnsi="Arial" w:cs="Arial"/>
          <w:szCs w:val="24"/>
        </w:rPr>
        <w:t xml:space="preserve"> </w:t>
      </w:r>
      <w:r>
        <w:rPr>
          <w:rFonts w:ascii="Arial" w:hAnsi="Arial" w:cs="Arial"/>
          <w:szCs w:val="24"/>
        </w:rPr>
        <w:t>дуга</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ризика</w:t>
      </w:r>
      <w:r w:rsidR="007B6BE3" w:rsidRPr="0087376B">
        <w:rPr>
          <w:rFonts w:ascii="Arial" w:hAnsi="Arial" w:cs="Arial"/>
          <w:szCs w:val="24"/>
        </w:rPr>
        <w:t xml:space="preserve"> </w:t>
      </w:r>
      <w:r>
        <w:rPr>
          <w:rFonts w:ascii="Arial" w:hAnsi="Arial" w:cs="Arial"/>
          <w:szCs w:val="24"/>
        </w:rPr>
        <w:t>стратегије</w:t>
      </w:r>
    </w:p>
    <w:tbl>
      <w:tblPr>
        <w:tblW w:w="5000" w:type="pct"/>
        <w:tblLook w:val="04A0" w:firstRow="1" w:lastRow="0" w:firstColumn="1" w:lastColumn="0" w:noHBand="0" w:noVBand="1"/>
      </w:tblPr>
      <w:tblGrid>
        <w:gridCol w:w="2042"/>
        <w:gridCol w:w="3762"/>
        <w:gridCol w:w="1236"/>
        <w:gridCol w:w="1236"/>
        <w:gridCol w:w="1037"/>
      </w:tblGrid>
      <w:tr w:rsidR="007B6BE3" w:rsidRPr="0087376B" w14:paraId="3CF20A75" w14:textId="77777777" w:rsidTr="007B6BE3">
        <w:trPr>
          <w:trHeight w:val="345"/>
        </w:trPr>
        <w:tc>
          <w:tcPr>
            <w:tcW w:w="2861" w:type="pct"/>
            <w:gridSpan w:val="2"/>
            <w:vMerge w:val="restar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14:paraId="51BAA77E" w14:textId="77777777" w:rsidR="007B6BE3" w:rsidRPr="0087376B" w:rsidRDefault="005B20F8" w:rsidP="007B6BE3">
            <w:pPr>
              <w:spacing w:after="0" w:line="240" w:lineRule="auto"/>
              <w:jc w:val="center"/>
              <w:rPr>
                <w:rFonts w:ascii="Arial Narrow" w:eastAsia="Times New Roman" w:hAnsi="Arial Narrow" w:cs="Calibri"/>
                <w:color w:val="000000"/>
              </w:rPr>
            </w:pPr>
            <w:r>
              <w:rPr>
                <w:rFonts w:ascii="Arial Narrow" w:eastAsia="Times New Roman" w:hAnsi="Arial Narrow" w:cs="Calibri"/>
                <w:color w:val="000000"/>
              </w:rPr>
              <w:t>Индикатори</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ризика</w:t>
            </w:r>
          </w:p>
        </w:tc>
        <w:tc>
          <w:tcPr>
            <w:tcW w:w="2139" w:type="pct"/>
            <w:gridSpan w:val="3"/>
            <w:tcBorders>
              <w:top w:val="single" w:sz="8" w:space="0" w:color="4F81BD"/>
              <w:left w:val="nil"/>
              <w:bottom w:val="single" w:sz="8" w:space="0" w:color="4F81BD"/>
              <w:right w:val="single" w:sz="8" w:space="0" w:color="4F81BD"/>
            </w:tcBorders>
            <w:shd w:val="clear" w:color="auto" w:fill="auto"/>
            <w:vAlign w:val="center"/>
            <w:hideMark/>
          </w:tcPr>
          <w:p w14:paraId="00B86472" w14:textId="77777777" w:rsidR="007B6BE3" w:rsidRPr="0087376B" w:rsidRDefault="005B20F8" w:rsidP="007B6BE3">
            <w:pPr>
              <w:spacing w:after="0" w:line="240" w:lineRule="auto"/>
              <w:jc w:val="center"/>
              <w:rPr>
                <w:rFonts w:ascii="Arial Narrow" w:eastAsia="Times New Roman" w:hAnsi="Arial Narrow" w:cs="Calibri"/>
                <w:color w:val="000000"/>
              </w:rPr>
            </w:pPr>
            <w:r>
              <w:rPr>
                <w:rFonts w:ascii="Arial Narrow" w:eastAsia="Times New Roman" w:hAnsi="Arial Narrow" w:cs="Calibri"/>
                <w:color w:val="000000"/>
              </w:rPr>
              <w:t>Портфолио</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дуга</w:t>
            </w:r>
          </w:p>
        </w:tc>
      </w:tr>
      <w:tr w:rsidR="007B6BE3" w:rsidRPr="0087376B" w14:paraId="040AA7FF" w14:textId="77777777" w:rsidTr="007B6BE3">
        <w:trPr>
          <w:trHeight w:val="675"/>
        </w:trPr>
        <w:tc>
          <w:tcPr>
            <w:tcW w:w="2861" w:type="pct"/>
            <w:gridSpan w:val="2"/>
            <w:vMerge/>
            <w:tcBorders>
              <w:top w:val="single" w:sz="8" w:space="0" w:color="4F81BD"/>
              <w:left w:val="single" w:sz="8" w:space="0" w:color="4F81BD"/>
              <w:bottom w:val="single" w:sz="8" w:space="0" w:color="4F81BD"/>
              <w:right w:val="single" w:sz="8" w:space="0" w:color="4F81BD"/>
            </w:tcBorders>
            <w:vAlign w:val="center"/>
            <w:hideMark/>
          </w:tcPr>
          <w:p w14:paraId="2C880851" w14:textId="77777777" w:rsidR="007B6BE3" w:rsidRPr="0087376B" w:rsidRDefault="007B6BE3" w:rsidP="007B6BE3">
            <w:pPr>
              <w:spacing w:after="0" w:line="240" w:lineRule="auto"/>
              <w:rPr>
                <w:rFonts w:ascii="Arial Narrow" w:eastAsia="Times New Roman" w:hAnsi="Arial Narrow" w:cs="Calibri"/>
                <w:color w:val="000000"/>
              </w:rPr>
            </w:pPr>
          </w:p>
        </w:tc>
        <w:tc>
          <w:tcPr>
            <w:tcW w:w="1407" w:type="pct"/>
            <w:vMerge w:val="restart"/>
            <w:tcBorders>
              <w:top w:val="nil"/>
              <w:left w:val="single" w:sz="8" w:space="0" w:color="4F81BD"/>
              <w:bottom w:val="single" w:sz="8" w:space="0" w:color="4F81BD"/>
              <w:right w:val="single" w:sz="8" w:space="0" w:color="4F81BD"/>
            </w:tcBorders>
            <w:shd w:val="clear" w:color="auto" w:fill="auto"/>
            <w:noWrap/>
            <w:vAlign w:val="center"/>
            <w:hideMark/>
          </w:tcPr>
          <w:p w14:paraId="79B3DA3F"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 xml:space="preserve">2021. </w:t>
            </w:r>
            <w:r w:rsidR="005B20F8">
              <w:rPr>
                <w:rFonts w:ascii="Arial Narrow" w:eastAsia="Times New Roman" w:hAnsi="Arial Narrow" w:cs="Calibri"/>
                <w:color w:val="000000"/>
              </w:rPr>
              <w:t>година</w:t>
            </w:r>
          </w:p>
        </w:tc>
        <w:tc>
          <w:tcPr>
            <w:tcW w:w="325" w:type="pct"/>
            <w:vMerge w:val="restart"/>
            <w:tcBorders>
              <w:top w:val="nil"/>
              <w:left w:val="single" w:sz="8" w:space="0" w:color="4F81BD"/>
              <w:bottom w:val="single" w:sz="8" w:space="0" w:color="4F81BD"/>
              <w:right w:val="single" w:sz="8" w:space="0" w:color="4F81BD"/>
            </w:tcBorders>
            <w:shd w:val="clear" w:color="auto" w:fill="auto"/>
            <w:noWrap/>
            <w:vAlign w:val="center"/>
            <w:hideMark/>
          </w:tcPr>
          <w:p w14:paraId="03C8A664"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 xml:space="preserve">2022. </w:t>
            </w:r>
            <w:r w:rsidR="005B20F8">
              <w:rPr>
                <w:rFonts w:ascii="Arial Narrow" w:eastAsia="Times New Roman" w:hAnsi="Arial Narrow" w:cs="Calibri"/>
                <w:color w:val="000000"/>
              </w:rPr>
              <w:t>година</w:t>
            </w:r>
          </w:p>
        </w:tc>
        <w:tc>
          <w:tcPr>
            <w:tcW w:w="407" w:type="pct"/>
            <w:tcBorders>
              <w:top w:val="nil"/>
              <w:left w:val="nil"/>
              <w:bottom w:val="single" w:sz="8" w:space="0" w:color="4F81BD"/>
              <w:right w:val="single" w:sz="8" w:space="0" w:color="4F81BD"/>
            </w:tcBorders>
            <w:shd w:val="clear" w:color="auto" w:fill="auto"/>
            <w:vAlign w:val="center"/>
            <w:hideMark/>
          </w:tcPr>
          <w:p w14:paraId="43A3F569" w14:textId="77777777" w:rsidR="007B6BE3" w:rsidRPr="0087376B" w:rsidRDefault="005B20F8" w:rsidP="007B6BE3">
            <w:pPr>
              <w:spacing w:after="0" w:line="240" w:lineRule="auto"/>
              <w:jc w:val="center"/>
              <w:rPr>
                <w:rFonts w:ascii="Arial Narrow" w:eastAsia="Times New Roman" w:hAnsi="Arial Narrow" w:cs="Calibri"/>
                <w:color w:val="000000"/>
              </w:rPr>
            </w:pPr>
            <w:r>
              <w:rPr>
                <w:rFonts w:ascii="Arial Narrow" w:eastAsia="Times New Roman" w:hAnsi="Arial Narrow" w:cs="Calibri"/>
                <w:color w:val="000000"/>
              </w:rPr>
              <w:t>Изабрана</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стратегија</w:t>
            </w:r>
          </w:p>
        </w:tc>
      </w:tr>
      <w:tr w:rsidR="007B6BE3" w:rsidRPr="0087376B" w14:paraId="30002011" w14:textId="77777777" w:rsidTr="007B6BE3">
        <w:trPr>
          <w:trHeight w:val="675"/>
        </w:trPr>
        <w:tc>
          <w:tcPr>
            <w:tcW w:w="2861" w:type="pct"/>
            <w:gridSpan w:val="2"/>
            <w:vMerge/>
            <w:tcBorders>
              <w:top w:val="single" w:sz="8" w:space="0" w:color="4F81BD"/>
              <w:left w:val="single" w:sz="8" w:space="0" w:color="4F81BD"/>
              <w:bottom w:val="single" w:sz="8" w:space="0" w:color="4F81BD"/>
              <w:right w:val="single" w:sz="8" w:space="0" w:color="4F81BD"/>
            </w:tcBorders>
            <w:vAlign w:val="center"/>
            <w:hideMark/>
          </w:tcPr>
          <w:p w14:paraId="27DB95DD" w14:textId="77777777" w:rsidR="007B6BE3" w:rsidRPr="0087376B" w:rsidRDefault="007B6BE3" w:rsidP="007B6BE3">
            <w:pPr>
              <w:spacing w:after="0" w:line="240" w:lineRule="auto"/>
              <w:rPr>
                <w:rFonts w:ascii="Arial Narrow" w:eastAsia="Times New Roman" w:hAnsi="Arial Narrow" w:cs="Calibri"/>
                <w:color w:val="000000"/>
              </w:rPr>
            </w:pPr>
          </w:p>
        </w:tc>
        <w:tc>
          <w:tcPr>
            <w:tcW w:w="1407" w:type="pct"/>
            <w:vMerge/>
            <w:tcBorders>
              <w:top w:val="nil"/>
              <w:left w:val="single" w:sz="8" w:space="0" w:color="4F81BD"/>
              <w:bottom w:val="single" w:sz="8" w:space="0" w:color="4F81BD"/>
              <w:right w:val="single" w:sz="8" w:space="0" w:color="4F81BD"/>
            </w:tcBorders>
            <w:vAlign w:val="center"/>
            <w:hideMark/>
          </w:tcPr>
          <w:p w14:paraId="2E1109EA" w14:textId="77777777" w:rsidR="007B6BE3" w:rsidRPr="0087376B" w:rsidRDefault="007B6BE3" w:rsidP="007B6BE3">
            <w:pPr>
              <w:spacing w:after="0" w:line="240" w:lineRule="auto"/>
              <w:rPr>
                <w:rFonts w:ascii="Arial Narrow" w:eastAsia="Times New Roman" w:hAnsi="Arial Narrow" w:cs="Calibri"/>
                <w:color w:val="000000"/>
              </w:rPr>
            </w:pPr>
          </w:p>
        </w:tc>
        <w:tc>
          <w:tcPr>
            <w:tcW w:w="325" w:type="pct"/>
            <w:vMerge/>
            <w:tcBorders>
              <w:top w:val="nil"/>
              <w:left w:val="single" w:sz="8" w:space="0" w:color="4F81BD"/>
              <w:bottom w:val="single" w:sz="8" w:space="0" w:color="4F81BD"/>
              <w:right w:val="single" w:sz="8" w:space="0" w:color="4F81BD"/>
            </w:tcBorders>
            <w:vAlign w:val="center"/>
            <w:hideMark/>
          </w:tcPr>
          <w:p w14:paraId="5EB62C8C" w14:textId="77777777" w:rsidR="007B6BE3" w:rsidRPr="0087376B" w:rsidRDefault="007B6BE3" w:rsidP="007B6BE3">
            <w:pPr>
              <w:spacing w:after="0" w:line="240" w:lineRule="auto"/>
              <w:rPr>
                <w:rFonts w:ascii="Arial Narrow" w:eastAsia="Times New Roman" w:hAnsi="Arial Narrow" w:cs="Calibri"/>
                <w:color w:val="000000"/>
              </w:rPr>
            </w:pPr>
          </w:p>
        </w:tc>
        <w:tc>
          <w:tcPr>
            <w:tcW w:w="407" w:type="pct"/>
            <w:tcBorders>
              <w:top w:val="nil"/>
              <w:left w:val="nil"/>
              <w:bottom w:val="single" w:sz="8" w:space="0" w:color="4F81BD"/>
              <w:right w:val="single" w:sz="8" w:space="0" w:color="4F81BD"/>
            </w:tcBorders>
            <w:shd w:val="clear" w:color="auto" w:fill="auto"/>
            <w:vAlign w:val="center"/>
            <w:hideMark/>
          </w:tcPr>
          <w:p w14:paraId="0DD7EF33" w14:textId="77777777" w:rsidR="007B6BE3" w:rsidRPr="0087376B" w:rsidRDefault="005B20F8" w:rsidP="007B6BE3">
            <w:pPr>
              <w:spacing w:after="0" w:line="240" w:lineRule="auto"/>
              <w:jc w:val="center"/>
              <w:rPr>
                <w:rFonts w:ascii="Arial Narrow" w:eastAsia="Times New Roman" w:hAnsi="Arial Narrow" w:cs="Calibri"/>
                <w:color w:val="000000"/>
              </w:rPr>
            </w:pPr>
            <w:r>
              <w:rPr>
                <w:rFonts w:ascii="Arial Narrow" w:eastAsia="Times New Roman" w:hAnsi="Arial Narrow" w:cs="Calibri"/>
                <w:color w:val="000000"/>
              </w:rPr>
              <w:t>крај</w:t>
            </w:r>
            <w:r w:rsidR="007B6BE3" w:rsidRPr="0087376B">
              <w:rPr>
                <w:rFonts w:ascii="Arial Narrow" w:eastAsia="Times New Roman" w:hAnsi="Arial Narrow" w:cs="Calibri"/>
                <w:color w:val="000000"/>
              </w:rPr>
              <w:t xml:space="preserve"> 2025. </w:t>
            </w:r>
            <w:r>
              <w:rPr>
                <w:rFonts w:ascii="Arial Narrow" w:eastAsia="Times New Roman" w:hAnsi="Arial Narrow" w:cs="Calibri"/>
                <w:color w:val="000000"/>
              </w:rPr>
              <w:t>године</w:t>
            </w:r>
          </w:p>
        </w:tc>
      </w:tr>
      <w:tr w:rsidR="007B6BE3" w:rsidRPr="0087376B" w14:paraId="1E745898" w14:textId="77777777" w:rsidTr="007B6BE3">
        <w:trPr>
          <w:trHeight w:val="330"/>
        </w:trPr>
        <w:tc>
          <w:tcPr>
            <w:tcW w:w="2861" w:type="pct"/>
            <w:gridSpan w:val="2"/>
            <w:tcBorders>
              <w:top w:val="single" w:sz="8" w:space="0" w:color="4F81BD"/>
              <w:left w:val="single" w:sz="8" w:space="0" w:color="4F81BD"/>
              <w:bottom w:val="nil"/>
              <w:right w:val="single" w:sz="8" w:space="0" w:color="4F81BD"/>
            </w:tcBorders>
            <w:shd w:val="clear" w:color="auto" w:fill="auto"/>
            <w:noWrap/>
            <w:vAlign w:val="center"/>
            <w:hideMark/>
          </w:tcPr>
          <w:p w14:paraId="0FDAE9EC"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Номинални</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дуг</w:t>
            </w:r>
            <w:r w:rsidR="007B6BE3" w:rsidRPr="0087376B">
              <w:rPr>
                <w:rFonts w:ascii="Arial Narrow" w:eastAsia="Times New Roman" w:hAnsi="Arial Narrow" w:cs="Calibri"/>
                <w:color w:val="000000"/>
              </w:rPr>
              <w:t xml:space="preserve"> (%  </w:t>
            </w:r>
            <w:r>
              <w:rPr>
                <w:rFonts w:ascii="Arial Narrow" w:eastAsia="Times New Roman" w:hAnsi="Arial Narrow" w:cs="Calibri"/>
                <w:color w:val="000000"/>
              </w:rPr>
              <w:t>БДП</w:t>
            </w:r>
            <w:r w:rsidR="007B6BE3" w:rsidRPr="0087376B">
              <w:rPr>
                <w:rFonts w:ascii="Arial Narrow" w:eastAsia="Times New Roman" w:hAnsi="Arial Narrow" w:cs="Calibri"/>
                <w:color w:val="000000"/>
              </w:rPr>
              <w:t>-</w:t>
            </w:r>
            <w:r>
              <w:rPr>
                <w:rFonts w:ascii="Arial Narrow" w:eastAsia="Times New Roman" w:hAnsi="Arial Narrow" w:cs="Calibri"/>
                <w:color w:val="000000"/>
              </w:rPr>
              <w:t>а</w:t>
            </w:r>
            <w:r w:rsidR="007B6BE3" w:rsidRPr="0087376B">
              <w:rPr>
                <w:rFonts w:ascii="Arial Narrow" w:eastAsia="Times New Roman" w:hAnsi="Arial Narrow" w:cs="Calibri"/>
                <w:color w:val="000000"/>
              </w:rPr>
              <w:t>)</w:t>
            </w:r>
          </w:p>
        </w:tc>
        <w:tc>
          <w:tcPr>
            <w:tcW w:w="1407" w:type="pct"/>
            <w:tcBorders>
              <w:top w:val="nil"/>
              <w:left w:val="nil"/>
              <w:bottom w:val="nil"/>
              <w:right w:val="nil"/>
            </w:tcBorders>
            <w:shd w:val="clear" w:color="auto" w:fill="auto"/>
            <w:vAlign w:val="center"/>
            <w:hideMark/>
          </w:tcPr>
          <w:p w14:paraId="5C4CA99F"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26,8</w:t>
            </w:r>
          </w:p>
        </w:tc>
        <w:tc>
          <w:tcPr>
            <w:tcW w:w="325" w:type="pct"/>
            <w:tcBorders>
              <w:top w:val="nil"/>
              <w:left w:val="nil"/>
              <w:bottom w:val="nil"/>
              <w:right w:val="nil"/>
            </w:tcBorders>
            <w:shd w:val="clear" w:color="auto" w:fill="auto"/>
            <w:noWrap/>
            <w:vAlign w:val="center"/>
            <w:hideMark/>
          </w:tcPr>
          <w:p w14:paraId="04141D05"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15,4</w:t>
            </w:r>
          </w:p>
        </w:tc>
        <w:tc>
          <w:tcPr>
            <w:tcW w:w="407" w:type="pct"/>
            <w:tcBorders>
              <w:top w:val="nil"/>
              <w:left w:val="nil"/>
              <w:bottom w:val="nil"/>
              <w:right w:val="single" w:sz="8" w:space="0" w:color="4F81BD"/>
            </w:tcBorders>
            <w:shd w:val="clear" w:color="auto" w:fill="auto"/>
            <w:vAlign w:val="center"/>
            <w:hideMark/>
          </w:tcPr>
          <w:p w14:paraId="12A9FDA5"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15,9</w:t>
            </w:r>
          </w:p>
        </w:tc>
      </w:tr>
      <w:tr w:rsidR="007B6BE3" w:rsidRPr="0087376B" w14:paraId="7662F247" w14:textId="77777777" w:rsidTr="007B6BE3">
        <w:trPr>
          <w:trHeight w:val="330"/>
        </w:trPr>
        <w:tc>
          <w:tcPr>
            <w:tcW w:w="2861" w:type="pct"/>
            <w:gridSpan w:val="2"/>
            <w:tcBorders>
              <w:top w:val="nil"/>
              <w:left w:val="single" w:sz="8" w:space="0" w:color="4F81BD"/>
              <w:bottom w:val="nil"/>
              <w:right w:val="single" w:sz="8" w:space="0" w:color="4F81BD"/>
            </w:tcBorders>
            <w:shd w:val="clear" w:color="auto" w:fill="auto"/>
            <w:noWrap/>
            <w:vAlign w:val="center"/>
            <w:hideMark/>
          </w:tcPr>
          <w:p w14:paraId="707774CA"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Садашња</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вриједност</w:t>
            </w:r>
            <w:r w:rsidR="007B6BE3" w:rsidRPr="0087376B">
              <w:rPr>
                <w:rFonts w:ascii="Arial Narrow" w:eastAsia="Times New Roman" w:hAnsi="Arial Narrow" w:cs="Calibri"/>
                <w:color w:val="000000"/>
              </w:rPr>
              <w:t xml:space="preserve"> (% </w:t>
            </w:r>
            <w:r>
              <w:rPr>
                <w:rFonts w:ascii="Arial Narrow" w:eastAsia="Times New Roman" w:hAnsi="Arial Narrow" w:cs="Calibri"/>
                <w:color w:val="000000"/>
              </w:rPr>
              <w:t>БДП</w:t>
            </w:r>
            <w:r w:rsidR="007B6BE3" w:rsidRPr="0087376B">
              <w:rPr>
                <w:rFonts w:ascii="Arial Narrow" w:eastAsia="Times New Roman" w:hAnsi="Arial Narrow" w:cs="Calibri"/>
                <w:color w:val="000000"/>
              </w:rPr>
              <w:t>-</w:t>
            </w:r>
            <w:r>
              <w:rPr>
                <w:rFonts w:ascii="Arial Narrow" w:eastAsia="Times New Roman" w:hAnsi="Arial Narrow" w:cs="Calibri"/>
                <w:color w:val="000000"/>
              </w:rPr>
              <w:t>а</w:t>
            </w:r>
            <w:r w:rsidR="007B6BE3" w:rsidRPr="0087376B">
              <w:rPr>
                <w:rFonts w:ascii="Arial Narrow" w:eastAsia="Times New Roman" w:hAnsi="Arial Narrow" w:cs="Calibri"/>
                <w:color w:val="000000"/>
              </w:rPr>
              <w:t>)</w:t>
            </w:r>
          </w:p>
        </w:tc>
        <w:tc>
          <w:tcPr>
            <w:tcW w:w="1407" w:type="pct"/>
            <w:tcBorders>
              <w:top w:val="nil"/>
              <w:left w:val="nil"/>
              <w:bottom w:val="nil"/>
              <w:right w:val="nil"/>
            </w:tcBorders>
            <w:shd w:val="clear" w:color="auto" w:fill="auto"/>
            <w:vAlign w:val="center"/>
            <w:hideMark/>
          </w:tcPr>
          <w:p w14:paraId="31C864B7"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22,4</w:t>
            </w:r>
          </w:p>
        </w:tc>
        <w:tc>
          <w:tcPr>
            <w:tcW w:w="325" w:type="pct"/>
            <w:tcBorders>
              <w:top w:val="nil"/>
              <w:left w:val="nil"/>
              <w:bottom w:val="nil"/>
              <w:right w:val="nil"/>
            </w:tcBorders>
            <w:shd w:val="clear" w:color="auto" w:fill="auto"/>
            <w:noWrap/>
            <w:vAlign w:val="center"/>
            <w:hideMark/>
          </w:tcPr>
          <w:p w14:paraId="6FCC99B8"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13,2</w:t>
            </w:r>
          </w:p>
        </w:tc>
        <w:tc>
          <w:tcPr>
            <w:tcW w:w="407" w:type="pct"/>
            <w:tcBorders>
              <w:top w:val="nil"/>
              <w:left w:val="nil"/>
              <w:bottom w:val="nil"/>
              <w:right w:val="single" w:sz="8" w:space="0" w:color="4F81BD"/>
            </w:tcBorders>
            <w:shd w:val="clear" w:color="auto" w:fill="auto"/>
            <w:vAlign w:val="center"/>
            <w:hideMark/>
          </w:tcPr>
          <w:p w14:paraId="17320E80"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14,3</w:t>
            </w:r>
          </w:p>
        </w:tc>
      </w:tr>
      <w:tr w:rsidR="007B6BE3" w:rsidRPr="0087376B" w14:paraId="333FF9F8" w14:textId="77777777" w:rsidTr="007B6BE3">
        <w:trPr>
          <w:trHeight w:val="345"/>
        </w:trPr>
        <w:tc>
          <w:tcPr>
            <w:tcW w:w="2861" w:type="pct"/>
            <w:gridSpan w:val="2"/>
            <w:tcBorders>
              <w:top w:val="nil"/>
              <w:left w:val="single" w:sz="8" w:space="0" w:color="4F81BD"/>
              <w:bottom w:val="single" w:sz="8" w:space="0" w:color="4F81BD"/>
              <w:right w:val="single" w:sz="8" w:space="0" w:color="4F81BD"/>
            </w:tcBorders>
            <w:shd w:val="clear" w:color="auto" w:fill="auto"/>
            <w:noWrap/>
            <w:vAlign w:val="center"/>
            <w:hideMark/>
          </w:tcPr>
          <w:p w14:paraId="4CF58D52"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Пондерисана</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просјечна</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камата</w:t>
            </w:r>
            <w:r w:rsidR="007B6BE3" w:rsidRPr="0087376B">
              <w:rPr>
                <w:rFonts w:ascii="Arial Narrow" w:eastAsia="Times New Roman" w:hAnsi="Arial Narrow" w:cs="Calibri"/>
                <w:color w:val="000000"/>
              </w:rPr>
              <w:t xml:space="preserve"> (%)</w:t>
            </w:r>
          </w:p>
        </w:tc>
        <w:tc>
          <w:tcPr>
            <w:tcW w:w="1407" w:type="pct"/>
            <w:tcBorders>
              <w:top w:val="nil"/>
              <w:left w:val="nil"/>
              <w:bottom w:val="single" w:sz="8" w:space="0" w:color="4F81BD"/>
              <w:right w:val="nil"/>
            </w:tcBorders>
            <w:shd w:val="clear" w:color="auto" w:fill="auto"/>
            <w:vAlign w:val="center"/>
            <w:hideMark/>
          </w:tcPr>
          <w:p w14:paraId="033B62A0"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1,3</w:t>
            </w:r>
          </w:p>
        </w:tc>
        <w:tc>
          <w:tcPr>
            <w:tcW w:w="325" w:type="pct"/>
            <w:tcBorders>
              <w:top w:val="nil"/>
              <w:left w:val="nil"/>
              <w:bottom w:val="single" w:sz="8" w:space="0" w:color="4F81BD"/>
              <w:right w:val="nil"/>
            </w:tcBorders>
            <w:shd w:val="clear" w:color="auto" w:fill="auto"/>
            <w:noWrap/>
            <w:vAlign w:val="center"/>
            <w:hideMark/>
          </w:tcPr>
          <w:p w14:paraId="184353D1"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1,8</w:t>
            </w:r>
          </w:p>
        </w:tc>
        <w:tc>
          <w:tcPr>
            <w:tcW w:w="407" w:type="pct"/>
            <w:tcBorders>
              <w:top w:val="nil"/>
              <w:left w:val="nil"/>
              <w:bottom w:val="single" w:sz="8" w:space="0" w:color="4F81BD"/>
              <w:right w:val="single" w:sz="8" w:space="0" w:color="4F81BD"/>
            </w:tcBorders>
            <w:shd w:val="clear" w:color="auto" w:fill="auto"/>
            <w:vAlign w:val="center"/>
            <w:hideMark/>
          </w:tcPr>
          <w:p w14:paraId="69F33B8A"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3,0</w:t>
            </w:r>
          </w:p>
        </w:tc>
      </w:tr>
      <w:tr w:rsidR="007B6BE3" w:rsidRPr="0087376B" w14:paraId="1C577CE5" w14:textId="77777777" w:rsidTr="007B6BE3">
        <w:trPr>
          <w:trHeight w:val="330"/>
        </w:trPr>
        <w:tc>
          <w:tcPr>
            <w:tcW w:w="2376" w:type="pct"/>
            <w:vMerge w:val="restart"/>
            <w:tcBorders>
              <w:top w:val="nil"/>
              <w:left w:val="single" w:sz="8" w:space="0" w:color="4F81BD"/>
              <w:bottom w:val="single" w:sz="8" w:space="0" w:color="4F81BD"/>
              <w:right w:val="single" w:sz="8" w:space="0" w:color="4F81BD"/>
            </w:tcBorders>
            <w:shd w:val="clear" w:color="auto" w:fill="auto"/>
            <w:noWrap/>
            <w:vAlign w:val="center"/>
            <w:hideMark/>
          </w:tcPr>
          <w:p w14:paraId="38657AF5" w14:textId="77777777" w:rsidR="007B6BE3" w:rsidRPr="0087376B" w:rsidRDefault="005B20F8" w:rsidP="007B6BE3">
            <w:pPr>
              <w:spacing w:after="0" w:line="240" w:lineRule="auto"/>
              <w:jc w:val="center"/>
              <w:rPr>
                <w:rFonts w:ascii="Arial Narrow" w:eastAsia="Times New Roman" w:hAnsi="Arial Narrow" w:cs="Calibri"/>
                <w:color w:val="000000"/>
              </w:rPr>
            </w:pPr>
            <w:r>
              <w:rPr>
                <w:rFonts w:ascii="Arial Narrow" w:eastAsia="Times New Roman" w:hAnsi="Arial Narrow" w:cs="Calibri"/>
                <w:color w:val="000000"/>
              </w:rPr>
              <w:t>Ризик</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рефинансирања</w:t>
            </w:r>
          </w:p>
        </w:tc>
        <w:tc>
          <w:tcPr>
            <w:tcW w:w="484" w:type="pct"/>
            <w:tcBorders>
              <w:top w:val="nil"/>
              <w:left w:val="nil"/>
              <w:bottom w:val="nil"/>
              <w:right w:val="single" w:sz="8" w:space="0" w:color="4F81BD"/>
            </w:tcBorders>
            <w:shd w:val="clear" w:color="auto" w:fill="auto"/>
            <w:noWrap/>
            <w:vAlign w:val="center"/>
            <w:hideMark/>
          </w:tcPr>
          <w:p w14:paraId="282AD702" w14:textId="77777777" w:rsidR="007B6BE3" w:rsidRPr="00C7294F" w:rsidRDefault="005B20F8" w:rsidP="007B6BE3">
            <w:pPr>
              <w:spacing w:after="0" w:line="240" w:lineRule="auto"/>
              <w:rPr>
                <w:rFonts w:ascii="Arial Narrow" w:eastAsia="Times New Roman" w:hAnsi="Arial Narrow" w:cs="Calibri"/>
              </w:rPr>
            </w:pPr>
            <w:r w:rsidRPr="00C7294F">
              <w:rPr>
                <w:rFonts w:ascii="Arial Narrow" w:eastAsia="Times New Roman" w:hAnsi="Arial Narrow" w:cs="Calibri"/>
              </w:rPr>
              <w:t>АТМ</w:t>
            </w:r>
            <w:r w:rsidR="007B6BE3" w:rsidRPr="00C7294F">
              <w:rPr>
                <w:rFonts w:ascii="Arial Narrow" w:eastAsia="Times New Roman" w:hAnsi="Arial Narrow" w:cs="Calibri"/>
              </w:rPr>
              <w:t xml:space="preserve"> </w:t>
            </w:r>
            <w:r w:rsidRPr="00C7294F">
              <w:rPr>
                <w:rFonts w:ascii="Arial Narrow" w:eastAsia="Times New Roman" w:hAnsi="Arial Narrow" w:cs="Calibri"/>
              </w:rPr>
              <w:t>Спољни</w:t>
            </w:r>
            <w:r w:rsidR="007B6BE3" w:rsidRPr="00C7294F">
              <w:rPr>
                <w:rFonts w:ascii="Arial Narrow" w:eastAsia="Times New Roman" w:hAnsi="Arial Narrow" w:cs="Calibri"/>
              </w:rPr>
              <w:t xml:space="preserve"> </w:t>
            </w:r>
            <w:r w:rsidRPr="00C7294F">
              <w:rPr>
                <w:rFonts w:ascii="Arial Narrow" w:eastAsia="Times New Roman" w:hAnsi="Arial Narrow" w:cs="Calibri"/>
              </w:rPr>
              <w:t>дуг</w:t>
            </w:r>
            <w:r w:rsidR="007B6BE3" w:rsidRPr="00C7294F">
              <w:rPr>
                <w:rFonts w:ascii="Arial Narrow" w:eastAsia="Times New Roman" w:hAnsi="Arial Narrow" w:cs="Calibri"/>
              </w:rPr>
              <w:t xml:space="preserve"> (</w:t>
            </w:r>
            <w:r w:rsidRPr="00C7294F">
              <w:rPr>
                <w:rFonts w:ascii="Arial Narrow" w:eastAsia="Times New Roman" w:hAnsi="Arial Narrow" w:cs="Calibri"/>
              </w:rPr>
              <w:t>године</w:t>
            </w:r>
            <w:r w:rsidR="007B6BE3" w:rsidRPr="00C7294F">
              <w:rPr>
                <w:rFonts w:ascii="Arial Narrow" w:eastAsia="Times New Roman" w:hAnsi="Arial Narrow" w:cs="Calibri"/>
              </w:rPr>
              <w:t>)</w:t>
            </w:r>
          </w:p>
        </w:tc>
        <w:tc>
          <w:tcPr>
            <w:tcW w:w="1407" w:type="pct"/>
            <w:tcBorders>
              <w:top w:val="nil"/>
              <w:left w:val="nil"/>
              <w:bottom w:val="nil"/>
              <w:right w:val="nil"/>
            </w:tcBorders>
            <w:shd w:val="clear" w:color="auto" w:fill="auto"/>
            <w:vAlign w:val="center"/>
            <w:hideMark/>
          </w:tcPr>
          <w:p w14:paraId="0E871E94"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6,6</w:t>
            </w:r>
          </w:p>
        </w:tc>
        <w:tc>
          <w:tcPr>
            <w:tcW w:w="325" w:type="pct"/>
            <w:tcBorders>
              <w:top w:val="nil"/>
              <w:left w:val="nil"/>
              <w:bottom w:val="nil"/>
              <w:right w:val="nil"/>
            </w:tcBorders>
            <w:shd w:val="clear" w:color="auto" w:fill="auto"/>
            <w:noWrap/>
            <w:vAlign w:val="center"/>
            <w:hideMark/>
          </w:tcPr>
          <w:p w14:paraId="70ACC5BD"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6,4</w:t>
            </w:r>
          </w:p>
        </w:tc>
        <w:tc>
          <w:tcPr>
            <w:tcW w:w="407" w:type="pct"/>
            <w:tcBorders>
              <w:top w:val="nil"/>
              <w:left w:val="nil"/>
              <w:bottom w:val="nil"/>
              <w:right w:val="single" w:sz="8" w:space="0" w:color="4F81BD"/>
            </w:tcBorders>
            <w:shd w:val="clear" w:color="auto" w:fill="auto"/>
            <w:vAlign w:val="center"/>
            <w:hideMark/>
          </w:tcPr>
          <w:p w14:paraId="2F2AE9C8"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7,5</w:t>
            </w:r>
          </w:p>
        </w:tc>
      </w:tr>
      <w:tr w:rsidR="007B6BE3" w:rsidRPr="0087376B" w14:paraId="6845EEC4" w14:textId="77777777" w:rsidTr="007B6BE3">
        <w:trPr>
          <w:trHeight w:val="330"/>
        </w:trPr>
        <w:tc>
          <w:tcPr>
            <w:tcW w:w="2376" w:type="pct"/>
            <w:vMerge/>
            <w:tcBorders>
              <w:top w:val="nil"/>
              <w:left w:val="single" w:sz="8" w:space="0" w:color="4F81BD"/>
              <w:bottom w:val="single" w:sz="8" w:space="0" w:color="4F81BD"/>
              <w:right w:val="single" w:sz="8" w:space="0" w:color="4F81BD"/>
            </w:tcBorders>
            <w:vAlign w:val="center"/>
            <w:hideMark/>
          </w:tcPr>
          <w:p w14:paraId="635F0B7F" w14:textId="77777777" w:rsidR="007B6BE3" w:rsidRPr="0087376B" w:rsidRDefault="007B6BE3" w:rsidP="007B6BE3">
            <w:pPr>
              <w:spacing w:after="0" w:line="240" w:lineRule="auto"/>
              <w:rPr>
                <w:rFonts w:ascii="Arial Narrow" w:eastAsia="Times New Roman" w:hAnsi="Arial Narrow" w:cs="Calibri"/>
                <w:color w:val="000000"/>
              </w:rPr>
            </w:pPr>
          </w:p>
        </w:tc>
        <w:tc>
          <w:tcPr>
            <w:tcW w:w="484" w:type="pct"/>
            <w:tcBorders>
              <w:top w:val="nil"/>
              <w:left w:val="nil"/>
              <w:bottom w:val="nil"/>
              <w:right w:val="single" w:sz="8" w:space="0" w:color="4F81BD"/>
            </w:tcBorders>
            <w:shd w:val="clear" w:color="auto" w:fill="auto"/>
            <w:noWrap/>
            <w:vAlign w:val="center"/>
            <w:hideMark/>
          </w:tcPr>
          <w:p w14:paraId="5048EAB7" w14:textId="77777777" w:rsidR="007B6BE3" w:rsidRPr="00C7294F" w:rsidRDefault="005B20F8" w:rsidP="007B6BE3">
            <w:pPr>
              <w:spacing w:after="0" w:line="240" w:lineRule="auto"/>
              <w:rPr>
                <w:rFonts w:ascii="Arial Narrow" w:eastAsia="Times New Roman" w:hAnsi="Arial Narrow" w:cs="Calibri"/>
              </w:rPr>
            </w:pPr>
            <w:r w:rsidRPr="00C7294F">
              <w:rPr>
                <w:rFonts w:ascii="Arial Narrow" w:eastAsia="Times New Roman" w:hAnsi="Arial Narrow" w:cs="Calibri"/>
              </w:rPr>
              <w:t>АТМ</w:t>
            </w:r>
            <w:r w:rsidR="007B6BE3" w:rsidRPr="00C7294F">
              <w:rPr>
                <w:rFonts w:ascii="Arial Narrow" w:eastAsia="Times New Roman" w:hAnsi="Arial Narrow" w:cs="Calibri"/>
              </w:rPr>
              <w:t xml:space="preserve"> </w:t>
            </w:r>
            <w:r w:rsidRPr="00C7294F">
              <w:rPr>
                <w:rFonts w:ascii="Arial Narrow" w:eastAsia="Times New Roman" w:hAnsi="Arial Narrow" w:cs="Calibri"/>
              </w:rPr>
              <w:t>Унутрашњи</w:t>
            </w:r>
            <w:r w:rsidR="007B6BE3" w:rsidRPr="00C7294F">
              <w:rPr>
                <w:rFonts w:ascii="Arial Narrow" w:eastAsia="Times New Roman" w:hAnsi="Arial Narrow" w:cs="Calibri"/>
              </w:rPr>
              <w:t xml:space="preserve"> </w:t>
            </w:r>
            <w:r w:rsidRPr="00C7294F">
              <w:rPr>
                <w:rFonts w:ascii="Arial Narrow" w:eastAsia="Times New Roman" w:hAnsi="Arial Narrow" w:cs="Calibri"/>
              </w:rPr>
              <w:t>дуг</w:t>
            </w:r>
            <w:r w:rsidR="007B6BE3" w:rsidRPr="00C7294F">
              <w:rPr>
                <w:rFonts w:ascii="Arial Narrow" w:eastAsia="Times New Roman" w:hAnsi="Arial Narrow" w:cs="Calibri"/>
              </w:rPr>
              <w:t xml:space="preserve"> (</w:t>
            </w:r>
            <w:r w:rsidRPr="00C7294F">
              <w:rPr>
                <w:rFonts w:ascii="Arial Narrow" w:eastAsia="Times New Roman" w:hAnsi="Arial Narrow" w:cs="Calibri"/>
              </w:rPr>
              <w:t>године</w:t>
            </w:r>
            <w:r w:rsidR="007B6BE3" w:rsidRPr="00C7294F">
              <w:rPr>
                <w:rFonts w:ascii="Arial Narrow" w:eastAsia="Times New Roman" w:hAnsi="Arial Narrow" w:cs="Calibri"/>
              </w:rPr>
              <w:t>)</w:t>
            </w:r>
          </w:p>
        </w:tc>
        <w:tc>
          <w:tcPr>
            <w:tcW w:w="1407" w:type="pct"/>
            <w:tcBorders>
              <w:top w:val="nil"/>
              <w:left w:val="nil"/>
              <w:bottom w:val="nil"/>
              <w:right w:val="nil"/>
            </w:tcBorders>
            <w:shd w:val="clear" w:color="auto" w:fill="auto"/>
            <w:vAlign w:val="center"/>
            <w:hideMark/>
          </w:tcPr>
          <w:p w14:paraId="186157AF"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3,6</w:t>
            </w:r>
          </w:p>
        </w:tc>
        <w:tc>
          <w:tcPr>
            <w:tcW w:w="325" w:type="pct"/>
            <w:tcBorders>
              <w:top w:val="nil"/>
              <w:left w:val="nil"/>
              <w:bottom w:val="nil"/>
              <w:right w:val="nil"/>
            </w:tcBorders>
            <w:shd w:val="clear" w:color="auto" w:fill="auto"/>
            <w:noWrap/>
            <w:vAlign w:val="center"/>
            <w:hideMark/>
          </w:tcPr>
          <w:p w14:paraId="696D88F2"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4,2</w:t>
            </w:r>
          </w:p>
        </w:tc>
        <w:tc>
          <w:tcPr>
            <w:tcW w:w="407" w:type="pct"/>
            <w:tcBorders>
              <w:top w:val="nil"/>
              <w:left w:val="nil"/>
              <w:bottom w:val="nil"/>
              <w:right w:val="single" w:sz="8" w:space="0" w:color="4F81BD"/>
            </w:tcBorders>
            <w:shd w:val="clear" w:color="auto" w:fill="auto"/>
            <w:vAlign w:val="center"/>
            <w:hideMark/>
          </w:tcPr>
          <w:p w14:paraId="2A2BAAD8"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2,7</w:t>
            </w:r>
          </w:p>
        </w:tc>
      </w:tr>
      <w:tr w:rsidR="007B6BE3" w:rsidRPr="0087376B" w14:paraId="2A98122D" w14:textId="77777777" w:rsidTr="007B6BE3">
        <w:trPr>
          <w:trHeight w:val="345"/>
        </w:trPr>
        <w:tc>
          <w:tcPr>
            <w:tcW w:w="2376" w:type="pct"/>
            <w:vMerge/>
            <w:tcBorders>
              <w:top w:val="nil"/>
              <w:left w:val="single" w:sz="8" w:space="0" w:color="4F81BD"/>
              <w:bottom w:val="single" w:sz="8" w:space="0" w:color="4F81BD"/>
              <w:right w:val="single" w:sz="8" w:space="0" w:color="4F81BD"/>
            </w:tcBorders>
            <w:vAlign w:val="center"/>
            <w:hideMark/>
          </w:tcPr>
          <w:p w14:paraId="5DE5CE49" w14:textId="77777777" w:rsidR="007B6BE3" w:rsidRPr="0087376B" w:rsidRDefault="007B6BE3" w:rsidP="007B6BE3">
            <w:pPr>
              <w:spacing w:after="0" w:line="240" w:lineRule="auto"/>
              <w:rPr>
                <w:rFonts w:ascii="Arial Narrow" w:eastAsia="Times New Roman" w:hAnsi="Arial Narrow" w:cs="Calibri"/>
                <w:color w:val="000000"/>
              </w:rPr>
            </w:pPr>
          </w:p>
        </w:tc>
        <w:tc>
          <w:tcPr>
            <w:tcW w:w="484" w:type="pct"/>
            <w:tcBorders>
              <w:top w:val="nil"/>
              <w:left w:val="nil"/>
              <w:bottom w:val="single" w:sz="8" w:space="0" w:color="4F81BD"/>
              <w:right w:val="single" w:sz="8" w:space="0" w:color="4F81BD"/>
            </w:tcBorders>
            <w:shd w:val="clear" w:color="auto" w:fill="auto"/>
            <w:noWrap/>
            <w:vAlign w:val="center"/>
            <w:hideMark/>
          </w:tcPr>
          <w:p w14:paraId="5427B4BD" w14:textId="77777777" w:rsidR="007B6BE3" w:rsidRPr="00C7294F" w:rsidRDefault="005B20F8" w:rsidP="007B6BE3">
            <w:pPr>
              <w:spacing w:after="0" w:line="240" w:lineRule="auto"/>
              <w:rPr>
                <w:rFonts w:ascii="Arial Narrow" w:eastAsia="Times New Roman" w:hAnsi="Arial Narrow" w:cs="Calibri"/>
              </w:rPr>
            </w:pPr>
            <w:r w:rsidRPr="00C7294F">
              <w:rPr>
                <w:rFonts w:ascii="Arial Narrow" w:eastAsia="Times New Roman" w:hAnsi="Arial Narrow" w:cs="Calibri"/>
              </w:rPr>
              <w:t>АТМ</w:t>
            </w:r>
            <w:r w:rsidR="007B6BE3" w:rsidRPr="00C7294F">
              <w:rPr>
                <w:rFonts w:ascii="Arial Narrow" w:eastAsia="Times New Roman" w:hAnsi="Arial Narrow" w:cs="Calibri"/>
              </w:rPr>
              <w:t xml:space="preserve"> </w:t>
            </w:r>
            <w:r w:rsidRPr="00C7294F">
              <w:rPr>
                <w:rFonts w:ascii="Arial Narrow" w:eastAsia="Times New Roman" w:hAnsi="Arial Narrow" w:cs="Calibri"/>
              </w:rPr>
              <w:t>Укупни</w:t>
            </w:r>
            <w:r w:rsidR="007B6BE3" w:rsidRPr="00C7294F">
              <w:rPr>
                <w:rFonts w:ascii="Arial Narrow" w:eastAsia="Times New Roman" w:hAnsi="Arial Narrow" w:cs="Calibri"/>
              </w:rPr>
              <w:t xml:space="preserve"> </w:t>
            </w:r>
            <w:r w:rsidRPr="00C7294F">
              <w:rPr>
                <w:rFonts w:ascii="Arial Narrow" w:eastAsia="Times New Roman" w:hAnsi="Arial Narrow" w:cs="Calibri"/>
              </w:rPr>
              <w:t>дуг</w:t>
            </w:r>
            <w:r w:rsidR="007B6BE3" w:rsidRPr="00C7294F">
              <w:rPr>
                <w:rFonts w:ascii="Arial Narrow" w:eastAsia="Times New Roman" w:hAnsi="Arial Narrow" w:cs="Calibri"/>
              </w:rPr>
              <w:t xml:space="preserve"> (</w:t>
            </w:r>
            <w:r w:rsidRPr="00C7294F">
              <w:rPr>
                <w:rFonts w:ascii="Arial Narrow" w:eastAsia="Times New Roman" w:hAnsi="Arial Narrow" w:cs="Calibri"/>
              </w:rPr>
              <w:t>године</w:t>
            </w:r>
            <w:r w:rsidR="007B6BE3" w:rsidRPr="00C7294F">
              <w:rPr>
                <w:rFonts w:ascii="Arial Narrow" w:eastAsia="Times New Roman" w:hAnsi="Arial Narrow" w:cs="Calibri"/>
              </w:rPr>
              <w:t>)</w:t>
            </w:r>
          </w:p>
        </w:tc>
        <w:tc>
          <w:tcPr>
            <w:tcW w:w="1407" w:type="pct"/>
            <w:tcBorders>
              <w:top w:val="nil"/>
              <w:left w:val="nil"/>
              <w:bottom w:val="single" w:sz="8" w:space="0" w:color="4F81BD"/>
              <w:right w:val="nil"/>
            </w:tcBorders>
            <w:shd w:val="clear" w:color="auto" w:fill="auto"/>
            <w:vAlign w:val="center"/>
            <w:hideMark/>
          </w:tcPr>
          <w:p w14:paraId="124D97EC"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6,2</w:t>
            </w:r>
          </w:p>
        </w:tc>
        <w:tc>
          <w:tcPr>
            <w:tcW w:w="325" w:type="pct"/>
            <w:tcBorders>
              <w:top w:val="nil"/>
              <w:left w:val="nil"/>
              <w:bottom w:val="single" w:sz="8" w:space="0" w:color="4F81BD"/>
              <w:right w:val="nil"/>
            </w:tcBorders>
            <w:shd w:val="clear" w:color="auto" w:fill="auto"/>
            <w:noWrap/>
            <w:vAlign w:val="center"/>
            <w:hideMark/>
          </w:tcPr>
          <w:p w14:paraId="45C9E35E"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6,2</w:t>
            </w:r>
          </w:p>
        </w:tc>
        <w:tc>
          <w:tcPr>
            <w:tcW w:w="407" w:type="pct"/>
            <w:tcBorders>
              <w:top w:val="nil"/>
              <w:left w:val="nil"/>
              <w:bottom w:val="single" w:sz="8" w:space="0" w:color="4F81BD"/>
              <w:right w:val="single" w:sz="8" w:space="0" w:color="4F81BD"/>
            </w:tcBorders>
            <w:shd w:val="clear" w:color="auto" w:fill="auto"/>
            <w:vAlign w:val="center"/>
            <w:hideMark/>
          </w:tcPr>
          <w:p w14:paraId="6D24748C"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6,4</w:t>
            </w:r>
          </w:p>
        </w:tc>
      </w:tr>
      <w:tr w:rsidR="007B6BE3" w:rsidRPr="0087376B" w14:paraId="55F6A30A" w14:textId="77777777" w:rsidTr="007B6BE3">
        <w:trPr>
          <w:trHeight w:val="330"/>
        </w:trPr>
        <w:tc>
          <w:tcPr>
            <w:tcW w:w="2376" w:type="pct"/>
            <w:vMerge w:val="restart"/>
            <w:tcBorders>
              <w:top w:val="nil"/>
              <w:left w:val="single" w:sz="8" w:space="0" w:color="4F81BD"/>
              <w:bottom w:val="single" w:sz="8" w:space="0" w:color="4F81BD"/>
              <w:right w:val="single" w:sz="8" w:space="0" w:color="4F81BD"/>
            </w:tcBorders>
            <w:shd w:val="clear" w:color="auto" w:fill="auto"/>
            <w:noWrap/>
            <w:vAlign w:val="center"/>
            <w:hideMark/>
          </w:tcPr>
          <w:p w14:paraId="26FE10CE" w14:textId="77777777" w:rsidR="007B6BE3" w:rsidRPr="0087376B" w:rsidRDefault="005B20F8" w:rsidP="007B6BE3">
            <w:pPr>
              <w:spacing w:after="0" w:line="240" w:lineRule="auto"/>
              <w:jc w:val="center"/>
              <w:rPr>
                <w:rFonts w:ascii="Arial Narrow" w:eastAsia="Times New Roman" w:hAnsi="Arial Narrow" w:cs="Calibri"/>
                <w:color w:val="000000"/>
              </w:rPr>
            </w:pPr>
            <w:r>
              <w:rPr>
                <w:rFonts w:ascii="Arial Narrow" w:eastAsia="Times New Roman" w:hAnsi="Arial Narrow" w:cs="Calibri"/>
                <w:color w:val="000000"/>
              </w:rPr>
              <w:t>Каматни</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ризик</w:t>
            </w:r>
          </w:p>
        </w:tc>
        <w:tc>
          <w:tcPr>
            <w:tcW w:w="484" w:type="pct"/>
            <w:tcBorders>
              <w:top w:val="nil"/>
              <w:left w:val="nil"/>
              <w:bottom w:val="nil"/>
              <w:right w:val="single" w:sz="8" w:space="0" w:color="4F81BD"/>
            </w:tcBorders>
            <w:shd w:val="clear" w:color="auto" w:fill="auto"/>
            <w:noWrap/>
            <w:vAlign w:val="center"/>
            <w:hideMark/>
          </w:tcPr>
          <w:p w14:paraId="7BD77B1C" w14:textId="77777777" w:rsidR="007B6BE3" w:rsidRPr="00C7294F" w:rsidRDefault="005B20F8" w:rsidP="00C7294F">
            <w:pPr>
              <w:spacing w:after="0" w:line="240" w:lineRule="auto"/>
              <w:rPr>
                <w:rFonts w:ascii="Arial Narrow" w:eastAsia="Times New Roman" w:hAnsi="Arial Narrow" w:cs="Calibri"/>
              </w:rPr>
            </w:pPr>
            <w:r w:rsidRPr="00C7294F">
              <w:rPr>
                <w:rFonts w:ascii="Arial Narrow" w:eastAsia="Times New Roman" w:hAnsi="Arial Narrow" w:cs="Calibri"/>
              </w:rPr>
              <w:t>АТ</w:t>
            </w:r>
            <w:r w:rsidR="00C7294F" w:rsidRPr="00C7294F">
              <w:rPr>
                <w:rFonts w:ascii="Arial Narrow" w:eastAsia="Times New Roman" w:hAnsi="Arial Narrow" w:cs="Calibri"/>
              </w:rPr>
              <w:t>R</w:t>
            </w:r>
            <w:r w:rsidR="007B6BE3" w:rsidRPr="00C7294F">
              <w:rPr>
                <w:rFonts w:ascii="Arial Narrow" w:eastAsia="Times New Roman" w:hAnsi="Arial Narrow" w:cs="Calibri"/>
              </w:rPr>
              <w:t xml:space="preserve"> (</w:t>
            </w:r>
            <w:r w:rsidRPr="00C7294F">
              <w:rPr>
                <w:rFonts w:ascii="Arial Narrow" w:eastAsia="Times New Roman" w:hAnsi="Arial Narrow" w:cs="Calibri"/>
              </w:rPr>
              <w:t>године</w:t>
            </w:r>
            <w:r w:rsidR="007B6BE3" w:rsidRPr="00C7294F">
              <w:rPr>
                <w:rFonts w:ascii="Arial Narrow" w:eastAsia="Times New Roman" w:hAnsi="Arial Narrow" w:cs="Calibri"/>
              </w:rPr>
              <w:t>)</w:t>
            </w:r>
          </w:p>
        </w:tc>
        <w:tc>
          <w:tcPr>
            <w:tcW w:w="1407" w:type="pct"/>
            <w:tcBorders>
              <w:top w:val="nil"/>
              <w:left w:val="nil"/>
              <w:bottom w:val="nil"/>
              <w:right w:val="nil"/>
            </w:tcBorders>
            <w:shd w:val="clear" w:color="auto" w:fill="auto"/>
            <w:vAlign w:val="center"/>
            <w:hideMark/>
          </w:tcPr>
          <w:p w14:paraId="149ADDEE"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4,2</w:t>
            </w:r>
          </w:p>
        </w:tc>
        <w:tc>
          <w:tcPr>
            <w:tcW w:w="325" w:type="pct"/>
            <w:tcBorders>
              <w:top w:val="nil"/>
              <w:left w:val="nil"/>
              <w:bottom w:val="nil"/>
              <w:right w:val="nil"/>
            </w:tcBorders>
            <w:shd w:val="clear" w:color="auto" w:fill="auto"/>
            <w:noWrap/>
            <w:vAlign w:val="center"/>
            <w:hideMark/>
          </w:tcPr>
          <w:p w14:paraId="1440B793"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4,2</w:t>
            </w:r>
          </w:p>
        </w:tc>
        <w:tc>
          <w:tcPr>
            <w:tcW w:w="407" w:type="pct"/>
            <w:tcBorders>
              <w:top w:val="nil"/>
              <w:left w:val="nil"/>
              <w:bottom w:val="nil"/>
              <w:right w:val="single" w:sz="8" w:space="0" w:color="4F81BD"/>
            </w:tcBorders>
            <w:shd w:val="clear" w:color="auto" w:fill="auto"/>
            <w:vAlign w:val="center"/>
            <w:hideMark/>
          </w:tcPr>
          <w:p w14:paraId="11CF3A27"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4,8</w:t>
            </w:r>
          </w:p>
        </w:tc>
      </w:tr>
      <w:tr w:rsidR="007B6BE3" w:rsidRPr="0087376B" w14:paraId="74D9D8AE" w14:textId="77777777" w:rsidTr="007B6BE3">
        <w:trPr>
          <w:trHeight w:val="330"/>
        </w:trPr>
        <w:tc>
          <w:tcPr>
            <w:tcW w:w="2376" w:type="pct"/>
            <w:vMerge/>
            <w:tcBorders>
              <w:top w:val="nil"/>
              <w:left w:val="single" w:sz="8" w:space="0" w:color="4F81BD"/>
              <w:bottom w:val="single" w:sz="8" w:space="0" w:color="4F81BD"/>
              <w:right w:val="single" w:sz="8" w:space="0" w:color="4F81BD"/>
            </w:tcBorders>
            <w:vAlign w:val="center"/>
            <w:hideMark/>
          </w:tcPr>
          <w:p w14:paraId="71D98B4D" w14:textId="77777777" w:rsidR="007B6BE3" w:rsidRPr="0087376B" w:rsidRDefault="007B6BE3" w:rsidP="007B6BE3">
            <w:pPr>
              <w:spacing w:after="0" w:line="240" w:lineRule="auto"/>
              <w:rPr>
                <w:rFonts w:ascii="Arial Narrow" w:eastAsia="Times New Roman" w:hAnsi="Arial Narrow" w:cs="Calibri"/>
                <w:color w:val="000000"/>
              </w:rPr>
            </w:pPr>
          </w:p>
        </w:tc>
        <w:tc>
          <w:tcPr>
            <w:tcW w:w="484" w:type="pct"/>
            <w:tcBorders>
              <w:top w:val="nil"/>
              <w:left w:val="nil"/>
              <w:bottom w:val="nil"/>
              <w:right w:val="single" w:sz="8" w:space="0" w:color="4F81BD"/>
            </w:tcBorders>
            <w:shd w:val="clear" w:color="auto" w:fill="auto"/>
            <w:noWrap/>
            <w:vAlign w:val="center"/>
            <w:hideMark/>
          </w:tcPr>
          <w:p w14:paraId="41C1EC8D"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Дуг</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који</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се</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рефиксира</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у</w:t>
            </w:r>
            <w:r w:rsidR="007B6BE3" w:rsidRPr="0087376B">
              <w:rPr>
                <w:rFonts w:ascii="Arial Narrow" w:eastAsia="Times New Roman" w:hAnsi="Arial Narrow" w:cs="Calibri"/>
                <w:color w:val="000000"/>
              </w:rPr>
              <w:t xml:space="preserve"> 1 </w:t>
            </w:r>
            <w:r>
              <w:rPr>
                <w:rFonts w:ascii="Arial Narrow" w:eastAsia="Times New Roman" w:hAnsi="Arial Narrow" w:cs="Calibri"/>
                <w:color w:val="000000"/>
              </w:rPr>
              <w:t>г</w:t>
            </w:r>
            <w:r w:rsidR="007B6BE3" w:rsidRPr="0087376B">
              <w:rPr>
                <w:rFonts w:ascii="Arial Narrow" w:eastAsia="Times New Roman" w:hAnsi="Arial Narrow" w:cs="Calibri"/>
                <w:color w:val="000000"/>
              </w:rPr>
              <w:t xml:space="preserve">  (% </w:t>
            </w:r>
            <w:r>
              <w:rPr>
                <w:rFonts w:ascii="Arial Narrow" w:eastAsia="Times New Roman" w:hAnsi="Arial Narrow" w:cs="Calibri"/>
                <w:color w:val="000000"/>
              </w:rPr>
              <w:t>укупног</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дуга</w:t>
            </w:r>
            <w:r w:rsidR="007B6BE3" w:rsidRPr="0087376B">
              <w:rPr>
                <w:rFonts w:ascii="Arial Narrow" w:eastAsia="Times New Roman" w:hAnsi="Arial Narrow" w:cs="Calibri"/>
                <w:color w:val="000000"/>
              </w:rPr>
              <w:t>)</w:t>
            </w:r>
          </w:p>
        </w:tc>
        <w:tc>
          <w:tcPr>
            <w:tcW w:w="1407" w:type="pct"/>
            <w:tcBorders>
              <w:top w:val="nil"/>
              <w:left w:val="nil"/>
              <w:bottom w:val="nil"/>
              <w:right w:val="nil"/>
            </w:tcBorders>
            <w:shd w:val="clear" w:color="auto" w:fill="auto"/>
            <w:vAlign w:val="center"/>
            <w:hideMark/>
          </w:tcPr>
          <w:p w14:paraId="479CC67F"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45,8</w:t>
            </w:r>
          </w:p>
        </w:tc>
        <w:tc>
          <w:tcPr>
            <w:tcW w:w="325" w:type="pct"/>
            <w:tcBorders>
              <w:top w:val="nil"/>
              <w:left w:val="nil"/>
              <w:bottom w:val="nil"/>
              <w:right w:val="nil"/>
            </w:tcBorders>
            <w:shd w:val="clear" w:color="auto" w:fill="auto"/>
            <w:noWrap/>
            <w:vAlign w:val="center"/>
            <w:hideMark/>
          </w:tcPr>
          <w:p w14:paraId="6477D7D7"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45,2</w:t>
            </w:r>
          </w:p>
        </w:tc>
        <w:tc>
          <w:tcPr>
            <w:tcW w:w="407" w:type="pct"/>
            <w:tcBorders>
              <w:top w:val="nil"/>
              <w:left w:val="nil"/>
              <w:bottom w:val="nil"/>
              <w:right w:val="single" w:sz="8" w:space="0" w:color="4F81BD"/>
            </w:tcBorders>
            <w:shd w:val="clear" w:color="auto" w:fill="auto"/>
            <w:vAlign w:val="center"/>
            <w:hideMark/>
          </w:tcPr>
          <w:p w14:paraId="64A04DE9"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38,8</w:t>
            </w:r>
          </w:p>
        </w:tc>
      </w:tr>
      <w:tr w:rsidR="007B6BE3" w:rsidRPr="0087376B" w14:paraId="4D8498CB" w14:textId="77777777" w:rsidTr="007B6BE3">
        <w:trPr>
          <w:trHeight w:val="345"/>
        </w:trPr>
        <w:tc>
          <w:tcPr>
            <w:tcW w:w="2376" w:type="pct"/>
            <w:vMerge/>
            <w:tcBorders>
              <w:top w:val="nil"/>
              <w:left w:val="single" w:sz="8" w:space="0" w:color="4F81BD"/>
              <w:bottom w:val="single" w:sz="8" w:space="0" w:color="4F81BD"/>
              <w:right w:val="single" w:sz="8" w:space="0" w:color="4F81BD"/>
            </w:tcBorders>
            <w:vAlign w:val="center"/>
            <w:hideMark/>
          </w:tcPr>
          <w:p w14:paraId="645A80C6" w14:textId="77777777" w:rsidR="007B6BE3" w:rsidRPr="0087376B" w:rsidRDefault="007B6BE3" w:rsidP="007B6BE3">
            <w:pPr>
              <w:spacing w:after="0" w:line="240" w:lineRule="auto"/>
              <w:rPr>
                <w:rFonts w:ascii="Arial Narrow" w:eastAsia="Times New Roman" w:hAnsi="Arial Narrow" w:cs="Calibri"/>
                <w:color w:val="000000"/>
              </w:rPr>
            </w:pPr>
          </w:p>
        </w:tc>
        <w:tc>
          <w:tcPr>
            <w:tcW w:w="484" w:type="pct"/>
            <w:tcBorders>
              <w:top w:val="nil"/>
              <w:left w:val="nil"/>
              <w:bottom w:val="single" w:sz="8" w:space="0" w:color="4F81BD"/>
              <w:right w:val="single" w:sz="8" w:space="0" w:color="4F81BD"/>
            </w:tcBorders>
            <w:shd w:val="clear" w:color="auto" w:fill="auto"/>
            <w:noWrap/>
            <w:vAlign w:val="center"/>
            <w:hideMark/>
          </w:tcPr>
          <w:p w14:paraId="7F0B059E"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Дуг</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по</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фиксној</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камати</w:t>
            </w:r>
            <w:r w:rsidR="007B6BE3" w:rsidRPr="0087376B">
              <w:rPr>
                <w:rFonts w:ascii="Arial Narrow" w:eastAsia="Times New Roman" w:hAnsi="Arial Narrow" w:cs="Calibri"/>
                <w:color w:val="000000"/>
              </w:rPr>
              <w:t xml:space="preserve"> (% </w:t>
            </w:r>
            <w:r>
              <w:rPr>
                <w:rFonts w:ascii="Arial Narrow" w:eastAsia="Times New Roman" w:hAnsi="Arial Narrow" w:cs="Calibri"/>
                <w:color w:val="000000"/>
              </w:rPr>
              <w:t>укупног</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дуга</w:t>
            </w:r>
            <w:r w:rsidR="007B6BE3" w:rsidRPr="0087376B">
              <w:rPr>
                <w:rFonts w:ascii="Arial Narrow" w:eastAsia="Times New Roman" w:hAnsi="Arial Narrow" w:cs="Calibri"/>
                <w:color w:val="000000"/>
              </w:rPr>
              <w:t>)</w:t>
            </w:r>
          </w:p>
        </w:tc>
        <w:tc>
          <w:tcPr>
            <w:tcW w:w="1407" w:type="pct"/>
            <w:tcBorders>
              <w:top w:val="nil"/>
              <w:left w:val="nil"/>
              <w:bottom w:val="single" w:sz="8" w:space="0" w:color="4F81BD"/>
              <w:right w:val="nil"/>
            </w:tcBorders>
            <w:shd w:val="clear" w:color="auto" w:fill="auto"/>
            <w:vAlign w:val="center"/>
            <w:hideMark/>
          </w:tcPr>
          <w:p w14:paraId="64E3687F"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62,5</w:t>
            </w:r>
          </w:p>
        </w:tc>
        <w:tc>
          <w:tcPr>
            <w:tcW w:w="325" w:type="pct"/>
            <w:tcBorders>
              <w:top w:val="nil"/>
              <w:left w:val="nil"/>
              <w:bottom w:val="single" w:sz="8" w:space="0" w:color="4F81BD"/>
              <w:right w:val="nil"/>
            </w:tcBorders>
            <w:shd w:val="clear" w:color="auto" w:fill="auto"/>
            <w:noWrap/>
            <w:vAlign w:val="center"/>
            <w:hideMark/>
          </w:tcPr>
          <w:p w14:paraId="032CB1C6"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62,2</w:t>
            </w:r>
          </w:p>
        </w:tc>
        <w:tc>
          <w:tcPr>
            <w:tcW w:w="407" w:type="pct"/>
            <w:tcBorders>
              <w:top w:val="nil"/>
              <w:left w:val="nil"/>
              <w:bottom w:val="single" w:sz="8" w:space="0" w:color="4F81BD"/>
              <w:right w:val="single" w:sz="8" w:space="0" w:color="4F81BD"/>
            </w:tcBorders>
            <w:shd w:val="clear" w:color="auto" w:fill="auto"/>
            <w:vAlign w:val="center"/>
            <w:hideMark/>
          </w:tcPr>
          <w:p w14:paraId="64ACA00A"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72,0</w:t>
            </w:r>
          </w:p>
        </w:tc>
      </w:tr>
      <w:tr w:rsidR="007B6BE3" w:rsidRPr="0087376B" w14:paraId="396ED24F" w14:textId="77777777" w:rsidTr="007B6BE3">
        <w:trPr>
          <w:trHeight w:val="330"/>
        </w:trPr>
        <w:tc>
          <w:tcPr>
            <w:tcW w:w="2376" w:type="pct"/>
            <w:vMerge w:val="restart"/>
            <w:tcBorders>
              <w:top w:val="nil"/>
              <w:left w:val="single" w:sz="8" w:space="0" w:color="4F81BD"/>
              <w:bottom w:val="single" w:sz="8" w:space="0" w:color="4F81BD"/>
              <w:right w:val="single" w:sz="8" w:space="0" w:color="4F81BD"/>
            </w:tcBorders>
            <w:shd w:val="clear" w:color="auto" w:fill="auto"/>
            <w:noWrap/>
            <w:vAlign w:val="center"/>
            <w:hideMark/>
          </w:tcPr>
          <w:p w14:paraId="72E68992" w14:textId="77777777" w:rsidR="007B6BE3" w:rsidRPr="0087376B" w:rsidRDefault="005B20F8" w:rsidP="007B6BE3">
            <w:pPr>
              <w:spacing w:after="0" w:line="240" w:lineRule="auto"/>
              <w:jc w:val="center"/>
              <w:rPr>
                <w:rFonts w:ascii="Arial Narrow" w:eastAsia="Times New Roman" w:hAnsi="Arial Narrow" w:cs="Calibri"/>
                <w:color w:val="000000"/>
              </w:rPr>
            </w:pPr>
            <w:r>
              <w:rPr>
                <w:rFonts w:ascii="Arial Narrow" w:eastAsia="Times New Roman" w:hAnsi="Arial Narrow" w:cs="Calibri"/>
                <w:color w:val="000000"/>
              </w:rPr>
              <w:t>Валутни</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ризик</w:t>
            </w:r>
          </w:p>
        </w:tc>
        <w:tc>
          <w:tcPr>
            <w:tcW w:w="484" w:type="pct"/>
            <w:tcBorders>
              <w:top w:val="nil"/>
              <w:left w:val="nil"/>
              <w:bottom w:val="nil"/>
              <w:right w:val="single" w:sz="8" w:space="0" w:color="4F81BD"/>
            </w:tcBorders>
            <w:shd w:val="clear" w:color="auto" w:fill="auto"/>
            <w:noWrap/>
            <w:vAlign w:val="center"/>
            <w:hideMark/>
          </w:tcPr>
          <w:p w14:paraId="1138A07A"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Девизни</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дуг</w:t>
            </w:r>
            <w:r w:rsidR="007B6BE3" w:rsidRPr="0087376B">
              <w:rPr>
                <w:rFonts w:ascii="Arial Narrow" w:eastAsia="Times New Roman" w:hAnsi="Arial Narrow" w:cs="Calibri"/>
                <w:color w:val="000000"/>
              </w:rPr>
              <w:t xml:space="preserve"> (% </w:t>
            </w:r>
            <w:r>
              <w:rPr>
                <w:rFonts w:ascii="Arial Narrow" w:eastAsia="Times New Roman" w:hAnsi="Arial Narrow" w:cs="Calibri"/>
                <w:color w:val="000000"/>
              </w:rPr>
              <w:t>укупног</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дуга</w:t>
            </w:r>
            <w:r w:rsidR="007B6BE3" w:rsidRPr="0087376B">
              <w:rPr>
                <w:rFonts w:ascii="Arial Narrow" w:eastAsia="Times New Roman" w:hAnsi="Arial Narrow" w:cs="Calibri"/>
                <w:color w:val="000000"/>
              </w:rPr>
              <w:t>)</w:t>
            </w:r>
          </w:p>
        </w:tc>
        <w:tc>
          <w:tcPr>
            <w:tcW w:w="1407" w:type="pct"/>
            <w:tcBorders>
              <w:top w:val="nil"/>
              <w:left w:val="nil"/>
              <w:bottom w:val="nil"/>
              <w:right w:val="nil"/>
            </w:tcBorders>
            <w:shd w:val="clear" w:color="auto" w:fill="auto"/>
            <w:vAlign w:val="center"/>
            <w:hideMark/>
          </w:tcPr>
          <w:p w14:paraId="4471144E"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87,8</w:t>
            </w:r>
          </w:p>
        </w:tc>
        <w:tc>
          <w:tcPr>
            <w:tcW w:w="325" w:type="pct"/>
            <w:tcBorders>
              <w:top w:val="nil"/>
              <w:left w:val="nil"/>
              <w:bottom w:val="nil"/>
              <w:right w:val="nil"/>
            </w:tcBorders>
            <w:shd w:val="clear" w:color="auto" w:fill="auto"/>
            <w:noWrap/>
            <w:vAlign w:val="center"/>
            <w:hideMark/>
          </w:tcPr>
          <w:p w14:paraId="4124BFB7"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88,9</w:t>
            </w:r>
          </w:p>
        </w:tc>
        <w:tc>
          <w:tcPr>
            <w:tcW w:w="407" w:type="pct"/>
            <w:tcBorders>
              <w:top w:val="nil"/>
              <w:left w:val="nil"/>
              <w:bottom w:val="nil"/>
              <w:right w:val="single" w:sz="8" w:space="0" w:color="4F81BD"/>
            </w:tcBorders>
            <w:shd w:val="clear" w:color="auto" w:fill="auto"/>
            <w:vAlign w:val="center"/>
            <w:hideMark/>
          </w:tcPr>
          <w:p w14:paraId="39DB9EFB"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77,3</w:t>
            </w:r>
          </w:p>
        </w:tc>
      </w:tr>
      <w:tr w:rsidR="007B6BE3" w:rsidRPr="0087376B" w14:paraId="3D5AC826" w14:textId="77777777" w:rsidTr="007B6BE3">
        <w:trPr>
          <w:trHeight w:val="345"/>
        </w:trPr>
        <w:tc>
          <w:tcPr>
            <w:tcW w:w="2376" w:type="pct"/>
            <w:vMerge/>
            <w:tcBorders>
              <w:top w:val="nil"/>
              <w:left w:val="single" w:sz="8" w:space="0" w:color="4F81BD"/>
              <w:bottom w:val="single" w:sz="8" w:space="0" w:color="4F81BD"/>
              <w:right w:val="single" w:sz="8" w:space="0" w:color="4F81BD"/>
            </w:tcBorders>
            <w:vAlign w:val="center"/>
            <w:hideMark/>
          </w:tcPr>
          <w:p w14:paraId="6B86F358" w14:textId="77777777" w:rsidR="007B6BE3" w:rsidRPr="0087376B" w:rsidRDefault="007B6BE3" w:rsidP="007B6BE3">
            <w:pPr>
              <w:spacing w:after="0" w:line="240" w:lineRule="auto"/>
              <w:rPr>
                <w:rFonts w:ascii="Arial Narrow" w:eastAsia="Times New Roman" w:hAnsi="Arial Narrow" w:cs="Calibri"/>
                <w:color w:val="000000"/>
              </w:rPr>
            </w:pPr>
          </w:p>
        </w:tc>
        <w:tc>
          <w:tcPr>
            <w:tcW w:w="484" w:type="pct"/>
            <w:tcBorders>
              <w:top w:val="nil"/>
              <w:left w:val="nil"/>
              <w:bottom w:val="single" w:sz="8" w:space="0" w:color="4F81BD"/>
              <w:right w:val="single" w:sz="8" w:space="0" w:color="4F81BD"/>
            </w:tcBorders>
            <w:shd w:val="clear" w:color="auto" w:fill="auto"/>
            <w:noWrap/>
            <w:vAlign w:val="center"/>
            <w:hideMark/>
          </w:tcPr>
          <w:p w14:paraId="33325E39" w14:textId="77777777" w:rsidR="007B6BE3" w:rsidRPr="0087376B" w:rsidRDefault="005B20F8" w:rsidP="007B6BE3">
            <w:pPr>
              <w:spacing w:after="0" w:line="240" w:lineRule="auto"/>
              <w:rPr>
                <w:rFonts w:ascii="Arial Narrow" w:eastAsia="Times New Roman" w:hAnsi="Arial Narrow" w:cs="Calibri"/>
                <w:color w:val="000000"/>
              </w:rPr>
            </w:pPr>
            <w:r>
              <w:rPr>
                <w:rFonts w:ascii="Arial Narrow" w:eastAsia="Times New Roman" w:hAnsi="Arial Narrow" w:cs="Calibri"/>
                <w:color w:val="000000"/>
              </w:rPr>
              <w:t>Краткорочни</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девизни</w:t>
            </w:r>
            <w:r w:rsidR="007B6BE3" w:rsidRPr="0087376B">
              <w:rPr>
                <w:rFonts w:ascii="Arial Narrow" w:eastAsia="Times New Roman" w:hAnsi="Arial Narrow" w:cs="Calibri"/>
                <w:color w:val="000000"/>
              </w:rPr>
              <w:t xml:space="preserve"> </w:t>
            </w:r>
            <w:r>
              <w:rPr>
                <w:rFonts w:ascii="Arial Narrow" w:eastAsia="Times New Roman" w:hAnsi="Arial Narrow" w:cs="Calibri"/>
                <w:color w:val="000000"/>
              </w:rPr>
              <w:t>дуг</w:t>
            </w:r>
            <w:r w:rsidR="007B6BE3" w:rsidRPr="0087376B">
              <w:rPr>
                <w:rFonts w:ascii="Arial Narrow" w:eastAsia="Times New Roman" w:hAnsi="Arial Narrow" w:cs="Calibri"/>
                <w:color w:val="000000"/>
              </w:rPr>
              <w:t xml:space="preserve"> (% </w:t>
            </w:r>
            <w:r>
              <w:rPr>
                <w:rFonts w:ascii="Arial Narrow" w:eastAsia="Times New Roman" w:hAnsi="Arial Narrow" w:cs="Calibri"/>
                <w:color w:val="000000"/>
              </w:rPr>
              <w:t>резерви</w:t>
            </w:r>
            <w:r w:rsidR="007B6BE3" w:rsidRPr="0087376B">
              <w:rPr>
                <w:rFonts w:ascii="Arial Narrow" w:eastAsia="Times New Roman" w:hAnsi="Arial Narrow" w:cs="Calibri"/>
                <w:color w:val="000000"/>
              </w:rPr>
              <w:t>)</w:t>
            </w:r>
          </w:p>
        </w:tc>
        <w:tc>
          <w:tcPr>
            <w:tcW w:w="1407" w:type="pct"/>
            <w:tcBorders>
              <w:top w:val="nil"/>
              <w:left w:val="nil"/>
              <w:bottom w:val="single" w:sz="8" w:space="0" w:color="4F81BD"/>
              <w:right w:val="nil"/>
            </w:tcBorders>
            <w:shd w:val="clear" w:color="auto" w:fill="auto"/>
            <w:vAlign w:val="center"/>
            <w:hideMark/>
          </w:tcPr>
          <w:p w14:paraId="2E556FDF"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3,0</w:t>
            </w:r>
          </w:p>
        </w:tc>
        <w:tc>
          <w:tcPr>
            <w:tcW w:w="325" w:type="pct"/>
            <w:tcBorders>
              <w:top w:val="nil"/>
              <w:left w:val="nil"/>
              <w:bottom w:val="single" w:sz="8" w:space="0" w:color="4F81BD"/>
              <w:right w:val="nil"/>
            </w:tcBorders>
            <w:shd w:val="clear" w:color="auto" w:fill="auto"/>
            <w:noWrap/>
            <w:vAlign w:val="center"/>
            <w:hideMark/>
          </w:tcPr>
          <w:p w14:paraId="1EB19C93"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4,1</w:t>
            </w:r>
          </w:p>
        </w:tc>
        <w:tc>
          <w:tcPr>
            <w:tcW w:w="407" w:type="pct"/>
            <w:tcBorders>
              <w:top w:val="nil"/>
              <w:left w:val="nil"/>
              <w:bottom w:val="single" w:sz="8" w:space="0" w:color="4F81BD"/>
              <w:right w:val="single" w:sz="8" w:space="0" w:color="4F81BD"/>
            </w:tcBorders>
            <w:shd w:val="clear" w:color="auto" w:fill="auto"/>
            <w:vAlign w:val="center"/>
            <w:hideMark/>
          </w:tcPr>
          <w:p w14:paraId="1ED06FB9" w14:textId="77777777" w:rsidR="007B6BE3" w:rsidRPr="0087376B" w:rsidRDefault="007B6BE3" w:rsidP="007B6BE3">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2,5</w:t>
            </w:r>
          </w:p>
        </w:tc>
      </w:tr>
    </w:tbl>
    <w:p w14:paraId="5EBD3FA1" w14:textId="1760935E" w:rsidR="007B6BE3" w:rsidRDefault="007B6BE3" w:rsidP="007B6BE3">
      <w:pPr>
        <w:spacing w:after="0" w:line="240" w:lineRule="auto"/>
        <w:jc w:val="both"/>
        <w:rPr>
          <w:rFonts w:ascii="Arial" w:hAnsi="Arial" w:cs="Arial"/>
          <w:szCs w:val="24"/>
        </w:rPr>
      </w:pPr>
    </w:p>
    <w:p w14:paraId="6F023C4F" w14:textId="43D0A79F" w:rsidR="00762711" w:rsidRDefault="00762711" w:rsidP="007B6BE3">
      <w:pPr>
        <w:spacing w:after="0" w:line="240" w:lineRule="auto"/>
        <w:jc w:val="both"/>
        <w:rPr>
          <w:rFonts w:ascii="Arial" w:hAnsi="Arial" w:cs="Arial"/>
          <w:szCs w:val="24"/>
        </w:rPr>
      </w:pPr>
    </w:p>
    <w:p w14:paraId="36BB6198" w14:textId="0FC1DEF1" w:rsidR="00762711" w:rsidRDefault="00762711" w:rsidP="007B6BE3">
      <w:pPr>
        <w:spacing w:after="0" w:line="240" w:lineRule="auto"/>
        <w:jc w:val="both"/>
        <w:rPr>
          <w:rFonts w:ascii="Arial" w:hAnsi="Arial" w:cs="Arial"/>
          <w:szCs w:val="24"/>
        </w:rPr>
      </w:pPr>
    </w:p>
    <w:p w14:paraId="1B928EB5" w14:textId="77777777" w:rsidR="00762711" w:rsidRPr="0087376B" w:rsidRDefault="00762711" w:rsidP="007B6BE3">
      <w:pPr>
        <w:spacing w:after="0" w:line="240" w:lineRule="auto"/>
        <w:jc w:val="both"/>
        <w:rPr>
          <w:rFonts w:ascii="Arial" w:hAnsi="Arial" w:cs="Arial"/>
          <w:szCs w:val="24"/>
        </w:rPr>
      </w:pPr>
    </w:p>
    <w:p w14:paraId="1D3EFDEC" w14:textId="523EC9D3" w:rsidR="007B6BE3" w:rsidRPr="00C7294F" w:rsidRDefault="005B20F8" w:rsidP="00557B15">
      <w:pPr>
        <w:pStyle w:val="Heading2"/>
        <w:numPr>
          <w:ilvl w:val="1"/>
          <w:numId w:val="25"/>
        </w:numPr>
        <w:spacing w:before="0"/>
        <w:rPr>
          <w:rFonts w:ascii="Arial" w:hAnsi="Arial" w:cs="Arial"/>
          <w:b w:val="0"/>
          <w:color w:val="auto"/>
          <w:sz w:val="22"/>
          <w:szCs w:val="22"/>
        </w:rPr>
      </w:pPr>
      <w:bookmarkStart w:id="121" w:name="_Toc149810622"/>
      <w:r>
        <w:rPr>
          <w:rFonts w:ascii="Arial" w:hAnsi="Arial" w:cs="Arial"/>
          <w:b w:val="0"/>
          <w:color w:val="auto"/>
          <w:sz w:val="22"/>
          <w:szCs w:val="22"/>
        </w:rPr>
        <w:lastRenderedPageBreak/>
        <w:t>Опис</w:t>
      </w:r>
      <w:r w:rsidR="007B6BE3" w:rsidRPr="0087376B">
        <w:rPr>
          <w:rFonts w:ascii="Arial" w:hAnsi="Arial" w:cs="Arial"/>
          <w:b w:val="0"/>
          <w:color w:val="auto"/>
          <w:sz w:val="22"/>
          <w:szCs w:val="22"/>
        </w:rPr>
        <w:t xml:space="preserve"> </w:t>
      </w:r>
      <w:r>
        <w:rPr>
          <w:rFonts w:ascii="Arial" w:hAnsi="Arial" w:cs="Arial"/>
          <w:b w:val="0"/>
          <w:color w:val="auto"/>
          <w:sz w:val="22"/>
          <w:szCs w:val="22"/>
        </w:rPr>
        <w:t>алтернативних</w:t>
      </w:r>
      <w:r w:rsidR="007B6BE3" w:rsidRPr="0087376B">
        <w:rPr>
          <w:rFonts w:ascii="Arial" w:hAnsi="Arial" w:cs="Arial"/>
          <w:b w:val="0"/>
          <w:color w:val="auto"/>
          <w:sz w:val="22"/>
          <w:szCs w:val="22"/>
        </w:rPr>
        <w:t xml:space="preserve"> </w:t>
      </w:r>
      <w:r>
        <w:rPr>
          <w:rFonts w:ascii="Arial" w:hAnsi="Arial" w:cs="Arial"/>
          <w:b w:val="0"/>
          <w:color w:val="auto"/>
          <w:sz w:val="22"/>
          <w:szCs w:val="22"/>
        </w:rPr>
        <w:t>стратегија</w:t>
      </w:r>
      <w:r w:rsidR="007B6BE3" w:rsidRPr="0087376B">
        <w:rPr>
          <w:rFonts w:ascii="Arial" w:hAnsi="Arial" w:cs="Arial"/>
          <w:b w:val="0"/>
          <w:color w:val="auto"/>
          <w:sz w:val="22"/>
          <w:szCs w:val="22"/>
        </w:rPr>
        <w:t xml:space="preserve"> </w:t>
      </w:r>
      <w:r>
        <w:rPr>
          <w:rFonts w:ascii="Arial" w:hAnsi="Arial" w:cs="Arial"/>
          <w:b w:val="0"/>
          <w:color w:val="auto"/>
          <w:sz w:val="22"/>
          <w:szCs w:val="22"/>
        </w:rPr>
        <w:t>управљања</w:t>
      </w:r>
      <w:r w:rsidR="007B6BE3" w:rsidRPr="0087376B">
        <w:rPr>
          <w:rFonts w:ascii="Arial" w:hAnsi="Arial" w:cs="Arial"/>
          <w:b w:val="0"/>
          <w:color w:val="auto"/>
          <w:sz w:val="22"/>
          <w:szCs w:val="22"/>
        </w:rPr>
        <w:t xml:space="preserve"> </w:t>
      </w:r>
      <w:r>
        <w:rPr>
          <w:rFonts w:ascii="Arial" w:hAnsi="Arial" w:cs="Arial"/>
          <w:b w:val="0"/>
          <w:color w:val="auto"/>
          <w:sz w:val="22"/>
          <w:szCs w:val="22"/>
        </w:rPr>
        <w:t>дугом</w:t>
      </w:r>
      <w:bookmarkEnd w:id="121"/>
    </w:p>
    <w:p w14:paraId="14A018EF" w14:textId="77777777" w:rsidR="007B6BE3" w:rsidRPr="0087376B" w:rsidRDefault="007B6BE3" w:rsidP="007B6BE3">
      <w:pPr>
        <w:spacing w:after="0"/>
        <w:jc w:val="both"/>
        <w:rPr>
          <w:rFonts w:ascii="Arial" w:hAnsi="Arial" w:cs="Arial"/>
        </w:rPr>
      </w:pPr>
    </w:p>
    <w:p w14:paraId="5CE94644" w14:textId="77777777" w:rsidR="007B6BE3" w:rsidRPr="00C7294F" w:rsidRDefault="005B20F8" w:rsidP="007B6BE3">
      <w:pPr>
        <w:spacing w:after="0"/>
        <w:jc w:val="both"/>
        <w:rPr>
          <w:rFonts w:ascii="Arial" w:hAnsi="Arial" w:cs="Arial"/>
          <w:iCs/>
        </w:rPr>
      </w:pPr>
      <w:r>
        <w:rPr>
          <w:rFonts w:ascii="Arial" w:hAnsi="Arial" w:cs="Arial"/>
          <w:b/>
          <w:iCs/>
        </w:rPr>
        <w:t>Стратегија</w:t>
      </w:r>
      <w:r w:rsidR="007B6BE3" w:rsidRPr="0087376B">
        <w:rPr>
          <w:rFonts w:ascii="Arial" w:hAnsi="Arial" w:cs="Arial"/>
          <w:b/>
          <w:iCs/>
        </w:rPr>
        <w:t xml:space="preserve"> (</w:t>
      </w:r>
      <w:r>
        <w:rPr>
          <w:rFonts w:ascii="Arial" w:hAnsi="Arial" w:cs="Arial"/>
          <w:b/>
          <w:iCs/>
        </w:rPr>
        <w:t>С</w:t>
      </w:r>
      <w:r w:rsidR="007B6BE3" w:rsidRPr="0087376B">
        <w:rPr>
          <w:rFonts w:ascii="Arial" w:hAnsi="Arial" w:cs="Arial"/>
          <w:b/>
          <w:iCs/>
        </w:rPr>
        <w:t xml:space="preserve">1): </w:t>
      </w:r>
      <w:r>
        <w:rPr>
          <w:rFonts w:ascii="Arial" w:hAnsi="Arial" w:cs="Arial"/>
          <w:bCs/>
          <w:iCs/>
        </w:rPr>
        <w:t>базира</w:t>
      </w:r>
      <w:r w:rsidR="007B6BE3" w:rsidRPr="0087376B">
        <w:rPr>
          <w:rFonts w:ascii="Arial" w:hAnsi="Arial" w:cs="Arial"/>
          <w:bCs/>
          <w:iCs/>
        </w:rPr>
        <w:t xml:space="preserve"> </w:t>
      </w:r>
      <w:r>
        <w:rPr>
          <w:rFonts w:ascii="Arial" w:hAnsi="Arial" w:cs="Arial"/>
          <w:bCs/>
          <w:iCs/>
        </w:rPr>
        <w:t>се</w:t>
      </w:r>
      <w:r w:rsidR="007B6BE3" w:rsidRPr="0087376B">
        <w:rPr>
          <w:rFonts w:ascii="Arial" w:hAnsi="Arial" w:cs="Arial"/>
          <w:bCs/>
          <w:iCs/>
        </w:rPr>
        <w:t xml:space="preserve"> </w:t>
      </w:r>
      <w:r>
        <w:rPr>
          <w:rFonts w:ascii="Arial" w:hAnsi="Arial" w:cs="Arial"/>
          <w:bCs/>
          <w:iCs/>
        </w:rPr>
        <w:t>на</w:t>
      </w:r>
      <w:r w:rsidR="007B6BE3" w:rsidRPr="0087376B">
        <w:rPr>
          <w:rFonts w:ascii="Arial" w:hAnsi="Arial" w:cs="Arial"/>
          <w:iCs/>
        </w:rPr>
        <w:t xml:space="preserve"> </w:t>
      </w:r>
      <w:r>
        <w:rPr>
          <w:rFonts w:ascii="Arial" w:hAnsi="Arial" w:cs="Arial"/>
          <w:bCs/>
          <w:iCs/>
        </w:rPr>
        <w:t>реалном</w:t>
      </w:r>
      <w:r w:rsidR="007B6BE3" w:rsidRPr="0087376B">
        <w:rPr>
          <w:rFonts w:ascii="Arial" w:hAnsi="Arial" w:cs="Arial"/>
          <w:bCs/>
          <w:iCs/>
        </w:rPr>
        <w:t xml:space="preserve"> </w:t>
      </w:r>
      <w:r>
        <w:rPr>
          <w:rFonts w:ascii="Arial" w:hAnsi="Arial" w:cs="Arial"/>
          <w:bCs/>
          <w:iCs/>
        </w:rPr>
        <w:t>стању</w:t>
      </w:r>
      <w:r w:rsidR="007B6BE3" w:rsidRPr="0087376B">
        <w:rPr>
          <w:rFonts w:ascii="Arial" w:hAnsi="Arial" w:cs="Arial"/>
          <w:bCs/>
          <w:iCs/>
        </w:rPr>
        <w:t xml:space="preserve"> </w:t>
      </w:r>
      <w:r>
        <w:rPr>
          <w:rFonts w:ascii="Arial" w:hAnsi="Arial" w:cs="Arial"/>
          <w:bCs/>
          <w:iCs/>
        </w:rPr>
        <w:t>досадашњег</w:t>
      </w:r>
      <w:r w:rsidR="007B6BE3" w:rsidRPr="0087376B">
        <w:rPr>
          <w:rFonts w:ascii="Arial" w:hAnsi="Arial" w:cs="Arial"/>
          <w:bCs/>
          <w:iCs/>
        </w:rPr>
        <w:t xml:space="preserve"> </w:t>
      </w:r>
      <w:r>
        <w:rPr>
          <w:rFonts w:ascii="Arial" w:hAnsi="Arial" w:cs="Arial"/>
          <w:bCs/>
          <w:iCs/>
        </w:rPr>
        <w:t>задуживања</w:t>
      </w:r>
      <w:r w:rsidR="007B6BE3" w:rsidRPr="0087376B">
        <w:rPr>
          <w:rFonts w:ascii="Arial" w:hAnsi="Arial" w:cs="Arial"/>
          <w:bCs/>
          <w:iCs/>
        </w:rPr>
        <w:t xml:space="preserve"> </w:t>
      </w:r>
      <w:r>
        <w:rPr>
          <w:rFonts w:ascii="Arial" w:hAnsi="Arial" w:cs="Arial"/>
          <w:bCs/>
          <w:iCs/>
        </w:rPr>
        <w:t>Федерације</w:t>
      </w:r>
      <w:r w:rsidR="007B6BE3" w:rsidRPr="0087376B">
        <w:rPr>
          <w:rFonts w:ascii="Arial" w:hAnsi="Arial" w:cs="Arial"/>
          <w:bCs/>
          <w:iCs/>
        </w:rPr>
        <w:t xml:space="preserve"> </w:t>
      </w:r>
      <w:r>
        <w:rPr>
          <w:rFonts w:ascii="Arial" w:hAnsi="Arial" w:cs="Arial"/>
          <w:bCs/>
          <w:iCs/>
        </w:rPr>
        <w:t>БиХ</w:t>
      </w:r>
      <w:r w:rsidR="007B6BE3" w:rsidRPr="0087376B">
        <w:rPr>
          <w:rFonts w:ascii="Arial" w:hAnsi="Arial" w:cs="Arial"/>
          <w:bCs/>
          <w:iCs/>
        </w:rPr>
        <w:t xml:space="preserve"> </w:t>
      </w:r>
      <w:r>
        <w:rPr>
          <w:rFonts w:ascii="Arial" w:hAnsi="Arial" w:cs="Arial"/>
          <w:bCs/>
          <w:iCs/>
        </w:rPr>
        <w:t>у</w:t>
      </w:r>
      <w:r w:rsidR="007B6BE3" w:rsidRPr="0087376B">
        <w:rPr>
          <w:rFonts w:ascii="Arial" w:hAnsi="Arial" w:cs="Arial"/>
          <w:bCs/>
          <w:iCs/>
        </w:rPr>
        <w:t xml:space="preserve"> </w:t>
      </w:r>
      <w:r>
        <w:rPr>
          <w:rFonts w:ascii="Arial" w:hAnsi="Arial" w:cs="Arial"/>
          <w:bCs/>
          <w:iCs/>
        </w:rPr>
        <w:t>складу</w:t>
      </w:r>
      <w:r w:rsidR="007B6BE3" w:rsidRPr="0087376B">
        <w:rPr>
          <w:rFonts w:ascii="Arial" w:hAnsi="Arial" w:cs="Arial"/>
          <w:bCs/>
          <w:iCs/>
        </w:rPr>
        <w:t xml:space="preserve"> </w:t>
      </w:r>
      <w:r>
        <w:rPr>
          <w:rFonts w:ascii="Arial" w:hAnsi="Arial" w:cs="Arial"/>
          <w:bCs/>
          <w:iCs/>
        </w:rPr>
        <w:t>с</w:t>
      </w:r>
      <w:r w:rsidR="007B6BE3" w:rsidRPr="0087376B">
        <w:rPr>
          <w:rFonts w:ascii="Arial" w:hAnsi="Arial" w:cs="Arial"/>
          <w:bCs/>
          <w:iCs/>
        </w:rPr>
        <w:t xml:space="preserve"> </w:t>
      </w:r>
      <w:r>
        <w:rPr>
          <w:rFonts w:ascii="Arial" w:hAnsi="Arial" w:cs="Arial"/>
          <w:bCs/>
          <w:iCs/>
        </w:rPr>
        <w:t>Буџетом</w:t>
      </w:r>
      <w:r w:rsidR="007B6BE3" w:rsidRPr="0087376B">
        <w:rPr>
          <w:rFonts w:ascii="Arial" w:hAnsi="Arial" w:cs="Arial"/>
          <w:bCs/>
          <w:iCs/>
        </w:rPr>
        <w:t xml:space="preserve"> </w:t>
      </w:r>
      <w:r>
        <w:rPr>
          <w:rFonts w:ascii="Arial" w:hAnsi="Arial" w:cs="Arial"/>
          <w:bCs/>
          <w:iCs/>
        </w:rPr>
        <w:t>Федерације</w:t>
      </w:r>
      <w:r w:rsidR="007B6BE3" w:rsidRPr="0087376B">
        <w:rPr>
          <w:rFonts w:ascii="Arial" w:hAnsi="Arial" w:cs="Arial"/>
          <w:bCs/>
          <w:iCs/>
        </w:rPr>
        <w:t xml:space="preserve"> </w:t>
      </w:r>
      <w:r>
        <w:rPr>
          <w:rFonts w:ascii="Arial" w:hAnsi="Arial" w:cs="Arial"/>
          <w:bCs/>
          <w:iCs/>
        </w:rPr>
        <w:t>БиХ</w:t>
      </w:r>
      <w:r w:rsidR="007B6BE3" w:rsidRPr="0087376B">
        <w:rPr>
          <w:rFonts w:ascii="Arial" w:hAnsi="Arial" w:cs="Arial"/>
          <w:bCs/>
          <w:iCs/>
        </w:rPr>
        <w:t xml:space="preserve"> </w:t>
      </w:r>
      <w:r>
        <w:rPr>
          <w:rFonts w:ascii="Arial" w:hAnsi="Arial" w:cs="Arial"/>
          <w:bCs/>
          <w:iCs/>
        </w:rPr>
        <w:t>за</w:t>
      </w:r>
      <w:r w:rsidR="007B6BE3" w:rsidRPr="0087376B">
        <w:rPr>
          <w:rFonts w:ascii="Arial" w:hAnsi="Arial" w:cs="Arial"/>
          <w:bCs/>
          <w:iCs/>
        </w:rPr>
        <w:t xml:space="preserve"> 2023. </w:t>
      </w:r>
      <w:r>
        <w:rPr>
          <w:rFonts w:ascii="Arial" w:hAnsi="Arial" w:cs="Arial"/>
          <w:bCs/>
          <w:iCs/>
        </w:rPr>
        <w:t>годину</w:t>
      </w:r>
      <w:r w:rsidR="007B6BE3" w:rsidRPr="0087376B">
        <w:rPr>
          <w:rFonts w:ascii="Arial" w:hAnsi="Arial" w:cs="Arial"/>
          <w:bCs/>
          <w:iCs/>
        </w:rPr>
        <w:t xml:space="preserve">, </w:t>
      </w:r>
      <w:r>
        <w:rPr>
          <w:rFonts w:ascii="Arial" w:hAnsi="Arial" w:cs="Arial"/>
          <w:bCs/>
          <w:iCs/>
        </w:rPr>
        <w:t>Документом</w:t>
      </w:r>
      <w:r w:rsidR="007B6BE3" w:rsidRPr="0087376B">
        <w:rPr>
          <w:rFonts w:ascii="Arial" w:hAnsi="Arial" w:cs="Arial"/>
          <w:bCs/>
          <w:iCs/>
        </w:rPr>
        <w:t xml:space="preserve"> </w:t>
      </w:r>
      <w:r>
        <w:rPr>
          <w:rFonts w:ascii="Arial" w:hAnsi="Arial" w:cs="Arial"/>
          <w:bCs/>
          <w:iCs/>
        </w:rPr>
        <w:t>оквирног</w:t>
      </w:r>
      <w:r w:rsidR="007B6BE3" w:rsidRPr="0087376B">
        <w:rPr>
          <w:rFonts w:ascii="Arial" w:hAnsi="Arial" w:cs="Arial"/>
          <w:bCs/>
          <w:iCs/>
        </w:rPr>
        <w:t xml:space="preserve"> </w:t>
      </w:r>
      <w:r>
        <w:rPr>
          <w:rFonts w:ascii="Arial" w:hAnsi="Arial" w:cs="Arial"/>
          <w:bCs/>
          <w:iCs/>
        </w:rPr>
        <w:t>буџета</w:t>
      </w:r>
      <w:r w:rsidR="007B6BE3" w:rsidRPr="0087376B">
        <w:rPr>
          <w:rFonts w:ascii="Arial" w:hAnsi="Arial" w:cs="Arial"/>
          <w:bCs/>
          <w:iCs/>
        </w:rPr>
        <w:t xml:space="preserve"> </w:t>
      </w:r>
      <w:r>
        <w:rPr>
          <w:rFonts w:ascii="Arial" w:hAnsi="Arial" w:cs="Arial"/>
          <w:bCs/>
          <w:iCs/>
        </w:rPr>
        <w:t>Федерације</w:t>
      </w:r>
      <w:r w:rsidR="007B6BE3" w:rsidRPr="0087376B">
        <w:rPr>
          <w:rFonts w:ascii="Arial" w:hAnsi="Arial" w:cs="Arial"/>
          <w:bCs/>
          <w:iCs/>
        </w:rPr>
        <w:t xml:space="preserve"> </w:t>
      </w:r>
      <w:r>
        <w:rPr>
          <w:rFonts w:ascii="Arial" w:hAnsi="Arial" w:cs="Arial"/>
          <w:bCs/>
          <w:iCs/>
        </w:rPr>
        <w:t>БиХ</w:t>
      </w:r>
      <w:r w:rsidR="007B6BE3" w:rsidRPr="0087376B">
        <w:rPr>
          <w:rFonts w:ascii="Arial" w:hAnsi="Arial" w:cs="Arial"/>
          <w:bCs/>
          <w:iCs/>
        </w:rPr>
        <w:t xml:space="preserve"> </w:t>
      </w:r>
      <w:r>
        <w:rPr>
          <w:rFonts w:ascii="Arial" w:hAnsi="Arial" w:cs="Arial"/>
          <w:bCs/>
          <w:iCs/>
        </w:rPr>
        <w:t>у</w:t>
      </w:r>
      <w:r w:rsidR="007B6BE3" w:rsidRPr="0087376B">
        <w:rPr>
          <w:rFonts w:ascii="Arial" w:hAnsi="Arial" w:cs="Arial"/>
          <w:bCs/>
          <w:iCs/>
        </w:rPr>
        <w:t xml:space="preserve"> </w:t>
      </w:r>
      <w:r>
        <w:rPr>
          <w:rFonts w:ascii="Arial" w:hAnsi="Arial" w:cs="Arial"/>
          <w:bCs/>
          <w:iCs/>
        </w:rPr>
        <w:t>раздобљу</w:t>
      </w:r>
      <w:r w:rsidR="007B6BE3" w:rsidRPr="0087376B">
        <w:rPr>
          <w:rFonts w:ascii="Arial" w:hAnsi="Arial" w:cs="Arial"/>
          <w:bCs/>
          <w:iCs/>
        </w:rPr>
        <w:t xml:space="preserve"> 2023-2025. </w:t>
      </w:r>
      <w:r>
        <w:rPr>
          <w:rFonts w:ascii="Arial" w:hAnsi="Arial" w:cs="Arial"/>
          <w:bCs/>
          <w:iCs/>
        </w:rPr>
        <w:t>година</w:t>
      </w:r>
      <w:r w:rsidR="007B6BE3" w:rsidRPr="0087376B">
        <w:rPr>
          <w:rFonts w:ascii="Arial" w:hAnsi="Arial" w:cs="Arial"/>
          <w:bCs/>
          <w:iCs/>
        </w:rPr>
        <w:t xml:space="preserve"> </w:t>
      </w:r>
      <w:r>
        <w:rPr>
          <w:rFonts w:ascii="Arial" w:hAnsi="Arial" w:cs="Arial"/>
          <w:bCs/>
          <w:iCs/>
        </w:rPr>
        <w:t>и</w:t>
      </w:r>
      <w:r w:rsidR="007B6BE3" w:rsidRPr="0087376B">
        <w:rPr>
          <w:rFonts w:ascii="Arial" w:hAnsi="Arial" w:cs="Arial"/>
          <w:bCs/>
          <w:iCs/>
        </w:rPr>
        <w:t xml:space="preserve"> </w:t>
      </w:r>
      <w:r>
        <w:rPr>
          <w:rFonts w:ascii="Arial" w:hAnsi="Arial" w:cs="Arial"/>
          <w:bCs/>
          <w:iCs/>
        </w:rPr>
        <w:t>ПЈИ</w:t>
      </w:r>
      <w:r w:rsidR="007B6BE3" w:rsidRPr="0087376B">
        <w:rPr>
          <w:rFonts w:ascii="Arial" w:hAnsi="Arial" w:cs="Arial"/>
          <w:bCs/>
          <w:iCs/>
        </w:rPr>
        <w:t>-</w:t>
      </w:r>
      <w:r>
        <w:rPr>
          <w:rFonts w:ascii="Arial" w:hAnsi="Arial" w:cs="Arial"/>
          <w:bCs/>
          <w:iCs/>
        </w:rPr>
        <w:t>а</w:t>
      </w:r>
      <w:r w:rsidR="007B6BE3" w:rsidRPr="0087376B">
        <w:rPr>
          <w:rFonts w:ascii="Arial" w:hAnsi="Arial" w:cs="Arial"/>
          <w:bCs/>
          <w:iCs/>
        </w:rPr>
        <w:t xml:space="preserve"> </w:t>
      </w:r>
      <w:r>
        <w:rPr>
          <w:rFonts w:ascii="Arial" w:hAnsi="Arial" w:cs="Arial"/>
          <w:bCs/>
          <w:iCs/>
        </w:rPr>
        <w:t>за</w:t>
      </w:r>
      <w:r w:rsidR="007B6BE3" w:rsidRPr="0087376B">
        <w:rPr>
          <w:rFonts w:ascii="Arial" w:hAnsi="Arial" w:cs="Arial"/>
          <w:bCs/>
          <w:iCs/>
        </w:rPr>
        <w:t xml:space="preserve"> </w:t>
      </w:r>
      <w:r>
        <w:rPr>
          <w:rFonts w:ascii="Arial" w:hAnsi="Arial" w:cs="Arial"/>
          <w:bCs/>
          <w:iCs/>
        </w:rPr>
        <w:t>раздобље</w:t>
      </w:r>
      <w:r w:rsidR="007B6BE3" w:rsidRPr="0087376B">
        <w:rPr>
          <w:rFonts w:ascii="Arial" w:hAnsi="Arial" w:cs="Arial"/>
          <w:bCs/>
          <w:iCs/>
        </w:rPr>
        <w:t xml:space="preserve"> 2023-2025. </w:t>
      </w:r>
      <w:r>
        <w:rPr>
          <w:rFonts w:ascii="Arial" w:hAnsi="Arial" w:cs="Arial"/>
          <w:bCs/>
          <w:iCs/>
        </w:rPr>
        <w:t>године</w:t>
      </w:r>
      <w:r w:rsidR="007B6BE3" w:rsidRPr="0087376B">
        <w:rPr>
          <w:rFonts w:ascii="Arial" w:hAnsi="Arial" w:cs="Arial"/>
          <w:bCs/>
          <w:iCs/>
        </w:rPr>
        <w:t xml:space="preserve">. </w:t>
      </w:r>
      <w:r>
        <w:rPr>
          <w:rFonts w:ascii="Arial" w:hAnsi="Arial" w:cs="Arial"/>
          <w:bCs/>
          <w:iCs/>
        </w:rPr>
        <w:t>Финансирање</w:t>
      </w:r>
      <w:r w:rsidR="007B6BE3" w:rsidRPr="0087376B">
        <w:rPr>
          <w:rFonts w:ascii="Arial" w:hAnsi="Arial" w:cs="Arial"/>
          <w:bCs/>
          <w:iCs/>
        </w:rPr>
        <w:t xml:space="preserve"> </w:t>
      </w:r>
      <w:r>
        <w:rPr>
          <w:rFonts w:ascii="Arial" w:hAnsi="Arial" w:cs="Arial"/>
          <w:bCs/>
          <w:iCs/>
        </w:rPr>
        <w:t>развојних</w:t>
      </w:r>
      <w:r w:rsidR="007B6BE3" w:rsidRPr="0087376B">
        <w:rPr>
          <w:rFonts w:ascii="Arial" w:hAnsi="Arial" w:cs="Arial"/>
          <w:bCs/>
          <w:iCs/>
        </w:rPr>
        <w:t xml:space="preserve"> </w:t>
      </w:r>
      <w:r>
        <w:rPr>
          <w:rFonts w:ascii="Arial" w:hAnsi="Arial" w:cs="Arial"/>
          <w:bCs/>
          <w:iCs/>
        </w:rPr>
        <w:t>пројекта</w:t>
      </w:r>
      <w:r w:rsidR="007B6BE3" w:rsidRPr="0087376B">
        <w:rPr>
          <w:rFonts w:ascii="Arial" w:hAnsi="Arial" w:cs="Arial"/>
          <w:bCs/>
          <w:iCs/>
        </w:rPr>
        <w:t xml:space="preserve"> </w:t>
      </w:r>
      <w:r>
        <w:rPr>
          <w:rFonts w:ascii="Arial" w:hAnsi="Arial" w:cs="Arial"/>
          <w:bCs/>
          <w:iCs/>
        </w:rPr>
        <w:t>до</w:t>
      </w:r>
      <w:r w:rsidR="007B6BE3" w:rsidRPr="0087376B">
        <w:rPr>
          <w:rFonts w:ascii="Arial" w:hAnsi="Arial" w:cs="Arial"/>
          <w:bCs/>
          <w:iCs/>
        </w:rPr>
        <w:t xml:space="preserve"> </w:t>
      </w:r>
      <w:r>
        <w:rPr>
          <w:rFonts w:ascii="Arial" w:hAnsi="Arial" w:cs="Arial"/>
          <w:bCs/>
          <w:iCs/>
        </w:rPr>
        <w:t>краја</w:t>
      </w:r>
      <w:r w:rsidR="007B6BE3" w:rsidRPr="0087376B">
        <w:rPr>
          <w:rFonts w:ascii="Arial" w:hAnsi="Arial" w:cs="Arial"/>
          <w:bCs/>
          <w:iCs/>
        </w:rPr>
        <w:t xml:space="preserve"> 2025. </w:t>
      </w:r>
      <w:r>
        <w:rPr>
          <w:rFonts w:ascii="Arial" w:hAnsi="Arial" w:cs="Arial"/>
          <w:bCs/>
          <w:iCs/>
        </w:rPr>
        <w:t>године</w:t>
      </w:r>
      <w:r w:rsidR="007B6BE3" w:rsidRPr="0087376B">
        <w:rPr>
          <w:rFonts w:ascii="Arial" w:hAnsi="Arial" w:cs="Arial"/>
          <w:bCs/>
          <w:iCs/>
        </w:rPr>
        <w:t xml:space="preserve"> </w:t>
      </w:r>
      <w:r>
        <w:rPr>
          <w:rFonts w:ascii="Arial" w:hAnsi="Arial" w:cs="Arial"/>
          <w:bCs/>
          <w:iCs/>
        </w:rPr>
        <w:t>процијењено</w:t>
      </w:r>
      <w:r w:rsidR="007B6BE3" w:rsidRPr="0087376B">
        <w:rPr>
          <w:rFonts w:ascii="Arial" w:hAnsi="Arial" w:cs="Arial"/>
          <w:bCs/>
          <w:iCs/>
        </w:rPr>
        <w:t xml:space="preserve"> </w:t>
      </w:r>
      <w:r>
        <w:rPr>
          <w:rFonts w:ascii="Arial" w:hAnsi="Arial" w:cs="Arial"/>
          <w:bCs/>
          <w:iCs/>
        </w:rPr>
        <w:t>је</w:t>
      </w:r>
      <w:r w:rsidR="007B6BE3" w:rsidRPr="0087376B">
        <w:rPr>
          <w:rFonts w:ascii="Arial" w:hAnsi="Arial" w:cs="Arial"/>
          <w:bCs/>
          <w:iCs/>
        </w:rPr>
        <w:t xml:space="preserve"> </w:t>
      </w:r>
      <w:r>
        <w:rPr>
          <w:rFonts w:ascii="Arial" w:hAnsi="Arial" w:cs="Arial"/>
          <w:bCs/>
          <w:iCs/>
        </w:rPr>
        <w:t>на</w:t>
      </w:r>
      <w:r w:rsidR="007B6BE3" w:rsidRPr="0087376B">
        <w:rPr>
          <w:rFonts w:ascii="Arial" w:hAnsi="Arial" w:cs="Arial"/>
          <w:bCs/>
          <w:iCs/>
        </w:rPr>
        <w:t xml:space="preserve"> 799,38 </w:t>
      </w:r>
      <w:r>
        <w:rPr>
          <w:rFonts w:ascii="Arial" w:hAnsi="Arial" w:cs="Arial"/>
          <w:bCs/>
          <w:iCs/>
        </w:rPr>
        <w:t>мил</w:t>
      </w:r>
      <w:r w:rsidR="007B6BE3" w:rsidRPr="0087376B">
        <w:rPr>
          <w:rFonts w:ascii="Arial" w:hAnsi="Arial" w:cs="Arial"/>
          <w:bCs/>
          <w:iCs/>
        </w:rPr>
        <w:t xml:space="preserve">. </w:t>
      </w:r>
      <w:r>
        <w:rPr>
          <w:rFonts w:ascii="Arial" w:hAnsi="Arial" w:cs="Arial"/>
          <w:bCs/>
          <w:iCs/>
        </w:rPr>
        <w:t>КМ</w:t>
      </w:r>
      <w:r w:rsidR="007B6BE3" w:rsidRPr="0087376B">
        <w:rPr>
          <w:rFonts w:ascii="Arial" w:hAnsi="Arial" w:cs="Arial"/>
          <w:bCs/>
          <w:iCs/>
        </w:rPr>
        <w:t>.</w:t>
      </w:r>
      <w:r w:rsidR="007B6BE3" w:rsidRPr="0087376B">
        <w:rPr>
          <w:rFonts w:ascii="Arial" w:hAnsi="Arial" w:cs="Arial"/>
          <w:iCs/>
        </w:rPr>
        <w:t xml:space="preserve"> </w:t>
      </w:r>
      <w:r>
        <w:rPr>
          <w:rFonts w:ascii="Arial" w:hAnsi="Arial" w:cs="Arial"/>
          <w:iCs/>
        </w:rPr>
        <w:t>У</w:t>
      </w:r>
      <w:r w:rsidR="007B6BE3" w:rsidRPr="0087376B">
        <w:rPr>
          <w:rFonts w:ascii="Arial" w:hAnsi="Arial" w:cs="Arial"/>
          <w:iCs/>
        </w:rPr>
        <w:t xml:space="preserve"> </w:t>
      </w:r>
      <w:r>
        <w:rPr>
          <w:rFonts w:ascii="Arial" w:hAnsi="Arial" w:cs="Arial"/>
          <w:iCs/>
        </w:rPr>
        <w:t>контексту</w:t>
      </w:r>
      <w:r w:rsidR="007B6BE3" w:rsidRPr="0087376B">
        <w:rPr>
          <w:rFonts w:ascii="Arial" w:hAnsi="Arial" w:cs="Arial"/>
          <w:iCs/>
        </w:rPr>
        <w:t xml:space="preserve"> </w:t>
      </w:r>
      <w:r>
        <w:rPr>
          <w:rFonts w:ascii="Arial" w:hAnsi="Arial" w:cs="Arial"/>
          <w:iCs/>
        </w:rPr>
        <w:t>процјене</w:t>
      </w:r>
      <w:r w:rsidR="007B6BE3" w:rsidRPr="0087376B">
        <w:rPr>
          <w:rFonts w:ascii="Arial" w:hAnsi="Arial" w:cs="Arial"/>
          <w:iCs/>
        </w:rPr>
        <w:t xml:space="preserve"> </w:t>
      </w:r>
      <w:r>
        <w:rPr>
          <w:rFonts w:ascii="Arial" w:hAnsi="Arial" w:cs="Arial"/>
          <w:iCs/>
        </w:rPr>
        <w:t>трошкова</w:t>
      </w:r>
      <w:r w:rsidR="007B6BE3" w:rsidRPr="0087376B">
        <w:rPr>
          <w:rFonts w:ascii="Arial" w:hAnsi="Arial" w:cs="Arial"/>
          <w:iCs/>
        </w:rPr>
        <w:t xml:space="preserve"> </w:t>
      </w:r>
      <w:r>
        <w:rPr>
          <w:rFonts w:ascii="Arial" w:hAnsi="Arial" w:cs="Arial"/>
          <w:iCs/>
        </w:rPr>
        <w:t>и</w:t>
      </w:r>
      <w:r w:rsidR="007B6BE3" w:rsidRPr="0087376B">
        <w:rPr>
          <w:rFonts w:ascii="Arial" w:hAnsi="Arial" w:cs="Arial"/>
          <w:iCs/>
        </w:rPr>
        <w:t xml:space="preserve"> </w:t>
      </w:r>
      <w:r>
        <w:rPr>
          <w:rFonts w:ascii="Arial" w:hAnsi="Arial" w:cs="Arial"/>
          <w:iCs/>
        </w:rPr>
        <w:t>ризика</w:t>
      </w:r>
      <w:r w:rsidR="007B6BE3" w:rsidRPr="0087376B">
        <w:rPr>
          <w:rFonts w:ascii="Arial" w:hAnsi="Arial" w:cs="Arial"/>
          <w:iCs/>
        </w:rPr>
        <w:t xml:space="preserve"> </w:t>
      </w:r>
      <w:r>
        <w:rPr>
          <w:rFonts w:ascii="Arial" w:hAnsi="Arial" w:cs="Arial"/>
          <w:iCs/>
        </w:rPr>
        <w:t>за</w:t>
      </w:r>
      <w:r w:rsidR="007B6BE3" w:rsidRPr="0087376B">
        <w:rPr>
          <w:rFonts w:ascii="Arial" w:hAnsi="Arial" w:cs="Arial"/>
          <w:iCs/>
        </w:rPr>
        <w:t xml:space="preserve"> </w:t>
      </w:r>
      <w:r>
        <w:rPr>
          <w:rFonts w:ascii="Arial" w:hAnsi="Arial" w:cs="Arial"/>
          <w:szCs w:val="24"/>
        </w:rPr>
        <w:t>спољње</w:t>
      </w:r>
      <w:r w:rsidR="007B6BE3" w:rsidRPr="0087376B">
        <w:rPr>
          <w:rFonts w:ascii="Arial" w:hAnsi="Arial" w:cs="Arial"/>
          <w:iCs/>
        </w:rPr>
        <w:t xml:space="preserve"> </w:t>
      </w:r>
      <w:r>
        <w:rPr>
          <w:rFonts w:ascii="Arial" w:hAnsi="Arial" w:cs="Arial"/>
          <w:iCs/>
        </w:rPr>
        <w:t>кредите</w:t>
      </w:r>
      <w:r w:rsidR="007B6BE3" w:rsidRPr="0087376B">
        <w:rPr>
          <w:rFonts w:ascii="Arial" w:hAnsi="Arial" w:cs="Arial"/>
          <w:iCs/>
        </w:rPr>
        <w:t xml:space="preserve"> </w:t>
      </w:r>
      <w:r>
        <w:rPr>
          <w:rFonts w:ascii="Arial" w:hAnsi="Arial" w:cs="Arial"/>
          <w:iCs/>
        </w:rPr>
        <w:t>намијењене</w:t>
      </w:r>
      <w:r w:rsidR="007B6BE3" w:rsidRPr="0087376B">
        <w:rPr>
          <w:rFonts w:ascii="Arial" w:hAnsi="Arial" w:cs="Arial"/>
          <w:iCs/>
        </w:rPr>
        <w:t xml:space="preserve"> </w:t>
      </w:r>
      <w:r>
        <w:rPr>
          <w:rFonts w:ascii="Arial" w:hAnsi="Arial" w:cs="Arial"/>
          <w:iCs/>
        </w:rPr>
        <w:t>реализацији</w:t>
      </w:r>
      <w:r w:rsidR="007B6BE3" w:rsidRPr="0087376B">
        <w:rPr>
          <w:rFonts w:ascii="Arial" w:hAnsi="Arial" w:cs="Arial"/>
          <w:iCs/>
        </w:rPr>
        <w:t xml:space="preserve"> </w:t>
      </w:r>
      <w:r>
        <w:rPr>
          <w:rFonts w:ascii="Arial" w:hAnsi="Arial" w:cs="Arial"/>
          <w:iCs/>
        </w:rPr>
        <w:t>ПЈИ</w:t>
      </w:r>
      <w:r w:rsidR="007B6BE3" w:rsidRPr="0087376B">
        <w:rPr>
          <w:rFonts w:ascii="Arial" w:hAnsi="Arial" w:cs="Arial"/>
          <w:iCs/>
        </w:rPr>
        <w:t xml:space="preserve"> </w:t>
      </w:r>
      <w:r>
        <w:rPr>
          <w:rFonts w:ascii="Arial" w:hAnsi="Arial" w:cs="Arial"/>
          <w:iCs/>
        </w:rPr>
        <w:t>Федерације</w:t>
      </w:r>
      <w:r w:rsidR="007B6BE3" w:rsidRPr="0087376B">
        <w:rPr>
          <w:rFonts w:ascii="Arial" w:hAnsi="Arial" w:cs="Arial"/>
          <w:iCs/>
        </w:rPr>
        <w:t xml:space="preserve"> </w:t>
      </w:r>
      <w:r>
        <w:rPr>
          <w:rFonts w:ascii="Arial" w:hAnsi="Arial" w:cs="Arial"/>
          <w:iCs/>
        </w:rPr>
        <w:t>БиХ</w:t>
      </w:r>
      <w:r w:rsidR="007B6BE3" w:rsidRPr="0087376B">
        <w:rPr>
          <w:rFonts w:ascii="Arial" w:hAnsi="Arial" w:cs="Arial"/>
          <w:iCs/>
        </w:rPr>
        <w:t xml:space="preserve"> </w:t>
      </w:r>
      <w:r>
        <w:rPr>
          <w:rFonts w:ascii="Arial" w:hAnsi="Arial" w:cs="Arial"/>
          <w:iCs/>
        </w:rPr>
        <w:t>примијењени</w:t>
      </w:r>
      <w:r w:rsidR="007B6BE3" w:rsidRPr="0087376B">
        <w:rPr>
          <w:rFonts w:ascii="Arial" w:hAnsi="Arial" w:cs="Arial"/>
          <w:iCs/>
        </w:rPr>
        <w:t xml:space="preserve"> </w:t>
      </w:r>
      <w:r>
        <w:rPr>
          <w:rFonts w:ascii="Arial" w:hAnsi="Arial" w:cs="Arial"/>
          <w:iCs/>
        </w:rPr>
        <w:t>су</w:t>
      </w:r>
      <w:r w:rsidR="007B6BE3" w:rsidRPr="0087376B">
        <w:rPr>
          <w:rFonts w:ascii="Arial" w:hAnsi="Arial" w:cs="Arial"/>
          <w:iCs/>
        </w:rPr>
        <w:t xml:space="preserve"> </w:t>
      </w:r>
      <w:r>
        <w:rPr>
          <w:rFonts w:ascii="Arial" w:hAnsi="Arial" w:cs="Arial"/>
          <w:iCs/>
        </w:rPr>
        <w:t>кредитни</w:t>
      </w:r>
      <w:r w:rsidR="007B6BE3" w:rsidRPr="0087376B">
        <w:rPr>
          <w:rFonts w:ascii="Arial" w:hAnsi="Arial" w:cs="Arial"/>
          <w:iCs/>
        </w:rPr>
        <w:t xml:space="preserve"> </w:t>
      </w:r>
      <w:r>
        <w:rPr>
          <w:rFonts w:ascii="Arial" w:hAnsi="Arial" w:cs="Arial"/>
          <w:iCs/>
        </w:rPr>
        <w:t>услови</w:t>
      </w:r>
      <w:r w:rsidR="007B6BE3" w:rsidRPr="0087376B">
        <w:rPr>
          <w:rFonts w:ascii="Arial" w:hAnsi="Arial" w:cs="Arial"/>
          <w:iCs/>
        </w:rPr>
        <w:t xml:space="preserve"> </w:t>
      </w:r>
      <w:r>
        <w:rPr>
          <w:rFonts w:ascii="Arial" w:hAnsi="Arial" w:cs="Arial"/>
          <w:iCs/>
        </w:rPr>
        <w:t>у</w:t>
      </w:r>
      <w:r w:rsidR="007B6BE3" w:rsidRPr="0087376B">
        <w:rPr>
          <w:rFonts w:ascii="Arial" w:hAnsi="Arial" w:cs="Arial"/>
          <w:iCs/>
        </w:rPr>
        <w:t xml:space="preserve"> </w:t>
      </w:r>
      <w:r>
        <w:rPr>
          <w:rFonts w:ascii="Arial" w:hAnsi="Arial" w:cs="Arial"/>
          <w:iCs/>
        </w:rPr>
        <w:t>складу</w:t>
      </w:r>
      <w:r w:rsidR="007B6BE3" w:rsidRPr="0087376B">
        <w:rPr>
          <w:rFonts w:ascii="Arial" w:hAnsi="Arial" w:cs="Arial"/>
          <w:iCs/>
        </w:rPr>
        <w:t xml:space="preserve"> </w:t>
      </w:r>
      <w:r>
        <w:rPr>
          <w:rFonts w:ascii="Arial" w:hAnsi="Arial" w:cs="Arial"/>
          <w:iCs/>
        </w:rPr>
        <w:t>са</w:t>
      </w:r>
      <w:r w:rsidR="007B6BE3" w:rsidRPr="0087376B">
        <w:rPr>
          <w:rFonts w:ascii="Arial" w:hAnsi="Arial" w:cs="Arial"/>
          <w:iCs/>
        </w:rPr>
        <w:t xml:space="preserve"> </w:t>
      </w:r>
      <w:r>
        <w:rPr>
          <w:rFonts w:ascii="Arial" w:hAnsi="Arial" w:cs="Arial"/>
          <w:iCs/>
        </w:rPr>
        <w:t>генералним</w:t>
      </w:r>
      <w:r w:rsidR="007B6BE3" w:rsidRPr="0087376B">
        <w:rPr>
          <w:rFonts w:ascii="Arial" w:hAnsi="Arial" w:cs="Arial"/>
          <w:iCs/>
        </w:rPr>
        <w:t xml:space="preserve"> </w:t>
      </w:r>
      <w:r>
        <w:rPr>
          <w:rFonts w:ascii="Arial" w:hAnsi="Arial" w:cs="Arial"/>
          <w:iCs/>
        </w:rPr>
        <w:t>условима</w:t>
      </w:r>
      <w:r w:rsidR="007B6BE3" w:rsidRPr="0087376B">
        <w:rPr>
          <w:rFonts w:ascii="Arial" w:hAnsi="Arial" w:cs="Arial"/>
          <w:iCs/>
        </w:rPr>
        <w:t xml:space="preserve"> </w:t>
      </w:r>
      <w:r>
        <w:rPr>
          <w:rFonts w:ascii="Arial" w:hAnsi="Arial" w:cs="Arial"/>
          <w:iCs/>
        </w:rPr>
        <w:t>пословања</w:t>
      </w:r>
      <w:r w:rsidR="007B6BE3" w:rsidRPr="0087376B">
        <w:rPr>
          <w:rFonts w:ascii="Arial" w:hAnsi="Arial" w:cs="Arial"/>
          <w:iCs/>
        </w:rPr>
        <w:t xml:space="preserve"> </w:t>
      </w:r>
      <w:r>
        <w:rPr>
          <w:rFonts w:ascii="Arial" w:hAnsi="Arial" w:cs="Arial"/>
          <w:iCs/>
        </w:rPr>
        <w:t>кредитора</w:t>
      </w:r>
      <w:r w:rsidR="007B6BE3" w:rsidRPr="0087376B">
        <w:rPr>
          <w:rFonts w:ascii="Arial" w:hAnsi="Arial" w:cs="Arial"/>
          <w:iCs/>
        </w:rPr>
        <w:t xml:space="preserve"> </w:t>
      </w:r>
      <w:r>
        <w:rPr>
          <w:rFonts w:ascii="Arial" w:hAnsi="Arial" w:cs="Arial"/>
          <w:iCs/>
        </w:rPr>
        <w:t>уз</w:t>
      </w:r>
      <w:r w:rsidR="007B6BE3" w:rsidRPr="0087376B">
        <w:rPr>
          <w:rFonts w:ascii="Arial" w:hAnsi="Arial" w:cs="Arial"/>
          <w:iCs/>
        </w:rPr>
        <w:t xml:space="preserve"> </w:t>
      </w:r>
      <w:r>
        <w:rPr>
          <w:rFonts w:ascii="Arial" w:hAnsi="Arial" w:cs="Arial"/>
          <w:iCs/>
        </w:rPr>
        <w:t>преферирану</w:t>
      </w:r>
      <w:r w:rsidR="007B6BE3" w:rsidRPr="0087376B">
        <w:rPr>
          <w:rFonts w:ascii="Arial" w:hAnsi="Arial" w:cs="Arial"/>
          <w:iCs/>
        </w:rPr>
        <w:t xml:space="preserve"> </w:t>
      </w:r>
      <w:r>
        <w:rPr>
          <w:rFonts w:ascii="Arial" w:hAnsi="Arial" w:cs="Arial"/>
          <w:iCs/>
        </w:rPr>
        <w:t>валуту</w:t>
      </w:r>
      <w:r w:rsidR="007B6BE3" w:rsidRPr="0087376B">
        <w:rPr>
          <w:rFonts w:ascii="Arial" w:hAnsi="Arial" w:cs="Arial"/>
          <w:iCs/>
        </w:rPr>
        <w:t xml:space="preserve"> </w:t>
      </w:r>
      <w:r w:rsidRPr="00C7294F">
        <w:rPr>
          <w:rFonts w:ascii="Arial" w:hAnsi="Arial" w:cs="Arial"/>
          <w:iCs/>
        </w:rPr>
        <w:t>Е</w:t>
      </w:r>
      <w:r w:rsidR="00C7294F" w:rsidRPr="00C7294F">
        <w:rPr>
          <w:rFonts w:ascii="Arial" w:hAnsi="Arial" w:cs="Arial"/>
          <w:iCs/>
        </w:rPr>
        <w:t>UR</w:t>
      </w:r>
      <w:r w:rsidR="007B6BE3" w:rsidRPr="00C7294F">
        <w:rPr>
          <w:rFonts w:ascii="Arial" w:hAnsi="Arial" w:cs="Arial"/>
          <w:iCs/>
        </w:rPr>
        <w:t xml:space="preserve">. </w:t>
      </w:r>
    </w:p>
    <w:p w14:paraId="7C397671" w14:textId="77777777" w:rsidR="007B6BE3" w:rsidRPr="0087376B" w:rsidRDefault="007B6BE3" w:rsidP="007B6BE3">
      <w:pPr>
        <w:spacing w:after="0"/>
        <w:jc w:val="both"/>
        <w:rPr>
          <w:rFonts w:ascii="Arial" w:hAnsi="Arial" w:cs="Arial"/>
          <w:iCs/>
        </w:rPr>
      </w:pPr>
    </w:p>
    <w:p w14:paraId="4381C1CA" w14:textId="77777777" w:rsidR="007B6BE3" w:rsidRPr="0087376B" w:rsidRDefault="005B20F8" w:rsidP="007B6BE3">
      <w:pPr>
        <w:spacing w:after="0"/>
        <w:jc w:val="both"/>
        <w:rPr>
          <w:rFonts w:ascii="Arial" w:hAnsi="Arial" w:cs="Arial"/>
          <w:iCs/>
        </w:rPr>
      </w:pPr>
      <w:r>
        <w:rPr>
          <w:rFonts w:ascii="Arial" w:hAnsi="Arial" w:cs="Arial"/>
          <w:b/>
          <w:iCs/>
        </w:rPr>
        <w:t>Стратегија</w:t>
      </w:r>
      <w:r w:rsidR="007B6BE3" w:rsidRPr="0087376B">
        <w:rPr>
          <w:rFonts w:ascii="Arial" w:hAnsi="Arial" w:cs="Arial"/>
          <w:b/>
          <w:iCs/>
        </w:rPr>
        <w:t xml:space="preserve"> 2</w:t>
      </w:r>
      <w:r w:rsidR="007B6BE3" w:rsidRPr="0087376B">
        <w:rPr>
          <w:rFonts w:ascii="Arial" w:hAnsi="Arial" w:cs="Arial"/>
          <w:iCs/>
        </w:rPr>
        <w:t xml:space="preserve"> (</w:t>
      </w:r>
      <w:r>
        <w:rPr>
          <w:rFonts w:ascii="Arial" w:hAnsi="Arial" w:cs="Arial"/>
          <w:iCs/>
        </w:rPr>
        <w:t>С</w:t>
      </w:r>
      <w:r w:rsidR="007B6BE3" w:rsidRPr="0087376B">
        <w:rPr>
          <w:rFonts w:ascii="Arial" w:hAnsi="Arial" w:cs="Arial"/>
          <w:iCs/>
        </w:rPr>
        <w:t xml:space="preserve">2): </w:t>
      </w:r>
      <w:r>
        <w:rPr>
          <w:rFonts w:ascii="Arial" w:hAnsi="Arial" w:cs="Arial"/>
          <w:bCs/>
          <w:iCs/>
        </w:rPr>
        <w:t>базира</w:t>
      </w:r>
      <w:r w:rsidR="007B6BE3" w:rsidRPr="0087376B">
        <w:rPr>
          <w:rFonts w:ascii="Arial" w:hAnsi="Arial" w:cs="Arial"/>
          <w:bCs/>
          <w:iCs/>
        </w:rPr>
        <w:t xml:space="preserve"> </w:t>
      </w:r>
      <w:r>
        <w:rPr>
          <w:rFonts w:ascii="Arial" w:hAnsi="Arial" w:cs="Arial"/>
          <w:bCs/>
          <w:iCs/>
        </w:rPr>
        <w:t>се</w:t>
      </w:r>
      <w:r w:rsidR="007B6BE3" w:rsidRPr="0087376B">
        <w:rPr>
          <w:rFonts w:ascii="Arial" w:hAnsi="Arial" w:cs="Arial"/>
          <w:bCs/>
          <w:iCs/>
        </w:rPr>
        <w:t xml:space="preserve"> </w:t>
      </w:r>
      <w:r>
        <w:rPr>
          <w:rFonts w:ascii="Arial" w:hAnsi="Arial" w:cs="Arial"/>
          <w:bCs/>
          <w:iCs/>
        </w:rPr>
        <w:t>на</w:t>
      </w:r>
      <w:r w:rsidR="007B6BE3" w:rsidRPr="0087376B">
        <w:rPr>
          <w:rFonts w:ascii="Arial" w:hAnsi="Arial" w:cs="Arial"/>
          <w:iCs/>
        </w:rPr>
        <w:t xml:space="preserve"> </w:t>
      </w:r>
      <w:r>
        <w:rPr>
          <w:rFonts w:ascii="Arial" w:hAnsi="Arial" w:cs="Arial"/>
          <w:bCs/>
          <w:iCs/>
        </w:rPr>
        <w:t>досадашњем</w:t>
      </w:r>
      <w:r w:rsidR="007B6BE3" w:rsidRPr="0087376B">
        <w:rPr>
          <w:rFonts w:ascii="Arial" w:hAnsi="Arial" w:cs="Arial"/>
          <w:bCs/>
          <w:iCs/>
        </w:rPr>
        <w:t xml:space="preserve"> </w:t>
      </w:r>
      <w:r>
        <w:rPr>
          <w:rFonts w:ascii="Arial" w:hAnsi="Arial" w:cs="Arial"/>
          <w:bCs/>
          <w:iCs/>
        </w:rPr>
        <w:t>задуживању</w:t>
      </w:r>
      <w:r w:rsidR="007B6BE3" w:rsidRPr="0087376B">
        <w:rPr>
          <w:rFonts w:ascii="Arial" w:hAnsi="Arial" w:cs="Arial"/>
          <w:bCs/>
          <w:iCs/>
        </w:rPr>
        <w:t xml:space="preserve"> </w:t>
      </w:r>
      <w:r>
        <w:rPr>
          <w:rFonts w:ascii="Arial" w:hAnsi="Arial" w:cs="Arial"/>
          <w:bCs/>
          <w:iCs/>
        </w:rPr>
        <w:t>Федерације</w:t>
      </w:r>
      <w:r w:rsidR="007B6BE3" w:rsidRPr="0087376B">
        <w:rPr>
          <w:rFonts w:ascii="Arial" w:hAnsi="Arial" w:cs="Arial"/>
          <w:bCs/>
          <w:iCs/>
        </w:rPr>
        <w:t xml:space="preserve"> </w:t>
      </w:r>
      <w:r>
        <w:rPr>
          <w:rFonts w:ascii="Arial" w:hAnsi="Arial" w:cs="Arial"/>
          <w:bCs/>
          <w:iCs/>
        </w:rPr>
        <w:t>БиХ</w:t>
      </w:r>
      <w:r w:rsidR="007B6BE3" w:rsidRPr="0087376B">
        <w:rPr>
          <w:rFonts w:ascii="Arial" w:hAnsi="Arial" w:cs="Arial"/>
          <w:bCs/>
          <w:iCs/>
        </w:rPr>
        <w:t xml:space="preserve"> </w:t>
      </w:r>
      <w:r w:rsidR="007B6BE3" w:rsidRPr="0087376B">
        <w:rPr>
          <w:rFonts w:ascii="Arial" w:hAnsi="Arial" w:cs="Arial"/>
          <w:iCs/>
        </w:rPr>
        <w:t xml:space="preserve"> </w:t>
      </w:r>
      <w:r>
        <w:rPr>
          <w:rFonts w:ascii="Arial" w:hAnsi="Arial" w:cs="Arial"/>
          <w:bCs/>
          <w:iCs/>
        </w:rPr>
        <w:t>у</w:t>
      </w:r>
      <w:r w:rsidR="007B6BE3" w:rsidRPr="0087376B">
        <w:rPr>
          <w:rFonts w:ascii="Arial" w:hAnsi="Arial" w:cs="Arial"/>
          <w:bCs/>
          <w:iCs/>
        </w:rPr>
        <w:t xml:space="preserve"> </w:t>
      </w:r>
      <w:r>
        <w:rPr>
          <w:rFonts w:ascii="Arial" w:hAnsi="Arial" w:cs="Arial"/>
          <w:bCs/>
          <w:iCs/>
        </w:rPr>
        <w:t>складу</w:t>
      </w:r>
      <w:r w:rsidR="007B6BE3" w:rsidRPr="0087376B">
        <w:rPr>
          <w:rFonts w:ascii="Arial" w:hAnsi="Arial" w:cs="Arial"/>
          <w:bCs/>
          <w:iCs/>
        </w:rPr>
        <w:t xml:space="preserve"> </w:t>
      </w:r>
      <w:r>
        <w:rPr>
          <w:rFonts w:ascii="Arial" w:hAnsi="Arial" w:cs="Arial"/>
          <w:bCs/>
          <w:iCs/>
        </w:rPr>
        <w:t>с</w:t>
      </w:r>
      <w:r w:rsidR="007B6BE3" w:rsidRPr="0087376B">
        <w:rPr>
          <w:rFonts w:ascii="Arial" w:hAnsi="Arial" w:cs="Arial"/>
          <w:bCs/>
          <w:iCs/>
        </w:rPr>
        <w:t xml:space="preserve"> </w:t>
      </w:r>
      <w:r>
        <w:rPr>
          <w:rFonts w:ascii="Arial" w:hAnsi="Arial" w:cs="Arial"/>
          <w:bCs/>
          <w:iCs/>
        </w:rPr>
        <w:t>Буџетом</w:t>
      </w:r>
      <w:r w:rsidR="007B6BE3" w:rsidRPr="0087376B">
        <w:rPr>
          <w:rFonts w:ascii="Arial" w:hAnsi="Arial" w:cs="Arial"/>
          <w:bCs/>
          <w:iCs/>
        </w:rPr>
        <w:t xml:space="preserve"> </w:t>
      </w:r>
      <w:r>
        <w:rPr>
          <w:rFonts w:ascii="Arial" w:hAnsi="Arial" w:cs="Arial"/>
          <w:bCs/>
          <w:iCs/>
        </w:rPr>
        <w:t>Федерације</w:t>
      </w:r>
      <w:r w:rsidR="007B6BE3" w:rsidRPr="0087376B">
        <w:rPr>
          <w:rFonts w:ascii="Arial" w:hAnsi="Arial" w:cs="Arial"/>
          <w:bCs/>
          <w:iCs/>
        </w:rPr>
        <w:t xml:space="preserve"> </w:t>
      </w:r>
      <w:r>
        <w:rPr>
          <w:rFonts w:ascii="Arial" w:hAnsi="Arial" w:cs="Arial"/>
          <w:bCs/>
          <w:iCs/>
        </w:rPr>
        <w:t>БиХ</w:t>
      </w:r>
      <w:r w:rsidR="007B6BE3" w:rsidRPr="0087376B">
        <w:rPr>
          <w:rFonts w:ascii="Arial" w:hAnsi="Arial" w:cs="Arial"/>
          <w:bCs/>
          <w:iCs/>
        </w:rPr>
        <w:t xml:space="preserve"> </w:t>
      </w:r>
      <w:r>
        <w:rPr>
          <w:rFonts w:ascii="Arial" w:hAnsi="Arial" w:cs="Arial"/>
          <w:bCs/>
          <w:iCs/>
        </w:rPr>
        <w:t>за</w:t>
      </w:r>
      <w:r w:rsidR="007B6BE3" w:rsidRPr="0087376B">
        <w:rPr>
          <w:rFonts w:ascii="Arial" w:hAnsi="Arial" w:cs="Arial"/>
          <w:bCs/>
          <w:iCs/>
        </w:rPr>
        <w:t xml:space="preserve"> 2023. </w:t>
      </w:r>
      <w:r>
        <w:rPr>
          <w:rFonts w:ascii="Arial" w:hAnsi="Arial" w:cs="Arial"/>
          <w:bCs/>
          <w:iCs/>
        </w:rPr>
        <w:t>годину</w:t>
      </w:r>
      <w:r w:rsidR="007B6BE3" w:rsidRPr="0087376B">
        <w:rPr>
          <w:rFonts w:ascii="Arial" w:hAnsi="Arial" w:cs="Arial"/>
          <w:bCs/>
          <w:iCs/>
        </w:rPr>
        <w:t xml:space="preserve">, </w:t>
      </w:r>
      <w:r>
        <w:rPr>
          <w:rFonts w:ascii="Arial" w:hAnsi="Arial" w:cs="Arial"/>
          <w:bCs/>
          <w:iCs/>
        </w:rPr>
        <w:t>Документом</w:t>
      </w:r>
      <w:r w:rsidR="007B6BE3" w:rsidRPr="0087376B">
        <w:rPr>
          <w:rFonts w:ascii="Arial" w:hAnsi="Arial" w:cs="Arial"/>
          <w:bCs/>
          <w:iCs/>
        </w:rPr>
        <w:t xml:space="preserve"> </w:t>
      </w:r>
      <w:r>
        <w:rPr>
          <w:rFonts w:ascii="Arial" w:hAnsi="Arial" w:cs="Arial"/>
          <w:bCs/>
          <w:iCs/>
        </w:rPr>
        <w:t>оквирног</w:t>
      </w:r>
      <w:r w:rsidR="007B6BE3" w:rsidRPr="0087376B">
        <w:rPr>
          <w:rFonts w:ascii="Arial" w:hAnsi="Arial" w:cs="Arial"/>
          <w:bCs/>
          <w:iCs/>
        </w:rPr>
        <w:t xml:space="preserve"> </w:t>
      </w:r>
      <w:r>
        <w:rPr>
          <w:rFonts w:ascii="Arial" w:hAnsi="Arial" w:cs="Arial"/>
          <w:bCs/>
          <w:iCs/>
        </w:rPr>
        <w:t>буџета</w:t>
      </w:r>
      <w:r w:rsidR="007B6BE3" w:rsidRPr="0087376B">
        <w:rPr>
          <w:rFonts w:ascii="Arial" w:hAnsi="Arial" w:cs="Arial"/>
          <w:bCs/>
          <w:iCs/>
        </w:rPr>
        <w:t xml:space="preserve"> </w:t>
      </w:r>
      <w:r>
        <w:rPr>
          <w:rFonts w:ascii="Arial" w:hAnsi="Arial" w:cs="Arial"/>
          <w:bCs/>
          <w:iCs/>
        </w:rPr>
        <w:t>Федерације</w:t>
      </w:r>
      <w:r w:rsidR="007B6BE3" w:rsidRPr="0087376B">
        <w:rPr>
          <w:rFonts w:ascii="Arial" w:hAnsi="Arial" w:cs="Arial"/>
          <w:bCs/>
          <w:iCs/>
        </w:rPr>
        <w:t xml:space="preserve"> </w:t>
      </w:r>
      <w:r>
        <w:rPr>
          <w:rFonts w:ascii="Arial" w:hAnsi="Arial" w:cs="Arial"/>
          <w:bCs/>
          <w:iCs/>
        </w:rPr>
        <w:t>БиХ</w:t>
      </w:r>
      <w:r w:rsidR="007B6BE3" w:rsidRPr="0087376B">
        <w:rPr>
          <w:rFonts w:ascii="Arial" w:hAnsi="Arial" w:cs="Arial"/>
          <w:bCs/>
          <w:iCs/>
        </w:rPr>
        <w:t xml:space="preserve"> </w:t>
      </w:r>
      <w:r>
        <w:rPr>
          <w:rFonts w:ascii="Arial" w:hAnsi="Arial" w:cs="Arial"/>
          <w:bCs/>
          <w:iCs/>
        </w:rPr>
        <w:t>у</w:t>
      </w:r>
      <w:r w:rsidR="007B6BE3" w:rsidRPr="0087376B">
        <w:rPr>
          <w:rFonts w:ascii="Arial" w:hAnsi="Arial" w:cs="Arial"/>
          <w:bCs/>
          <w:iCs/>
        </w:rPr>
        <w:t xml:space="preserve"> </w:t>
      </w:r>
      <w:r>
        <w:rPr>
          <w:rFonts w:ascii="Arial" w:hAnsi="Arial" w:cs="Arial"/>
          <w:bCs/>
          <w:iCs/>
        </w:rPr>
        <w:t>раздобљу</w:t>
      </w:r>
      <w:r w:rsidR="007B6BE3" w:rsidRPr="0087376B">
        <w:rPr>
          <w:rFonts w:ascii="Arial" w:hAnsi="Arial" w:cs="Arial"/>
          <w:bCs/>
          <w:iCs/>
        </w:rPr>
        <w:t xml:space="preserve"> 2023-2025. </w:t>
      </w:r>
      <w:r>
        <w:rPr>
          <w:rFonts w:ascii="Arial" w:hAnsi="Arial" w:cs="Arial"/>
          <w:bCs/>
          <w:iCs/>
        </w:rPr>
        <w:t>година</w:t>
      </w:r>
      <w:r w:rsidR="007B6BE3" w:rsidRPr="0087376B">
        <w:rPr>
          <w:rFonts w:ascii="Arial" w:hAnsi="Arial" w:cs="Arial"/>
          <w:bCs/>
          <w:iCs/>
        </w:rPr>
        <w:t xml:space="preserve"> </w:t>
      </w:r>
      <w:r>
        <w:rPr>
          <w:rFonts w:ascii="Arial" w:hAnsi="Arial" w:cs="Arial"/>
          <w:bCs/>
          <w:iCs/>
        </w:rPr>
        <w:t>и</w:t>
      </w:r>
      <w:r w:rsidR="007B6BE3" w:rsidRPr="0087376B">
        <w:rPr>
          <w:rFonts w:ascii="Arial" w:hAnsi="Arial" w:cs="Arial"/>
          <w:bCs/>
          <w:iCs/>
        </w:rPr>
        <w:t xml:space="preserve"> </w:t>
      </w:r>
      <w:r>
        <w:rPr>
          <w:rFonts w:ascii="Arial" w:hAnsi="Arial" w:cs="Arial"/>
          <w:bCs/>
          <w:iCs/>
        </w:rPr>
        <w:t>ПЈИ</w:t>
      </w:r>
      <w:r w:rsidR="007B6BE3" w:rsidRPr="0087376B">
        <w:rPr>
          <w:rFonts w:ascii="Arial" w:hAnsi="Arial" w:cs="Arial"/>
          <w:bCs/>
          <w:iCs/>
        </w:rPr>
        <w:t>-</w:t>
      </w:r>
      <w:r>
        <w:rPr>
          <w:rFonts w:ascii="Arial" w:hAnsi="Arial" w:cs="Arial"/>
          <w:bCs/>
          <w:iCs/>
        </w:rPr>
        <w:t>а</w:t>
      </w:r>
      <w:r w:rsidR="007B6BE3" w:rsidRPr="0087376B">
        <w:rPr>
          <w:rFonts w:ascii="Arial" w:hAnsi="Arial" w:cs="Arial"/>
          <w:bCs/>
          <w:iCs/>
        </w:rPr>
        <w:t xml:space="preserve"> </w:t>
      </w:r>
      <w:r>
        <w:rPr>
          <w:rFonts w:ascii="Arial" w:hAnsi="Arial" w:cs="Arial"/>
          <w:bCs/>
          <w:iCs/>
        </w:rPr>
        <w:t>за</w:t>
      </w:r>
      <w:r w:rsidR="007B6BE3" w:rsidRPr="0087376B">
        <w:rPr>
          <w:rFonts w:ascii="Arial" w:hAnsi="Arial" w:cs="Arial"/>
          <w:bCs/>
          <w:iCs/>
        </w:rPr>
        <w:t xml:space="preserve"> </w:t>
      </w:r>
      <w:r>
        <w:rPr>
          <w:rFonts w:ascii="Arial" w:hAnsi="Arial" w:cs="Arial"/>
          <w:bCs/>
          <w:iCs/>
        </w:rPr>
        <w:t>раздобље</w:t>
      </w:r>
      <w:r w:rsidR="007B6BE3" w:rsidRPr="0087376B">
        <w:rPr>
          <w:rFonts w:ascii="Arial" w:hAnsi="Arial" w:cs="Arial"/>
          <w:bCs/>
          <w:iCs/>
        </w:rPr>
        <w:t xml:space="preserve"> 2023-2025. </w:t>
      </w:r>
      <w:r>
        <w:rPr>
          <w:rFonts w:ascii="Arial" w:hAnsi="Arial" w:cs="Arial"/>
          <w:bCs/>
          <w:iCs/>
        </w:rPr>
        <w:t>године</w:t>
      </w:r>
      <w:r w:rsidR="007B6BE3" w:rsidRPr="0087376B">
        <w:rPr>
          <w:rFonts w:ascii="Arial" w:hAnsi="Arial" w:cs="Arial"/>
          <w:bCs/>
          <w:iCs/>
        </w:rPr>
        <w:t xml:space="preserve"> </w:t>
      </w:r>
      <w:r>
        <w:rPr>
          <w:rFonts w:ascii="Arial" w:hAnsi="Arial" w:cs="Arial"/>
          <w:bCs/>
          <w:iCs/>
        </w:rPr>
        <w:t>с</w:t>
      </w:r>
      <w:r w:rsidR="007B6BE3" w:rsidRPr="0087376B">
        <w:rPr>
          <w:rFonts w:ascii="Arial" w:hAnsi="Arial" w:cs="Arial"/>
          <w:bCs/>
          <w:iCs/>
        </w:rPr>
        <w:t xml:space="preserve"> </w:t>
      </w:r>
      <w:r>
        <w:rPr>
          <w:rFonts w:ascii="Arial" w:hAnsi="Arial" w:cs="Arial"/>
          <w:bCs/>
          <w:iCs/>
        </w:rPr>
        <w:t>претпоставком</w:t>
      </w:r>
      <w:r w:rsidR="007B6BE3" w:rsidRPr="0087376B">
        <w:rPr>
          <w:rFonts w:ascii="Arial" w:hAnsi="Arial" w:cs="Arial"/>
          <w:bCs/>
          <w:iCs/>
        </w:rPr>
        <w:t xml:space="preserve"> </w:t>
      </w:r>
      <w:r w:rsidR="007B6BE3" w:rsidRPr="0087376B">
        <w:rPr>
          <w:rFonts w:ascii="Arial" w:hAnsi="Arial" w:cs="Arial"/>
          <w:iCs/>
        </w:rPr>
        <w:t xml:space="preserve"> </w:t>
      </w:r>
      <w:r>
        <w:rPr>
          <w:rFonts w:ascii="Arial" w:hAnsi="Arial" w:cs="Arial"/>
          <w:iCs/>
        </w:rPr>
        <w:t>кредитних</w:t>
      </w:r>
      <w:r w:rsidR="007B6BE3" w:rsidRPr="0087376B">
        <w:rPr>
          <w:rFonts w:ascii="Arial" w:hAnsi="Arial" w:cs="Arial"/>
          <w:iCs/>
        </w:rPr>
        <w:t xml:space="preserve"> </w:t>
      </w:r>
      <w:r>
        <w:rPr>
          <w:rFonts w:ascii="Arial" w:hAnsi="Arial" w:cs="Arial"/>
          <w:iCs/>
        </w:rPr>
        <w:t>услова</w:t>
      </w:r>
      <w:r w:rsidR="007B6BE3" w:rsidRPr="0087376B">
        <w:rPr>
          <w:rFonts w:ascii="Arial" w:hAnsi="Arial" w:cs="Arial"/>
          <w:iCs/>
        </w:rPr>
        <w:t xml:space="preserve"> </w:t>
      </w:r>
      <w:r>
        <w:rPr>
          <w:rFonts w:ascii="Arial" w:hAnsi="Arial" w:cs="Arial"/>
          <w:iCs/>
        </w:rPr>
        <w:t>који</w:t>
      </w:r>
      <w:r w:rsidR="007B6BE3" w:rsidRPr="0087376B">
        <w:rPr>
          <w:rFonts w:ascii="Arial" w:hAnsi="Arial" w:cs="Arial"/>
          <w:iCs/>
        </w:rPr>
        <w:t xml:space="preserve"> </w:t>
      </w:r>
      <w:r>
        <w:rPr>
          <w:rFonts w:ascii="Arial" w:hAnsi="Arial" w:cs="Arial"/>
          <w:iCs/>
        </w:rPr>
        <w:t>подразумијевају</w:t>
      </w:r>
      <w:r w:rsidR="007B6BE3" w:rsidRPr="0087376B">
        <w:rPr>
          <w:rFonts w:ascii="Arial" w:hAnsi="Arial" w:cs="Arial"/>
          <w:iCs/>
        </w:rPr>
        <w:t xml:space="preserve"> </w:t>
      </w:r>
      <w:r>
        <w:rPr>
          <w:rFonts w:ascii="Arial" w:hAnsi="Arial" w:cs="Arial"/>
          <w:iCs/>
        </w:rPr>
        <w:t>кредите</w:t>
      </w:r>
      <w:r w:rsidR="007B6BE3" w:rsidRPr="0087376B">
        <w:rPr>
          <w:rFonts w:ascii="Arial" w:hAnsi="Arial" w:cs="Arial"/>
          <w:iCs/>
        </w:rPr>
        <w:t xml:space="preserve"> </w:t>
      </w:r>
      <w:r>
        <w:rPr>
          <w:rFonts w:ascii="Arial" w:hAnsi="Arial" w:cs="Arial"/>
          <w:iCs/>
        </w:rPr>
        <w:t>са</w:t>
      </w:r>
      <w:r w:rsidR="007B6BE3" w:rsidRPr="0087376B">
        <w:rPr>
          <w:rFonts w:ascii="Arial" w:hAnsi="Arial" w:cs="Arial"/>
          <w:iCs/>
        </w:rPr>
        <w:t xml:space="preserve"> </w:t>
      </w:r>
      <w:r>
        <w:rPr>
          <w:rFonts w:ascii="Arial" w:hAnsi="Arial" w:cs="Arial"/>
          <w:iCs/>
        </w:rPr>
        <w:t>већински</w:t>
      </w:r>
      <w:r w:rsidR="007B6BE3" w:rsidRPr="0087376B">
        <w:rPr>
          <w:rFonts w:ascii="Arial" w:hAnsi="Arial" w:cs="Arial"/>
          <w:iCs/>
        </w:rPr>
        <w:t xml:space="preserve"> </w:t>
      </w:r>
      <w:r>
        <w:rPr>
          <w:rFonts w:ascii="Arial" w:hAnsi="Arial" w:cs="Arial"/>
          <w:iCs/>
        </w:rPr>
        <w:t>уговореном</w:t>
      </w:r>
      <w:r w:rsidR="007B6BE3" w:rsidRPr="0087376B">
        <w:rPr>
          <w:rFonts w:ascii="Arial" w:hAnsi="Arial" w:cs="Arial"/>
          <w:iCs/>
        </w:rPr>
        <w:t xml:space="preserve"> </w:t>
      </w:r>
      <w:r>
        <w:rPr>
          <w:rFonts w:ascii="Arial" w:hAnsi="Arial" w:cs="Arial"/>
          <w:iCs/>
        </w:rPr>
        <w:t>промјењивом</w:t>
      </w:r>
      <w:r w:rsidR="007B6BE3" w:rsidRPr="0087376B">
        <w:rPr>
          <w:rFonts w:ascii="Arial" w:hAnsi="Arial" w:cs="Arial"/>
          <w:iCs/>
        </w:rPr>
        <w:t xml:space="preserve"> </w:t>
      </w:r>
      <w:r>
        <w:rPr>
          <w:rFonts w:ascii="Arial" w:hAnsi="Arial" w:cs="Arial"/>
          <w:iCs/>
        </w:rPr>
        <w:t>каматном</w:t>
      </w:r>
      <w:r w:rsidR="007B6BE3" w:rsidRPr="0087376B">
        <w:rPr>
          <w:rFonts w:ascii="Arial" w:hAnsi="Arial" w:cs="Arial"/>
          <w:iCs/>
        </w:rPr>
        <w:t xml:space="preserve"> </w:t>
      </w:r>
      <w:r>
        <w:rPr>
          <w:rFonts w:ascii="Arial" w:hAnsi="Arial" w:cs="Arial"/>
          <w:iCs/>
        </w:rPr>
        <w:t>стопом</w:t>
      </w:r>
      <w:r w:rsidR="007B6BE3" w:rsidRPr="0087376B">
        <w:rPr>
          <w:rFonts w:ascii="Arial" w:hAnsi="Arial" w:cs="Arial"/>
          <w:iCs/>
        </w:rPr>
        <w:t xml:space="preserve"> </w:t>
      </w:r>
      <w:r>
        <w:rPr>
          <w:rFonts w:ascii="Arial" w:hAnsi="Arial" w:cs="Arial"/>
          <w:iCs/>
        </w:rPr>
        <w:t>уз</w:t>
      </w:r>
      <w:r w:rsidR="007B6BE3" w:rsidRPr="0087376B">
        <w:rPr>
          <w:rFonts w:ascii="Arial" w:hAnsi="Arial" w:cs="Arial"/>
          <w:iCs/>
        </w:rPr>
        <w:t xml:space="preserve"> </w:t>
      </w:r>
      <w:r>
        <w:rPr>
          <w:rFonts w:ascii="Arial" w:hAnsi="Arial" w:cs="Arial"/>
          <w:iCs/>
        </w:rPr>
        <w:t>преферирану</w:t>
      </w:r>
      <w:r w:rsidR="007B6BE3" w:rsidRPr="0087376B">
        <w:rPr>
          <w:rFonts w:ascii="Arial" w:hAnsi="Arial" w:cs="Arial"/>
          <w:iCs/>
        </w:rPr>
        <w:t xml:space="preserve"> </w:t>
      </w:r>
      <w:r>
        <w:rPr>
          <w:rFonts w:ascii="Arial" w:hAnsi="Arial" w:cs="Arial"/>
          <w:iCs/>
        </w:rPr>
        <w:t>валуту</w:t>
      </w:r>
      <w:r w:rsidR="007B6BE3" w:rsidRPr="0087376B">
        <w:rPr>
          <w:rFonts w:ascii="Arial" w:hAnsi="Arial" w:cs="Arial"/>
          <w:iCs/>
        </w:rPr>
        <w:t xml:space="preserve"> </w:t>
      </w:r>
      <w:r>
        <w:rPr>
          <w:rFonts w:ascii="Arial" w:hAnsi="Arial" w:cs="Arial"/>
          <w:iCs/>
        </w:rPr>
        <w:t>ЕУР</w:t>
      </w:r>
      <w:r w:rsidR="007B6BE3" w:rsidRPr="0087376B">
        <w:rPr>
          <w:rFonts w:ascii="Arial" w:hAnsi="Arial" w:cs="Arial"/>
          <w:iCs/>
        </w:rPr>
        <w:t xml:space="preserve">. </w:t>
      </w:r>
    </w:p>
    <w:p w14:paraId="63F43C38" w14:textId="77777777" w:rsidR="007B6BE3" w:rsidRPr="0087376B" w:rsidRDefault="007B6BE3" w:rsidP="007B6BE3">
      <w:pPr>
        <w:spacing w:after="0"/>
        <w:jc w:val="both"/>
        <w:rPr>
          <w:rFonts w:ascii="Arial" w:hAnsi="Arial" w:cs="Arial"/>
          <w:b/>
          <w:iCs/>
        </w:rPr>
      </w:pPr>
    </w:p>
    <w:p w14:paraId="2BB72861" w14:textId="77777777" w:rsidR="007B6BE3" w:rsidRPr="0087376B" w:rsidRDefault="005B20F8" w:rsidP="007B6BE3">
      <w:pPr>
        <w:spacing w:after="0"/>
        <w:jc w:val="both"/>
        <w:rPr>
          <w:rFonts w:ascii="Arial" w:hAnsi="Arial" w:cs="Arial"/>
          <w:iCs/>
        </w:rPr>
      </w:pPr>
      <w:r>
        <w:rPr>
          <w:rFonts w:ascii="Arial" w:hAnsi="Arial" w:cs="Arial"/>
          <w:b/>
          <w:iCs/>
        </w:rPr>
        <w:t>Стратегија</w:t>
      </w:r>
      <w:r w:rsidR="007B6BE3" w:rsidRPr="0087376B">
        <w:rPr>
          <w:rFonts w:ascii="Arial" w:hAnsi="Arial" w:cs="Arial"/>
          <w:b/>
          <w:iCs/>
        </w:rPr>
        <w:t xml:space="preserve"> 3 </w:t>
      </w:r>
      <w:r w:rsidR="007B6BE3" w:rsidRPr="0087376B">
        <w:rPr>
          <w:rFonts w:ascii="Arial" w:hAnsi="Arial" w:cs="Arial"/>
          <w:iCs/>
        </w:rPr>
        <w:t>(</w:t>
      </w:r>
      <w:r>
        <w:rPr>
          <w:rFonts w:ascii="Arial" w:hAnsi="Arial" w:cs="Arial"/>
          <w:iCs/>
        </w:rPr>
        <w:t>С</w:t>
      </w:r>
      <w:r w:rsidR="007B6BE3" w:rsidRPr="0087376B">
        <w:rPr>
          <w:rFonts w:ascii="Arial" w:hAnsi="Arial" w:cs="Arial"/>
          <w:iCs/>
        </w:rPr>
        <w:t xml:space="preserve">3):  </w:t>
      </w:r>
      <w:bookmarkStart w:id="122" w:name="_Hlk148352949"/>
      <w:r>
        <w:rPr>
          <w:rFonts w:ascii="Arial" w:hAnsi="Arial" w:cs="Arial"/>
          <w:bCs/>
          <w:iCs/>
        </w:rPr>
        <w:t>базира</w:t>
      </w:r>
      <w:r w:rsidR="007B6BE3" w:rsidRPr="0087376B">
        <w:rPr>
          <w:rFonts w:ascii="Arial" w:hAnsi="Arial" w:cs="Arial"/>
          <w:bCs/>
          <w:iCs/>
        </w:rPr>
        <w:t xml:space="preserve"> </w:t>
      </w:r>
      <w:r>
        <w:rPr>
          <w:rFonts w:ascii="Arial" w:hAnsi="Arial" w:cs="Arial"/>
          <w:bCs/>
          <w:iCs/>
        </w:rPr>
        <w:t>се</w:t>
      </w:r>
      <w:r w:rsidR="007B6BE3" w:rsidRPr="0087376B">
        <w:rPr>
          <w:rFonts w:ascii="Arial" w:hAnsi="Arial" w:cs="Arial"/>
          <w:bCs/>
          <w:iCs/>
        </w:rPr>
        <w:t xml:space="preserve"> </w:t>
      </w:r>
      <w:r>
        <w:rPr>
          <w:rFonts w:ascii="Arial" w:hAnsi="Arial" w:cs="Arial"/>
          <w:bCs/>
          <w:iCs/>
        </w:rPr>
        <w:t>на</w:t>
      </w:r>
      <w:r w:rsidR="007B6BE3" w:rsidRPr="0087376B">
        <w:rPr>
          <w:rFonts w:ascii="Arial" w:hAnsi="Arial" w:cs="Arial"/>
          <w:iCs/>
        </w:rPr>
        <w:t xml:space="preserve"> </w:t>
      </w:r>
      <w:r>
        <w:rPr>
          <w:rFonts w:ascii="Arial" w:hAnsi="Arial" w:cs="Arial"/>
          <w:bCs/>
          <w:iCs/>
        </w:rPr>
        <w:t>досадашњем</w:t>
      </w:r>
      <w:r w:rsidR="007B6BE3" w:rsidRPr="0087376B">
        <w:rPr>
          <w:rFonts w:ascii="Arial" w:hAnsi="Arial" w:cs="Arial"/>
          <w:bCs/>
          <w:iCs/>
        </w:rPr>
        <w:t xml:space="preserve"> </w:t>
      </w:r>
      <w:r>
        <w:rPr>
          <w:rFonts w:ascii="Arial" w:hAnsi="Arial" w:cs="Arial"/>
          <w:bCs/>
          <w:iCs/>
        </w:rPr>
        <w:t>задуживању</w:t>
      </w:r>
      <w:r w:rsidR="007B6BE3" w:rsidRPr="0087376B">
        <w:rPr>
          <w:rFonts w:ascii="Arial" w:hAnsi="Arial" w:cs="Arial"/>
          <w:bCs/>
          <w:iCs/>
        </w:rPr>
        <w:t xml:space="preserve"> </w:t>
      </w:r>
      <w:r>
        <w:rPr>
          <w:rFonts w:ascii="Arial" w:hAnsi="Arial" w:cs="Arial"/>
          <w:bCs/>
          <w:iCs/>
        </w:rPr>
        <w:t>Федерације</w:t>
      </w:r>
      <w:r w:rsidR="007B6BE3" w:rsidRPr="0087376B">
        <w:rPr>
          <w:rFonts w:ascii="Arial" w:hAnsi="Arial" w:cs="Arial"/>
          <w:bCs/>
          <w:iCs/>
        </w:rPr>
        <w:t xml:space="preserve"> </w:t>
      </w:r>
      <w:r>
        <w:rPr>
          <w:rFonts w:ascii="Arial" w:hAnsi="Arial" w:cs="Arial"/>
          <w:bCs/>
          <w:iCs/>
        </w:rPr>
        <w:t>БиХ</w:t>
      </w:r>
      <w:r w:rsidR="007B6BE3" w:rsidRPr="0087376B">
        <w:rPr>
          <w:rFonts w:ascii="Arial" w:hAnsi="Arial" w:cs="Arial"/>
          <w:bCs/>
          <w:iCs/>
        </w:rPr>
        <w:t xml:space="preserve"> </w:t>
      </w:r>
      <w:r w:rsidR="007B6BE3" w:rsidRPr="0087376B">
        <w:rPr>
          <w:rFonts w:ascii="Arial" w:hAnsi="Arial" w:cs="Arial"/>
          <w:iCs/>
        </w:rPr>
        <w:t xml:space="preserve"> </w:t>
      </w:r>
      <w:r>
        <w:rPr>
          <w:rFonts w:ascii="Arial" w:hAnsi="Arial" w:cs="Arial"/>
          <w:bCs/>
          <w:iCs/>
        </w:rPr>
        <w:t>у</w:t>
      </w:r>
      <w:r w:rsidR="007B6BE3" w:rsidRPr="0087376B">
        <w:rPr>
          <w:rFonts w:ascii="Arial" w:hAnsi="Arial" w:cs="Arial"/>
          <w:bCs/>
          <w:iCs/>
        </w:rPr>
        <w:t xml:space="preserve"> </w:t>
      </w:r>
      <w:r>
        <w:rPr>
          <w:rFonts w:ascii="Arial" w:hAnsi="Arial" w:cs="Arial"/>
          <w:bCs/>
          <w:iCs/>
        </w:rPr>
        <w:t>складу</w:t>
      </w:r>
      <w:r w:rsidR="007B6BE3" w:rsidRPr="0087376B">
        <w:rPr>
          <w:rFonts w:ascii="Arial" w:hAnsi="Arial" w:cs="Arial"/>
          <w:bCs/>
          <w:iCs/>
        </w:rPr>
        <w:t xml:space="preserve"> </w:t>
      </w:r>
      <w:r>
        <w:rPr>
          <w:rFonts w:ascii="Arial" w:hAnsi="Arial" w:cs="Arial"/>
          <w:bCs/>
          <w:iCs/>
        </w:rPr>
        <w:t>с</w:t>
      </w:r>
      <w:r w:rsidR="007B6BE3" w:rsidRPr="0087376B">
        <w:rPr>
          <w:rFonts w:ascii="Arial" w:hAnsi="Arial" w:cs="Arial"/>
          <w:bCs/>
          <w:iCs/>
        </w:rPr>
        <w:t xml:space="preserve"> </w:t>
      </w:r>
      <w:r>
        <w:rPr>
          <w:rFonts w:ascii="Arial" w:hAnsi="Arial" w:cs="Arial"/>
          <w:bCs/>
          <w:iCs/>
        </w:rPr>
        <w:t>Буџетом</w:t>
      </w:r>
      <w:r w:rsidR="007B6BE3" w:rsidRPr="0087376B">
        <w:rPr>
          <w:rFonts w:ascii="Arial" w:hAnsi="Arial" w:cs="Arial"/>
          <w:bCs/>
          <w:iCs/>
        </w:rPr>
        <w:t xml:space="preserve"> </w:t>
      </w:r>
      <w:r>
        <w:rPr>
          <w:rFonts w:ascii="Arial" w:hAnsi="Arial" w:cs="Arial"/>
          <w:bCs/>
          <w:iCs/>
        </w:rPr>
        <w:t>Федерације</w:t>
      </w:r>
      <w:r w:rsidR="007B6BE3" w:rsidRPr="0087376B">
        <w:rPr>
          <w:rFonts w:ascii="Arial" w:hAnsi="Arial" w:cs="Arial"/>
          <w:bCs/>
          <w:iCs/>
        </w:rPr>
        <w:t xml:space="preserve"> </w:t>
      </w:r>
      <w:r>
        <w:rPr>
          <w:rFonts w:ascii="Arial" w:hAnsi="Arial" w:cs="Arial"/>
          <w:bCs/>
          <w:iCs/>
        </w:rPr>
        <w:t>БиХ</w:t>
      </w:r>
      <w:r w:rsidR="007B6BE3" w:rsidRPr="0087376B">
        <w:rPr>
          <w:rFonts w:ascii="Arial" w:hAnsi="Arial" w:cs="Arial"/>
          <w:bCs/>
          <w:iCs/>
        </w:rPr>
        <w:t xml:space="preserve"> </w:t>
      </w:r>
      <w:r>
        <w:rPr>
          <w:rFonts w:ascii="Arial" w:hAnsi="Arial" w:cs="Arial"/>
          <w:bCs/>
          <w:iCs/>
        </w:rPr>
        <w:t>за</w:t>
      </w:r>
      <w:r w:rsidR="007B6BE3" w:rsidRPr="0087376B">
        <w:rPr>
          <w:rFonts w:ascii="Arial" w:hAnsi="Arial" w:cs="Arial"/>
          <w:bCs/>
          <w:iCs/>
        </w:rPr>
        <w:t xml:space="preserve"> 2023. </w:t>
      </w:r>
      <w:r>
        <w:rPr>
          <w:rFonts w:ascii="Arial" w:hAnsi="Arial" w:cs="Arial"/>
          <w:bCs/>
          <w:iCs/>
        </w:rPr>
        <w:t>годину</w:t>
      </w:r>
      <w:r w:rsidR="007B6BE3" w:rsidRPr="0087376B">
        <w:rPr>
          <w:rFonts w:ascii="Arial" w:hAnsi="Arial" w:cs="Arial"/>
          <w:bCs/>
          <w:iCs/>
        </w:rPr>
        <w:t xml:space="preserve">, </w:t>
      </w:r>
      <w:r>
        <w:rPr>
          <w:rFonts w:ascii="Arial" w:hAnsi="Arial" w:cs="Arial"/>
          <w:bCs/>
          <w:iCs/>
        </w:rPr>
        <w:t>Документом</w:t>
      </w:r>
      <w:r w:rsidR="007B6BE3" w:rsidRPr="0087376B">
        <w:rPr>
          <w:rFonts w:ascii="Arial" w:hAnsi="Arial" w:cs="Arial"/>
          <w:bCs/>
          <w:iCs/>
        </w:rPr>
        <w:t xml:space="preserve"> </w:t>
      </w:r>
      <w:r>
        <w:rPr>
          <w:rFonts w:ascii="Arial" w:hAnsi="Arial" w:cs="Arial"/>
          <w:bCs/>
          <w:iCs/>
        </w:rPr>
        <w:t>оквирног</w:t>
      </w:r>
      <w:r w:rsidR="007B6BE3" w:rsidRPr="0087376B">
        <w:rPr>
          <w:rFonts w:ascii="Arial" w:hAnsi="Arial" w:cs="Arial"/>
          <w:bCs/>
          <w:iCs/>
        </w:rPr>
        <w:t xml:space="preserve"> </w:t>
      </w:r>
      <w:r>
        <w:rPr>
          <w:rFonts w:ascii="Arial" w:hAnsi="Arial" w:cs="Arial"/>
          <w:bCs/>
          <w:iCs/>
        </w:rPr>
        <w:t>буџета</w:t>
      </w:r>
      <w:r w:rsidR="007B6BE3" w:rsidRPr="0087376B">
        <w:rPr>
          <w:rFonts w:ascii="Arial" w:hAnsi="Arial" w:cs="Arial"/>
          <w:bCs/>
          <w:iCs/>
        </w:rPr>
        <w:t xml:space="preserve"> </w:t>
      </w:r>
      <w:r>
        <w:rPr>
          <w:rFonts w:ascii="Arial" w:hAnsi="Arial" w:cs="Arial"/>
          <w:bCs/>
          <w:iCs/>
        </w:rPr>
        <w:t>Федерације</w:t>
      </w:r>
      <w:r w:rsidR="007B6BE3" w:rsidRPr="0087376B">
        <w:rPr>
          <w:rFonts w:ascii="Arial" w:hAnsi="Arial" w:cs="Arial"/>
          <w:bCs/>
          <w:iCs/>
        </w:rPr>
        <w:t xml:space="preserve"> </w:t>
      </w:r>
      <w:r>
        <w:rPr>
          <w:rFonts w:ascii="Arial" w:hAnsi="Arial" w:cs="Arial"/>
          <w:bCs/>
          <w:iCs/>
        </w:rPr>
        <w:t>БиХ</w:t>
      </w:r>
      <w:r w:rsidR="007B6BE3" w:rsidRPr="0087376B">
        <w:rPr>
          <w:rFonts w:ascii="Arial" w:hAnsi="Arial" w:cs="Arial"/>
          <w:bCs/>
          <w:iCs/>
        </w:rPr>
        <w:t xml:space="preserve"> </w:t>
      </w:r>
      <w:r>
        <w:rPr>
          <w:rFonts w:ascii="Arial" w:hAnsi="Arial" w:cs="Arial"/>
          <w:bCs/>
          <w:iCs/>
        </w:rPr>
        <w:t>у</w:t>
      </w:r>
      <w:r w:rsidR="007B6BE3" w:rsidRPr="0087376B">
        <w:rPr>
          <w:rFonts w:ascii="Arial" w:hAnsi="Arial" w:cs="Arial"/>
          <w:bCs/>
          <w:iCs/>
        </w:rPr>
        <w:t xml:space="preserve"> </w:t>
      </w:r>
      <w:r>
        <w:rPr>
          <w:rFonts w:ascii="Arial" w:hAnsi="Arial" w:cs="Arial"/>
          <w:bCs/>
          <w:iCs/>
        </w:rPr>
        <w:t>раздобљу</w:t>
      </w:r>
      <w:r w:rsidR="007B6BE3" w:rsidRPr="0087376B">
        <w:rPr>
          <w:rFonts w:ascii="Arial" w:hAnsi="Arial" w:cs="Arial"/>
          <w:bCs/>
          <w:iCs/>
        </w:rPr>
        <w:t xml:space="preserve"> 2023-2025. </w:t>
      </w:r>
      <w:r>
        <w:rPr>
          <w:rFonts w:ascii="Arial" w:hAnsi="Arial" w:cs="Arial"/>
          <w:bCs/>
          <w:iCs/>
        </w:rPr>
        <w:t>година</w:t>
      </w:r>
      <w:r w:rsidR="007B6BE3" w:rsidRPr="0087376B">
        <w:rPr>
          <w:rFonts w:ascii="Arial" w:hAnsi="Arial" w:cs="Arial"/>
          <w:bCs/>
          <w:iCs/>
        </w:rPr>
        <w:t xml:space="preserve"> </w:t>
      </w:r>
      <w:r>
        <w:rPr>
          <w:rFonts w:ascii="Arial" w:hAnsi="Arial" w:cs="Arial"/>
          <w:bCs/>
          <w:iCs/>
        </w:rPr>
        <w:t>и</w:t>
      </w:r>
      <w:r w:rsidR="007B6BE3" w:rsidRPr="0087376B">
        <w:rPr>
          <w:rFonts w:ascii="Arial" w:hAnsi="Arial" w:cs="Arial"/>
          <w:bCs/>
          <w:iCs/>
        </w:rPr>
        <w:t xml:space="preserve"> </w:t>
      </w:r>
      <w:r>
        <w:rPr>
          <w:rFonts w:ascii="Arial" w:hAnsi="Arial" w:cs="Arial"/>
          <w:bCs/>
          <w:iCs/>
        </w:rPr>
        <w:t>ПЈИ</w:t>
      </w:r>
      <w:r w:rsidR="007B6BE3" w:rsidRPr="0087376B">
        <w:rPr>
          <w:rFonts w:ascii="Arial" w:hAnsi="Arial" w:cs="Arial"/>
          <w:bCs/>
          <w:iCs/>
        </w:rPr>
        <w:t>-</w:t>
      </w:r>
      <w:r>
        <w:rPr>
          <w:rFonts w:ascii="Arial" w:hAnsi="Arial" w:cs="Arial"/>
          <w:bCs/>
          <w:iCs/>
        </w:rPr>
        <w:t>а</w:t>
      </w:r>
      <w:r w:rsidR="007B6BE3" w:rsidRPr="0087376B">
        <w:rPr>
          <w:rFonts w:ascii="Arial" w:hAnsi="Arial" w:cs="Arial"/>
          <w:bCs/>
          <w:iCs/>
        </w:rPr>
        <w:t xml:space="preserve"> </w:t>
      </w:r>
      <w:r>
        <w:rPr>
          <w:rFonts w:ascii="Arial" w:hAnsi="Arial" w:cs="Arial"/>
          <w:bCs/>
          <w:iCs/>
        </w:rPr>
        <w:t>за</w:t>
      </w:r>
      <w:r w:rsidR="007B6BE3" w:rsidRPr="0087376B">
        <w:rPr>
          <w:rFonts w:ascii="Arial" w:hAnsi="Arial" w:cs="Arial"/>
          <w:bCs/>
          <w:iCs/>
        </w:rPr>
        <w:t xml:space="preserve"> </w:t>
      </w:r>
      <w:r>
        <w:rPr>
          <w:rFonts w:ascii="Arial" w:hAnsi="Arial" w:cs="Arial"/>
          <w:bCs/>
          <w:iCs/>
        </w:rPr>
        <w:t>раздобље</w:t>
      </w:r>
      <w:r w:rsidR="007B6BE3" w:rsidRPr="0087376B">
        <w:rPr>
          <w:rFonts w:ascii="Arial" w:hAnsi="Arial" w:cs="Arial"/>
          <w:bCs/>
          <w:iCs/>
        </w:rPr>
        <w:t xml:space="preserve"> 2023-2025. </w:t>
      </w:r>
      <w:r>
        <w:rPr>
          <w:rFonts w:ascii="Arial" w:hAnsi="Arial" w:cs="Arial"/>
          <w:bCs/>
          <w:iCs/>
        </w:rPr>
        <w:t>године</w:t>
      </w:r>
      <w:r w:rsidR="007B6BE3" w:rsidRPr="0087376B">
        <w:rPr>
          <w:rFonts w:ascii="Arial" w:hAnsi="Arial" w:cs="Arial"/>
          <w:bCs/>
          <w:iCs/>
        </w:rPr>
        <w:t xml:space="preserve"> </w:t>
      </w:r>
      <w:r>
        <w:rPr>
          <w:rFonts w:ascii="Arial" w:hAnsi="Arial" w:cs="Arial"/>
          <w:bCs/>
          <w:iCs/>
        </w:rPr>
        <w:t>с</w:t>
      </w:r>
      <w:r w:rsidR="007B6BE3" w:rsidRPr="0087376B">
        <w:rPr>
          <w:rFonts w:ascii="Arial" w:hAnsi="Arial" w:cs="Arial"/>
          <w:bCs/>
          <w:iCs/>
        </w:rPr>
        <w:t xml:space="preserve"> </w:t>
      </w:r>
      <w:r>
        <w:rPr>
          <w:rFonts w:ascii="Arial" w:hAnsi="Arial" w:cs="Arial"/>
          <w:bCs/>
          <w:iCs/>
        </w:rPr>
        <w:t>претпоставком</w:t>
      </w:r>
      <w:r w:rsidR="007B6BE3" w:rsidRPr="0087376B">
        <w:rPr>
          <w:rFonts w:ascii="Arial" w:hAnsi="Arial" w:cs="Arial"/>
          <w:bCs/>
          <w:iCs/>
        </w:rPr>
        <w:t xml:space="preserve"> </w:t>
      </w:r>
      <w:r w:rsidR="007B6BE3" w:rsidRPr="0087376B">
        <w:rPr>
          <w:rFonts w:ascii="Arial" w:hAnsi="Arial" w:cs="Arial"/>
          <w:iCs/>
        </w:rPr>
        <w:t xml:space="preserve"> </w:t>
      </w:r>
      <w:r>
        <w:rPr>
          <w:rFonts w:ascii="Arial" w:hAnsi="Arial" w:cs="Arial"/>
          <w:iCs/>
        </w:rPr>
        <w:t>кредитних</w:t>
      </w:r>
      <w:r w:rsidR="007B6BE3" w:rsidRPr="0087376B">
        <w:rPr>
          <w:rFonts w:ascii="Arial" w:hAnsi="Arial" w:cs="Arial"/>
          <w:iCs/>
        </w:rPr>
        <w:t xml:space="preserve"> </w:t>
      </w:r>
      <w:r>
        <w:rPr>
          <w:rFonts w:ascii="Arial" w:hAnsi="Arial" w:cs="Arial"/>
          <w:iCs/>
        </w:rPr>
        <w:t>услова</w:t>
      </w:r>
      <w:r w:rsidR="007B6BE3" w:rsidRPr="0087376B">
        <w:rPr>
          <w:rFonts w:ascii="Arial" w:hAnsi="Arial" w:cs="Arial"/>
          <w:iCs/>
        </w:rPr>
        <w:t xml:space="preserve"> </w:t>
      </w:r>
      <w:r>
        <w:rPr>
          <w:rFonts w:ascii="Arial" w:hAnsi="Arial" w:cs="Arial"/>
          <w:iCs/>
        </w:rPr>
        <w:t>који</w:t>
      </w:r>
      <w:r w:rsidR="007B6BE3" w:rsidRPr="0087376B">
        <w:rPr>
          <w:rFonts w:ascii="Arial" w:hAnsi="Arial" w:cs="Arial"/>
          <w:iCs/>
        </w:rPr>
        <w:t xml:space="preserve"> </w:t>
      </w:r>
      <w:r>
        <w:rPr>
          <w:rFonts w:ascii="Arial" w:hAnsi="Arial" w:cs="Arial"/>
          <w:iCs/>
        </w:rPr>
        <w:t>подразумијевају</w:t>
      </w:r>
      <w:r w:rsidR="007B6BE3" w:rsidRPr="0087376B">
        <w:rPr>
          <w:rFonts w:ascii="Arial" w:hAnsi="Arial" w:cs="Arial"/>
          <w:iCs/>
        </w:rPr>
        <w:t xml:space="preserve"> </w:t>
      </w:r>
      <w:r>
        <w:rPr>
          <w:rFonts w:ascii="Arial" w:hAnsi="Arial" w:cs="Arial"/>
          <w:iCs/>
        </w:rPr>
        <w:t>кредите</w:t>
      </w:r>
      <w:r w:rsidR="007B6BE3" w:rsidRPr="0087376B">
        <w:rPr>
          <w:rFonts w:ascii="Arial" w:hAnsi="Arial" w:cs="Arial"/>
          <w:iCs/>
        </w:rPr>
        <w:t xml:space="preserve"> </w:t>
      </w:r>
      <w:r>
        <w:rPr>
          <w:rFonts w:ascii="Arial" w:hAnsi="Arial" w:cs="Arial"/>
          <w:iCs/>
        </w:rPr>
        <w:t>са</w:t>
      </w:r>
      <w:r w:rsidR="007B6BE3" w:rsidRPr="0087376B">
        <w:rPr>
          <w:rFonts w:ascii="Arial" w:hAnsi="Arial" w:cs="Arial"/>
          <w:iCs/>
        </w:rPr>
        <w:t xml:space="preserve"> </w:t>
      </w:r>
      <w:r>
        <w:rPr>
          <w:rFonts w:ascii="Arial" w:hAnsi="Arial" w:cs="Arial"/>
          <w:iCs/>
        </w:rPr>
        <w:t>већински</w:t>
      </w:r>
      <w:r w:rsidR="007B6BE3" w:rsidRPr="0087376B">
        <w:rPr>
          <w:rFonts w:ascii="Arial" w:hAnsi="Arial" w:cs="Arial"/>
          <w:iCs/>
        </w:rPr>
        <w:t xml:space="preserve"> </w:t>
      </w:r>
      <w:r>
        <w:rPr>
          <w:rFonts w:ascii="Arial" w:hAnsi="Arial" w:cs="Arial"/>
          <w:iCs/>
        </w:rPr>
        <w:t>уговореном</w:t>
      </w:r>
      <w:r w:rsidR="007B6BE3" w:rsidRPr="0087376B">
        <w:rPr>
          <w:rFonts w:ascii="Arial" w:hAnsi="Arial" w:cs="Arial"/>
          <w:iCs/>
        </w:rPr>
        <w:t xml:space="preserve"> </w:t>
      </w:r>
      <w:r>
        <w:rPr>
          <w:rFonts w:ascii="Arial" w:hAnsi="Arial" w:cs="Arial"/>
          <w:iCs/>
        </w:rPr>
        <w:t>фиксном</w:t>
      </w:r>
      <w:r w:rsidR="007B6BE3" w:rsidRPr="0087376B">
        <w:rPr>
          <w:rFonts w:ascii="Arial" w:hAnsi="Arial" w:cs="Arial"/>
          <w:iCs/>
        </w:rPr>
        <w:t xml:space="preserve"> </w:t>
      </w:r>
      <w:r>
        <w:rPr>
          <w:rFonts w:ascii="Arial" w:hAnsi="Arial" w:cs="Arial"/>
          <w:iCs/>
        </w:rPr>
        <w:t>каматном</w:t>
      </w:r>
      <w:r w:rsidR="007B6BE3" w:rsidRPr="0087376B">
        <w:rPr>
          <w:rFonts w:ascii="Arial" w:hAnsi="Arial" w:cs="Arial"/>
          <w:iCs/>
        </w:rPr>
        <w:t xml:space="preserve"> </w:t>
      </w:r>
      <w:r>
        <w:rPr>
          <w:rFonts w:ascii="Arial" w:hAnsi="Arial" w:cs="Arial"/>
          <w:iCs/>
        </w:rPr>
        <w:t>стопом</w:t>
      </w:r>
      <w:r w:rsidR="007B6BE3" w:rsidRPr="0087376B">
        <w:rPr>
          <w:rFonts w:ascii="Arial" w:hAnsi="Arial" w:cs="Arial"/>
          <w:iCs/>
        </w:rPr>
        <w:t xml:space="preserve"> </w:t>
      </w:r>
      <w:r>
        <w:rPr>
          <w:rFonts w:ascii="Arial" w:hAnsi="Arial" w:cs="Arial"/>
          <w:iCs/>
        </w:rPr>
        <w:t>уз</w:t>
      </w:r>
      <w:r w:rsidR="007B6BE3" w:rsidRPr="0087376B">
        <w:rPr>
          <w:rFonts w:ascii="Arial" w:hAnsi="Arial" w:cs="Arial"/>
          <w:iCs/>
        </w:rPr>
        <w:t xml:space="preserve"> </w:t>
      </w:r>
      <w:r>
        <w:rPr>
          <w:rFonts w:ascii="Arial" w:hAnsi="Arial" w:cs="Arial"/>
          <w:iCs/>
        </w:rPr>
        <w:t>преферирану</w:t>
      </w:r>
      <w:r w:rsidR="007B6BE3" w:rsidRPr="0087376B">
        <w:rPr>
          <w:rFonts w:ascii="Arial" w:hAnsi="Arial" w:cs="Arial"/>
          <w:iCs/>
        </w:rPr>
        <w:t xml:space="preserve"> </w:t>
      </w:r>
      <w:r>
        <w:rPr>
          <w:rFonts w:ascii="Arial" w:hAnsi="Arial" w:cs="Arial"/>
          <w:iCs/>
        </w:rPr>
        <w:t>валуту</w:t>
      </w:r>
      <w:r w:rsidR="007B6BE3" w:rsidRPr="0087376B">
        <w:rPr>
          <w:rFonts w:ascii="Arial" w:hAnsi="Arial" w:cs="Arial"/>
          <w:iCs/>
        </w:rPr>
        <w:t xml:space="preserve"> </w:t>
      </w:r>
      <w:r>
        <w:rPr>
          <w:rFonts w:ascii="Arial" w:hAnsi="Arial" w:cs="Arial"/>
          <w:iCs/>
        </w:rPr>
        <w:t>ЕУР</w:t>
      </w:r>
      <w:r w:rsidR="007B6BE3" w:rsidRPr="0087376B">
        <w:rPr>
          <w:rFonts w:ascii="Arial" w:hAnsi="Arial" w:cs="Arial"/>
          <w:iCs/>
        </w:rPr>
        <w:t xml:space="preserve">. </w:t>
      </w:r>
      <w:bookmarkEnd w:id="122"/>
      <w:r w:rsidR="007B6BE3" w:rsidRPr="0087376B">
        <w:rPr>
          <w:rFonts w:ascii="Arial" w:hAnsi="Arial" w:cs="Arial"/>
          <w:iCs/>
        </w:rPr>
        <w:t xml:space="preserve"> </w:t>
      </w:r>
    </w:p>
    <w:p w14:paraId="2C94EAA1" w14:textId="77777777" w:rsidR="007B6BE3" w:rsidRPr="0087376B" w:rsidRDefault="007B6BE3" w:rsidP="007B6BE3">
      <w:pPr>
        <w:spacing w:after="0"/>
        <w:jc w:val="both"/>
        <w:rPr>
          <w:rFonts w:ascii="Arial" w:hAnsi="Arial" w:cs="Arial"/>
          <w:b/>
          <w:iCs/>
          <w:highlight w:val="yellow"/>
        </w:rPr>
      </w:pPr>
    </w:p>
    <w:p w14:paraId="67F9F0B6" w14:textId="77777777" w:rsidR="007B6BE3" w:rsidRPr="0087376B" w:rsidRDefault="005B20F8" w:rsidP="007B6BE3">
      <w:pPr>
        <w:spacing w:after="0"/>
        <w:jc w:val="both"/>
        <w:rPr>
          <w:rFonts w:ascii="Arial" w:hAnsi="Arial" w:cs="Arial"/>
          <w:iCs/>
        </w:rPr>
      </w:pPr>
      <w:r>
        <w:rPr>
          <w:rFonts w:ascii="Arial" w:hAnsi="Arial" w:cs="Arial"/>
          <w:b/>
          <w:iCs/>
        </w:rPr>
        <w:t>Стратегија</w:t>
      </w:r>
      <w:r w:rsidR="007B6BE3" w:rsidRPr="0087376B">
        <w:rPr>
          <w:rFonts w:ascii="Arial" w:hAnsi="Arial" w:cs="Arial"/>
          <w:b/>
          <w:iCs/>
        </w:rPr>
        <w:t xml:space="preserve"> 4</w:t>
      </w:r>
      <w:r w:rsidR="007B6BE3" w:rsidRPr="0087376B">
        <w:rPr>
          <w:rFonts w:ascii="Arial" w:hAnsi="Arial" w:cs="Arial"/>
          <w:iCs/>
        </w:rPr>
        <w:t xml:space="preserve"> (</w:t>
      </w:r>
      <w:r>
        <w:rPr>
          <w:rFonts w:ascii="Arial" w:hAnsi="Arial" w:cs="Arial"/>
          <w:iCs/>
        </w:rPr>
        <w:t>С</w:t>
      </w:r>
      <w:r w:rsidR="007B6BE3" w:rsidRPr="0087376B">
        <w:rPr>
          <w:rFonts w:ascii="Arial" w:hAnsi="Arial" w:cs="Arial"/>
          <w:iCs/>
        </w:rPr>
        <w:t xml:space="preserve">4): </w:t>
      </w:r>
      <w:r>
        <w:rPr>
          <w:rFonts w:ascii="Arial" w:hAnsi="Arial" w:cs="Arial"/>
          <w:bCs/>
          <w:iCs/>
        </w:rPr>
        <w:t>базира</w:t>
      </w:r>
      <w:r w:rsidR="007B6BE3" w:rsidRPr="0087376B">
        <w:rPr>
          <w:rFonts w:ascii="Arial" w:hAnsi="Arial" w:cs="Arial"/>
          <w:bCs/>
          <w:iCs/>
        </w:rPr>
        <w:t xml:space="preserve"> </w:t>
      </w:r>
      <w:r>
        <w:rPr>
          <w:rFonts w:ascii="Arial" w:hAnsi="Arial" w:cs="Arial"/>
          <w:bCs/>
          <w:iCs/>
        </w:rPr>
        <w:t>се</w:t>
      </w:r>
      <w:r w:rsidR="007B6BE3" w:rsidRPr="0087376B">
        <w:rPr>
          <w:rFonts w:ascii="Arial" w:hAnsi="Arial" w:cs="Arial"/>
          <w:bCs/>
          <w:iCs/>
        </w:rPr>
        <w:t xml:space="preserve"> </w:t>
      </w:r>
      <w:r>
        <w:rPr>
          <w:rFonts w:ascii="Arial" w:hAnsi="Arial" w:cs="Arial"/>
          <w:bCs/>
          <w:iCs/>
        </w:rPr>
        <w:t>на</w:t>
      </w:r>
      <w:r w:rsidR="007B6BE3" w:rsidRPr="0087376B">
        <w:rPr>
          <w:rFonts w:ascii="Arial" w:hAnsi="Arial" w:cs="Arial"/>
          <w:iCs/>
        </w:rPr>
        <w:t xml:space="preserve"> </w:t>
      </w:r>
      <w:r>
        <w:rPr>
          <w:rFonts w:ascii="Arial" w:hAnsi="Arial" w:cs="Arial"/>
          <w:bCs/>
          <w:iCs/>
        </w:rPr>
        <w:t>досадашњем</w:t>
      </w:r>
      <w:r w:rsidR="007B6BE3" w:rsidRPr="0087376B">
        <w:rPr>
          <w:rFonts w:ascii="Arial" w:hAnsi="Arial" w:cs="Arial"/>
          <w:bCs/>
          <w:iCs/>
        </w:rPr>
        <w:t xml:space="preserve"> </w:t>
      </w:r>
      <w:r>
        <w:rPr>
          <w:rFonts w:ascii="Arial" w:hAnsi="Arial" w:cs="Arial"/>
          <w:bCs/>
          <w:iCs/>
        </w:rPr>
        <w:t>задуживању</w:t>
      </w:r>
      <w:r w:rsidR="007B6BE3" w:rsidRPr="0087376B">
        <w:rPr>
          <w:rFonts w:ascii="Arial" w:hAnsi="Arial" w:cs="Arial"/>
          <w:bCs/>
          <w:iCs/>
        </w:rPr>
        <w:t xml:space="preserve"> </w:t>
      </w:r>
      <w:r>
        <w:rPr>
          <w:rFonts w:ascii="Arial" w:hAnsi="Arial" w:cs="Arial"/>
          <w:bCs/>
          <w:iCs/>
        </w:rPr>
        <w:t>Федерације</w:t>
      </w:r>
      <w:r w:rsidR="007B6BE3" w:rsidRPr="0087376B">
        <w:rPr>
          <w:rFonts w:ascii="Arial" w:hAnsi="Arial" w:cs="Arial"/>
          <w:bCs/>
          <w:iCs/>
        </w:rPr>
        <w:t xml:space="preserve"> </w:t>
      </w:r>
      <w:r>
        <w:rPr>
          <w:rFonts w:ascii="Arial" w:hAnsi="Arial" w:cs="Arial"/>
          <w:bCs/>
          <w:iCs/>
        </w:rPr>
        <w:t>БиХ</w:t>
      </w:r>
      <w:r w:rsidR="007B6BE3" w:rsidRPr="0087376B">
        <w:rPr>
          <w:rFonts w:ascii="Arial" w:hAnsi="Arial" w:cs="Arial"/>
          <w:bCs/>
          <w:iCs/>
        </w:rPr>
        <w:t xml:space="preserve"> </w:t>
      </w:r>
      <w:r w:rsidR="007B6BE3" w:rsidRPr="0087376B">
        <w:rPr>
          <w:rFonts w:ascii="Arial" w:hAnsi="Arial" w:cs="Arial"/>
          <w:iCs/>
        </w:rPr>
        <w:t xml:space="preserve"> </w:t>
      </w:r>
      <w:r>
        <w:rPr>
          <w:rFonts w:ascii="Arial" w:hAnsi="Arial" w:cs="Arial"/>
          <w:bCs/>
          <w:iCs/>
        </w:rPr>
        <w:t>у</w:t>
      </w:r>
      <w:r w:rsidR="007B6BE3" w:rsidRPr="0087376B">
        <w:rPr>
          <w:rFonts w:ascii="Arial" w:hAnsi="Arial" w:cs="Arial"/>
          <w:bCs/>
          <w:iCs/>
        </w:rPr>
        <w:t xml:space="preserve"> </w:t>
      </w:r>
      <w:r>
        <w:rPr>
          <w:rFonts w:ascii="Arial" w:hAnsi="Arial" w:cs="Arial"/>
          <w:bCs/>
          <w:iCs/>
        </w:rPr>
        <w:t>складу</w:t>
      </w:r>
      <w:r w:rsidR="007B6BE3" w:rsidRPr="0087376B">
        <w:rPr>
          <w:rFonts w:ascii="Arial" w:hAnsi="Arial" w:cs="Arial"/>
          <w:bCs/>
          <w:iCs/>
        </w:rPr>
        <w:t xml:space="preserve"> </w:t>
      </w:r>
      <w:r>
        <w:rPr>
          <w:rFonts w:ascii="Arial" w:hAnsi="Arial" w:cs="Arial"/>
          <w:bCs/>
          <w:iCs/>
        </w:rPr>
        <w:t>с</w:t>
      </w:r>
      <w:r w:rsidR="007B6BE3" w:rsidRPr="0087376B">
        <w:rPr>
          <w:rFonts w:ascii="Arial" w:hAnsi="Arial" w:cs="Arial"/>
          <w:bCs/>
          <w:iCs/>
        </w:rPr>
        <w:t xml:space="preserve"> </w:t>
      </w:r>
      <w:r>
        <w:rPr>
          <w:rFonts w:ascii="Arial" w:hAnsi="Arial" w:cs="Arial"/>
          <w:bCs/>
          <w:iCs/>
        </w:rPr>
        <w:t>Буџетом</w:t>
      </w:r>
      <w:r w:rsidR="007B6BE3" w:rsidRPr="0087376B">
        <w:rPr>
          <w:rFonts w:ascii="Arial" w:hAnsi="Arial" w:cs="Arial"/>
          <w:bCs/>
          <w:iCs/>
        </w:rPr>
        <w:t xml:space="preserve"> </w:t>
      </w:r>
      <w:r>
        <w:rPr>
          <w:rFonts w:ascii="Arial" w:hAnsi="Arial" w:cs="Arial"/>
          <w:bCs/>
          <w:iCs/>
        </w:rPr>
        <w:t>Федерације</w:t>
      </w:r>
      <w:r w:rsidR="007B6BE3" w:rsidRPr="0087376B">
        <w:rPr>
          <w:rFonts w:ascii="Arial" w:hAnsi="Arial" w:cs="Arial"/>
          <w:bCs/>
          <w:iCs/>
        </w:rPr>
        <w:t xml:space="preserve"> </w:t>
      </w:r>
      <w:r>
        <w:rPr>
          <w:rFonts w:ascii="Arial" w:hAnsi="Arial" w:cs="Arial"/>
          <w:bCs/>
          <w:iCs/>
        </w:rPr>
        <w:t>БиХ</w:t>
      </w:r>
      <w:r w:rsidR="007B6BE3" w:rsidRPr="0087376B">
        <w:rPr>
          <w:rFonts w:ascii="Arial" w:hAnsi="Arial" w:cs="Arial"/>
          <w:bCs/>
          <w:iCs/>
        </w:rPr>
        <w:t xml:space="preserve"> </w:t>
      </w:r>
      <w:r>
        <w:rPr>
          <w:rFonts w:ascii="Arial" w:hAnsi="Arial" w:cs="Arial"/>
          <w:bCs/>
          <w:iCs/>
        </w:rPr>
        <w:t>за</w:t>
      </w:r>
      <w:r w:rsidR="007B6BE3" w:rsidRPr="0087376B">
        <w:rPr>
          <w:rFonts w:ascii="Arial" w:hAnsi="Arial" w:cs="Arial"/>
          <w:bCs/>
          <w:iCs/>
        </w:rPr>
        <w:t xml:space="preserve"> 2023. </w:t>
      </w:r>
      <w:r>
        <w:rPr>
          <w:rFonts w:ascii="Arial" w:hAnsi="Arial" w:cs="Arial"/>
          <w:bCs/>
          <w:iCs/>
        </w:rPr>
        <w:t>годину</w:t>
      </w:r>
      <w:r w:rsidR="007B6BE3" w:rsidRPr="0087376B">
        <w:rPr>
          <w:rFonts w:ascii="Arial" w:hAnsi="Arial" w:cs="Arial"/>
          <w:bCs/>
          <w:iCs/>
        </w:rPr>
        <w:t xml:space="preserve">, </w:t>
      </w:r>
      <w:r>
        <w:rPr>
          <w:rFonts w:ascii="Arial" w:hAnsi="Arial" w:cs="Arial"/>
          <w:bCs/>
          <w:iCs/>
        </w:rPr>
        <w:t>Документом</w:t>
      </w:r>
      <w:r w:rsidR="007B6BE3" w:rsidRPr="0087376B">
        <w:rPr>
          <w:rFonts w:ascii="Arial" w:hAnsi="Arial" w:cs="Arial"/>
          <w:bCs/>
          <w:iCs/>
        </w:rPr>
        <w:t xml:space="preserve"> </w:t>
      </w:r>
      <w:r>
        <w:rPr>
          <w:rFonts w:ascii="Arial" w:hAnsi="Arial" w:cs="Arial"/>
          <w:bCs/>
          <w:iCs/>
        </w:rPr>
        <w:t>оквирног</w:t>
      </w:r>
      <w:r w:rsidR="007B6BE3" w:rsidRPr="0087376B">
        <w:rPr>
          <w:rFonts w:ascii="Arial" w:hAnsi="Arial" w:cs="Arial"/>
          <w:bCs/>
          <w:iCs/>
        </w:rPr>
        <w:t xml:space="preserve"> </w:t>
      </w:r>
      <w:r>
        <w:rPr>
          <w:rFonts w:ascii="Arial" w:hAnsi="Arial" w:cs="Arial"/>
          <w:bCs/>
          <w:iCs/>
        </w:rPr>
        <w:t>буџета</w:t>
      </w:r>
      <w:r w:rsidR="007B6BE3" w:rsidRPr="0087376B">
        <w:rPr>
          <w:rFonts w:ascii="Arial" w:hAnsi="Arial" w:cs="Arial"/>
          <w:bCs/>
          <w:iCs/>
        </w:rPr>
        <w:t xml:space="preserve"> </w:t>
      </w:r>
      <w:r>
        <w:rPr>
          <w:rFonts w:ascii="Arial" w:hAnsi="Arial" w:cs="Arial"/>
          <w:bCs/>
          <w:iCs/>
        </w:rPr>
        <w:t>Федерације</w:t>
      </w:r>
      <w:r w:rsidR="007B6BE3" w:rsidRPr="0087376B">
        <w:rPr>
          <w:rFonts w:ascii="Arial" w:hAnsi="Arial" w:cs="Arial"/>
          <w:bCs/>
          <w:iCs/>
        </w:rPr>
        <w:t xml:space="preserve"> </w:t>
      </w:r>
      <w:r>
        <w:rPr>
          <w:rFonts w:ascii="Arial" w:hAnsi="Arial" w:cs="Arial"/>
          <w:bCs/>
          <w:iCs/>
        </w:rPr>
        <w:t>БиХ</w:t>
      </w:r>
      <w:r w:rsidR="007B6BE3" w:rsidRPr="0087376B">
        <w:rPr>
          <w:rFonts w:ascii="Arial" w:hAnsi="Arial" w:cs="Arial"/>
          <w:bCs/>
          <w:iCs/>
        </w:rPr>
        <w:t xml:space="preserve"> </w:t>
      </w:r>
      <w:r>
        <w:rPr>
          <w:rFonts w:ascii="Arial" w:hAnsi="Arial" w:cs="Arial"/>
          <w:bCs/>
          <w:iCs/>
        </w:rPr>
        <w:t>у</w:t>
      </w:r>
      <w:r w:rsidR="007B6BE3" w:rsidRPr="0087376B">
        <w:rPr>
          <w:rFonts w:ascii="Arial" w:hAnsi="Arial" w:cs="Arial"/>
          <w:bCs/>
          <w:iCs/>
        </w:rPr>
        <w:t xml:space="preserve"> </w:t>
      </w:r>
      <w:r>
        <w:rPr>
          <w:rFonts w:ascii="Arial" w:hAnsi="Arial" w:cs="Arial"/>
          <w:bCs/>
          <w:iCs/>
        </w:rPr>
        <w:t>раздобљу</w:t>
      </w:r>
      <w:r w:rsidR="007B6BE3" w:rsidRPr="0087376B">
        <w:rPr>
          <w:rFonts w:ascii="Arial" w:hAnsi="Arial" w:cs="Arial"/>
          <w:bCs/>
          <w:iCs/>
        </w:rPr>
        <w:t xml:space="preserve"> 2023-2025. </w:t>
      </w:r>
      <w:r>
        <w:rPr>
          <w:rFonts w:ascii="Arial" w:hAnsi="Arial" w:cs="Arial"/>
          <w:bCs/>
          <w:iCs/>
        </w:rPr>
        <w:t>година</w:t>
      </w:r>
      <w:r w:rsidR="007B6BE3" w:rsidRPr="0087376B">
        <w:rPr>
          <w:rFonts w:ascii="Arial" w:hAnsi="Arial" w:cs="Arial"/>
          <w:bCs/>
          <w:iCs/>
        </w:rPr>
        <w:t xml:space="preserve"> </w:t>
      </w:r>
      <w:r>
        <w:rPr>
          <w:rFonts w:ascii="Arial" w:hAnsi="Arial" w:cs="Arial"/>
          <w:bCs/>
          <w:iCs/>
        </w:rPr>
        <w:t>и</w:t>
      </w:r>
      <w:r w:rsidR="007B6BE3" w:rsidRPr="0087376B">
        <w:rPr>
          <w:rFonts w:ascii="Arial" w:hAnsi="Arial" w:cs="Arial"/>
          <w:bCs/>
          <w:iCs/>
        </w:rPr>
        <w:t xml:space="preserve"> </w:t>
      </w:r>
      <w:r>
        <w:rPr>
          <w:rFonts w:ascii="Arial" w:hAnsi="Arial" w:cs="Arial"/>
          <w:bCs/>
          <w:iCs/>
        </w:rPr>
        <w:t>ПЈИ</w:t>
      </w:r>
      <w:r w:rsidR="007B6BE3" w:rsidRPr="0087376B">
        <w:rPr>
          <w:rFonts w:ascii="Arial" w:hAnsi="Arial" w:cs="Arial"/>
          <w:bCs/>
          <w:iCs/>
        </w:rPr>
        <w:t>-</w:t>
      </w:r>
      <w:r>
        <w:rPr>
          <w:rFonts w:ascii="Arial" w:hAnsi="Arial" w:cs="Arial"/>
          <w:bCs/>
          <w:iCs/>
        </w:rPr>
        <w:t>а</w:t>
      </w:r>
      <w:r w:rsidR="007B6BE3" w:rsidRPr="0087376B">
        <w:rPr>
          <w:rFonts w:ascii="Arial" w:hAnsi="Arial" w:cs="Arial"/>
          <w:bCs/>
          <w:iCs/>
        </w:rPr>
        <w:t xml:space="preserve"> </w:t>
      </w:r>
      <w:r>
        <w:rPr>
          <w:rFonts w:ascii="Arial" w:hAnsi="Arial" w:cs="Arial"/>
          <w:bCs/>
          <w:iCs/>
        </w:rPr>
        <w:t>за</w:t>
      </w:r>
      <w:r w:rsidR="007B6BE3" w:rsidRPr="0087376B">
        <w:rPr>
          <w:rFonts w:ascii="Arial" w:hAnsi="Arial" w:cs="Arial"/>
          <w:bCs/>
          <w:iCs/>
        </w:rPr>
        <w:t xml:space="preserve"> </w:t>
      </w:r>
      <w:r>
        <w:rPr>
          <w:rFonts w:ascii="Arial" w:hAnsi="Arial" w:cs="Arial"/>
          <w:bCs/>
          <w:iCs/>
        </w:rPr>
        <w:t>раздобље</w:t>
      </w:r>
      <w:r w:rsidR="007B6BE3" w:rsidRPr="0087376B">
        <w:rPr>
          <w:rFonts w:ascii="Arial" w:hAnsi="Arial" w:cs="Arial"/>
          <w:bCs/>
          <w:iCs/>
        </w:rPr>
        <w:t xml:space="preserve"> 20</w:t>
      </w:r>
      <w:r w:rsidR="00917FE8">
        <w:rPr>
          <w:rFonts w:ascii="Arial" w:hAnsi="Arial" w:cs="Arial"/>
          <w:bCs/>
          <w:iCs/>
        </w:rPr>
        <w:t xml:space="preserve">23-2025. </w:t>
      </w:r>
      <w:r>
        <w:rPr>
          <w:rFonts w:ascii="Arial" w:hAnsi="Arial" w:cs="Arial"/>
          <w:bCs/>
          <w:iCs/>
        </w:rPr>
        <w:t>године</w:t>
      </w:r>
      <w:r w:rsidR="00917FE8">
        <w:rPr>
          <w:rFonts w:ascii="Arial" w:hAnsi="Arial" w:cs="Arial"/>
          <w:bCs/>
          <w:iCs/>
        </w:rPr>
        <w:t xml:space="preserve"> </w:t>
      </w:r>
      <w:r>
        <w:rPr>
          <w:rFonts w:ascii="Arial" w:hAnsi="Arial" w:cs="Arial"/>
          <w:bCs/>
          <w:iCs/>
        </w:rPr>
        <w:t>с</w:t>
      </w:r>
      <w:r w:rsidR="00917FE8">
        <w:rPr>
          <w:rFonts w:ascii="Arial" w:hAnsi="Arial" w:cs="Arial"/>
          <w:bCs/>
          <w:iCs/>
        </w:rPr>
        <w:t xml:space="preserve"> </w:t>
      </w:r>
      <w:r>
        <w:rPr>
          <w:rFonts w:ascii="Arial" w:hAnsi="Arial" w:cs="Arial"/>
          <w:bCs/>
          <w:iCs/>
        </w:rPr>
        <w:t>претпоставком</w:t>
      </w:r>
      <w:r w:rsidR="007B6BE3" w:rsidRPr="0087376B">
        <w:rPr>
          <w:rFonts w:ascii="Arial" w:hAnsi="Arial" w:cs="Arial"/>
          <w:iCs/>
        </w:rPr>
        <w:t xml:space="preserve"> </w:t>
      </w:r>
      <w:r>
        <w:rPr>
          <w:rFonts w:ascii="Arial" w:hAnsi="Arial" w:cs="Arial"/>
          <w:iCs/>
        </w:rPr>
        <w:t>замјене</w:t>
      </w:r>
      <w:r w:rsidR="007B6BE3" w:rsidRPr="0087376B">
        <w:rPr>
          <w:rFonts w:ascii="Arial" w:hAnsi="Arial" w:cs="Arial"/>
          <w:iCs/>
        </w:rPr>
        <w:t xml:space="preserve"> </w:t>
      </w:r>
      <w:r>
        <w:rPr>
          <w:rFonts w:ascii="Arial" w:hAnsi="Arial" w:cs="Arial"/>
          <w:iCs/>
        </w:rPr>
        <w:t>свих</w:t>
      </w:r>
      <w:r w:rsidR="007B6BE3" w:rsidRPr="0087376B">
        <w:rPr>
          <w:rFonts w:ascii="Arial" w:hAnsi="Arial" w:cs="Arial"/>
          <w:iCs/>
        </w:rPr>
        <w:t xml:space="preserve"> </w:t>
      </w:r>
      <w:r>
        <w:rPr>
          <w:rFonts w:ascii="Arial" w:hAnsi="Arial" w:cs="Arial"/>
          <w:iCs/>
        </w:rPr>
        <w:t>домаћих</w:t>
      </w:r>
      <w:r w:rsidR="007B6BE3" w:rsidRPr="0087376B">
        <w:rPr>
          <w:rFonts w:ascii="Arial" w:hAnsi="Arial" w:cs="Arial"/>
          <w:iCs/>
        </w:rPr>
        <w:t xml:space="preserve"> </w:t>
      </w:r>
      <w:r>
        <w:rPr>
          <w:rFonts w:ascii="Arial" w:hAnsi="Arial" w:cs="Arial"/>
          <w:iCs/>
        </w:rPr>
        <w:t>инструмената</w:t>
      </w:r>
      <w:r w:rsidR="007B6BE3" w:rsidRPr="0087376B">
        <w:rPr>
          <w:rFonts w:ascii="Arial" w:hAnsi="Arial" w:cs="Arial"/>
          <w:iCs/>
        </w:rPr>
        <w:t xml:space="preserve"> </w:t>
      </w:r>
      <w:r>
        <w:rPr>
          <w:rFonts w:ascii="Arial" w:hAnsi="Arial" w:cs="Arial"/>
          <w:iCs/>
        </w:rPr>
        <w:t>са</w:t>
      </w:r>
      <w:r w:rsidR="007B6BE3" w:rsidRPr="0087376B">
        <w:rPr>
          <w:rFonts w:ascii="Arial" w:hAnsi="Arial" w:cs="Arial"/>
          <w:iCs/>
        </w:rPr>
        <w:t xml:space="preserve"> </w:t>
      </w:r>
      <w:r>
        <w:rPr>
          <w:rFonts w:ascii="Arial" w:hAnsi="Arial" w:cs="Arial"/>
          <w:iCs/>
        </w:rPr>
        <w:t>издавањем</w:t>
      </w:r>
      <w:r w:rsidR="007B6BE3" w:rsidRPr="0087376B">
        <w:rPr>
          <w:rFonts w:ascii="Arial" w:hAnsi="Arial" w:cs="Arial"/>
          <w:iCs/>
        </w:rPr>
        <w:t xml:space="preserve"> </w:t>
      </w:r>
      <w:r>
        <w:rPr>
          <w:rFonts w:ascii="Arial" w:hAnsi="Arial" w:cs="Arial"/>
          <w:iCs/>
        </w:rPr>
        <w:t>десетогодишњих</w:t>
      </w:r>
      <w:r w:rsidR="007B6BE3" w:rsidRPr="0087376B">
        <w:rPr>
          <w:rFonts w:ascii="Arial" w:hAnsi="Arial" w:cs="Arial"/>
          <w:iCs/>
        </w:rPr>
        <w:t xml:space="preserve"> </w:t>
      </w:r>
      <w:r>
        <w:rPr>
          <w:rFonts w:ascii="Arial" w:hAnsi="Arial" w:cs="Arial"/>
          <w:iCs/>
        </w:rPr>
        <w:t>и</w:t>
      </w:r>
      <w:r w:rsidR="007B6BE3" w:rsidRPr="0087376B">
        <w:rPr>
          <w:rFonts w:ascii="Arial" w:hAnsi="Arial" w:cs="Arial"/>
          <w:iCs/>
        </w:rPr>
        <w:t xml:space="preserve"> </w:t>
      </w:r>
      <w:r>
        <w:rPr>
          <w:rFonts w:ascii="Arial" w:hAnsi="Arial" w:cs="Arial"/>
          <w:iCs/>
        </w:rPr>
        <w:t>петнаестогодишњих</w:t>
      </w:r>
      <w:r w:rsidR="007B6BE3" w:rsidRPr="0087376B">
        <w:rPr>
          <w:rFonts w:ascii="Arial" w:hAnsi="Arial" w:cs="Arial"/>
          <w:iCs/>
        </w:rPr>
        <w:t xml:space="preserve"> </w:t>
      </w:r>
      <w:r>
        <w:rPr>
          <w:rFonts w:ascii="Arial" w:hAnsi="Arial" w:cs="Arial"/>
          <w:iCs/>
        </w:rPr>
        <w:t>еурообвезница</w:t>
      </w:r>
      <w:r w:rsidR="007B6BE3" w:rsidRPr="0087376B">
        <w:rPr>
          <w:rFonts w:ascii="Arial" w:hAnsi="Arial" w:cs="Arial"/>
          <w:iCs/>
        </w:rPr>
        <w:t xml:space="preserve"> </w:t>
      </w:r>
      <w:r>
        <w:rPr>
          <w:rFonts w:ascii="Arial" w:hAnsi="Arial" w:cs="Arial"/>
          <w:iCs/>
        </w:rPr>
        <w:t>на</w:t>
      </w:r>
      <w:r w:rsidR="007B6BE3" w:rsidRPr="0087376B">
        <w:rPr>
          <w:rFonts w:ascii="Arial" w:hAnsi="Arial" w:cs="Arial"/>
          <w:iCs/>
        </w:rPr>
        <w:t xml:space="preserve"> </w:t>
      </w:r>
      <w:r>
        <w:rPr>
          <w:rFonts w:ascii="Arial" w:hAnsi="Arial" w:cs="Arial"/>
          <w:iCs/>
        </w:rPr>
        <w:t>нивоу</w:t>
      </w:r>
      <w:r w:rsidR="007B6BE3" w:rsidRPr="0087376B">
        <w:rPr>
          <w:rFonts w:ascii="Arial" w:hAnsi="Arial" w:cs="Arial"/>
          <w:iCs/>
        </w:rPr>
        <w:t xml:space="preserve"> </w:t>
      </w:r>
      <w:r>
        <w:rPr>
          <w:rFonts w:ascii="Arial" w:hAnsi="Arial" w:cs="Arial"/>
          <w:iCs/>
        </w:rPr>
        <w:t>који</w:t>
      </w:r>
      <w:r w:rsidR="007B6BE3" w:rsidRPr="0087376B">
        <w:rPr>
          <w:rFonts w:ascii="Arial" w:hAnsi="Arial" w:cs="Arial"/>
          <w:iCs/>
        </w:rPr>
        <w:t xml:space="preserve"> </w:t>
      </w:r>
      <w:r>
        <w:rPr>
          <w:rFonts w:ascii="Arial" w:hAnsi="Arial" w:cs="Arial"/>
          <w:iCs/>
        </w:rPr>
        <w:t>је</w:t>
      </w:r>
      <w:r w:rsidR="007B6BE3" w:rsidRPr="0087376B">
        <w:rPr>
          <w:rFonts w:ascii="Arial" w:hAnsi="Arial" w:cs="Arial"/>
          <w:iCs/>
        </w:rPr>
        <w:t xml:space="preserve"> </w:t>
      </w:r>
      <w:r>
        <w:rPr>
          <w:rFonts w:ascii="Arial" w:hAnsi="Arial" w:cs="Arial"/>
          <w:iCs/>
        </w:rPr>
        <w:t>адекватан</w:t>
      </w:r>
      <w:r w:rsidR="007B6BE3">
        <w:rPr>
          <w:rFonts w:ascii="Arial" w:hAnsi="Arial" w:cs="Arial"/>
          <w:iCs/>
        </w:rPr>
        <w:t xml:space="preserve"> </w:t>
      </w:r>
      <w:r>
        <w:rPr>
          <w:rFonts w:ascii="Arial" w:hAnsi="Arial" w:cs="Arial"/>
          <w:iCs/>
        </w:rPr>
        <w:t>изворима</w:t>
      </w:r>
      <w:r w:rsidR="007B6BE3">
        <w:rPr>
          <w:rFonts w:ascii="Arial" w:hAnsi="Arial" w:cs="Arial"/>
          <w:iCs/>
        </w:rPr>
        <w:t xml:space="preserve"> </w:t>
      </w:r>
      <w:r>
        <w:rPr>
          <w:rFonts w:ascii="Arial" w:hAnsi="Arial" w:cs="Arial"/>
          <w:iCs/>
        </w:rPr>
        <w:t>који</w:t>
      </w:r>
      <w:r w:rsidR="007B6BE3">
        <w:rPr>
          <w:rFonts w:ascii="Arial" w:hAnsi="Arial" w:cs="Arial"/>
          <w:iCs/>
        </w:rPr>
        <w:t xml:space="preserve"> </w:t>
      </w:r>
      <w:r>
        <w:rPr>
          <w:rFonts w:ascii="Arial" w:hAnsi="Arial" w:cs="Arial"/>
          <w:iCs/>
        </w:rPr>
        <w:t>су</w:t>
      </w:r>
      <w:r w:rsidR="007B6BE3">
        <w:rPr>
          <w:rFonts w:ascii="Arial" w:hAnsi="Arial" w:cs="Arial"/>
          <w:iCs/>
        </w:rPr>
        <w:t xml:space="preserve"> </w:t>
      </w:r>
      <w:r>
        <w:rPr>
          <w:rFonts w:ascii="Arial" w:hAnsi="Arial" w:cs="Arial"/>
          <w:iCs/>
        </w:rPr>
        <w:t>замијењени</w:t>
      </w:r>
      <w:r w:rsidR="007B6BE3" w:rsidRPr="0087376B">
        <w:rPr>
          <w:rFonts w:ascii="Arial" w:hAnsi="Arial" w:cs="Arial"/>
          <w:iCs/>
        </w:rPr>
        <w:t xml:space="preserve">. </w:t>
      </w:r>
    </w:p>
    <w:p w14:paraId="7A94683B" w14:textId="77777777" w:rsidR="007B6BE3" w:rsidRPr="0087376B" w:rsidRDefault="007B6BE3" w:rsidP="007B6BE3">
      <w:pPr>
        <w:spacing w:after="0"/>
        <w:jc w:val="both"/>
        <w:rPr>
          <w:rFonts w:ascii="Arial" w:hAnsi="Arial" w:cs="Arial"/>
          <w:iCs/>
        </w:rPr>
      </w:pPr>
    </w:p>
    <w:p w14:paraId="2A6F91C7" w14:textId="77777777" w:rsidR="007B6BE3" w:rsidRPr="0092788C" w:rsidRDefault="005B20F8" w:rsidP="0092788C">
      <w:pPr>
        <w:pStyle w:val="Heading2"/>
        <w:numPr>
          <w:ilvl w:val="1"/>
          <w:numId w:val="25"/>
        </w:numPr>
        <w:spacing w:before="0"/>
        <w:rPr>
          <w:rFonts w:ascii="Arial" w:hAnsi="Arial" w:cs="Arial"/>
          <w:b w:val="0"/>
          <w:color w:val="auto"/>
          <w:sz w:val="22"/>
          <w:szCs w:val="22"/>
        </w:rPr>
      </w:pPr>
      <w:bookmarkStart w:id="123" w:name="_Toc100667337"/>
      <w:bookmarkStart w:id="124" w:name="_Toc100751763"/>
      <w:bookmarkStart w:id="125" w:name="_Toc100754220"/>
      <w:bookmarkStart w:id="126" w:name="_Toc100754664"/>
      <w:bookmarkStart w:id="127" w:name="_Toc100755056"/>
      <w:bookmarkStart w:id="128" w:name="_Toc100818787"/>
      <w:bookmarkStart w:id="129" w:name="_Toc100820493"/>
      <w:bookmarkStart w:id="130" w:name="_Toc100822781"/>
      <w:bookmarkStart w:id="131" w:name="_Toc100823320"/>
      <w:bookmarkStart w:id="132" w:name="_Toc100823763"/>
      <w:bookmarkStart w:id="133" w:name="_Toc100667338"/>
      <w:bookmarkStart w:id="134" w:name="_Toc100751764"/>
      <w:bookmarkStart w:id="135" w:name="_Toc100754221"/>
      <w:bookmarkStart w:id="136" w:name="_Toc100754665"/>
      <w:bookmarkStart w:id="137" w:name="_Toc100755057"/>
      <w:bookmarkStart w:id="138" w:name="_Toc100818788"/>
      <w:bookmarkStart w:id="139" w:name="_Toc100820494"/>
      <w:bookmarkStart w:id="140" w:name="_Toc100822782"/>
      <w:bookmarkStart w:id="141" w:name="_Toc100823321"/>
      <w:bookmarkStart w:id="142" w:name="_Toc100823764"/>
      <w:bookmarkStart w:id="143" w:name="_Toc149810623"/>
      <w:bookmarkStart w:id="144" w:name="_Hlk1480145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92788C">
        <w:rPr>
          <w:rFonts w:ascii="Arial" w:hAnsi="Arial" w:cs="Arial"/>
          <w:b w:val="0"/>
          <w:color w:val="auto"/>
          <w:sz w:val="22"/>
          <w:szCs w:val="22"/>
        </w:rPr>
        <w:t>Анализа</w:t>
      </w:r>
      <w:r w:rsidR="007B6BE3" w:rsidRPr="0092788C">
        <w:rPr>
          <w:rFonts w:ascii="Arial" w:hAnsi="Arial" w:cs="Arial"/>
          <w:b w:val="0"/>
          <w:color w:val="auto"/>
          <w:sz w:val="22"/>
          <w:szCs w:val="22"/>
        </w:rPr>
        <w:t xml:space="preserve"> </w:t>
      </w:r>
      <w:r w:rsidRPr="0092788C">
        <w:rPr>
          <w:rFonts w:ascii="Arial" w:hAnsi="Arial" w:cs="Arial"/>
          <w:b w:val="0"/>
          <w:color w:val="auto"/>
          <w:sz w:val="22"/>
          <w:szCs w:val="22"/>
        </w:rPr>
        <w:t>трошкова</w:t>
      </w:r>
      <w:r w:rsidR="007B6BE3" w:rsidRPr="0092788C">
        <w:rPr>
          <w:rFonts w:ascii="Arial" w:hAnsi="Arial" w:cs="Arial"/>
          <w:b w:val="0"/>
          <w:color w:val="auto"/>
          <w:sz w:val="22"/>
          <w:szCs w:val="22"/>
        </w:rPr>
        <w:t xml:space="preserve"> </w:t>
      </w:r>
      <w:r w:rsidRPr="0092788C">
        <w:rPr>
          <w:rFonts w:ascii="Arial" w:hAnsi="Arial" w:cs="Arial"/>
          <w:b w:val="0"/>
          <w:color w:val="auto"/>
          <w:sz w:val="22"/>
          <w:szCs w:val="22"/>
        </w:rPr>
        <w:t>и</w:t>
      </w:r>
      <w:r w:rsidR="007B6BE3" w:rsidRPr="0092788C">
        <w:rPr>
          <w:rFonts w:ascii="Arial" w:hAnsi="Arial" w:cs="Arial"/>
          <w:b w:val="0"/>
          <w:color w:val="auto"/>
          <w:sz w:val="22"/>
          <w:szCs w:val="22"/>
        </w:rPr>
        <w:t xml:space="preserve"> </w:t>
      </w:r>
      <w:r w:rsidRPr="0092788C">
        <w:rPr>
          <w:rFonts w:ascii="Arial" w:hAnsi="Arial" w:cs="Arial"/>
          <w:b w:val="0"/>
          <w:color w:val="auto"/>
          <w:sz w:val="22"/>
          <w:szCs w:val="22"/>
        </w:rPr>
        <w:t>ризика</w:t>
      </w:r>
      <w:r w:rsidR="007B6BE3" w:rsidRPr="0092788C">
        <w:rPr>
          <w:rFonts w:ascii="Arial" w:hAnsi="Arial" w:cs="Arial"/>
          <w:b w:val="0"/>
          <w:color w:val="auto"/>
          <w:sz w:val="22"/>
          <w:szCs w:val="22"/>
        </w:rPr>
        <w:t xml:space="preserve"> </w:t>
      </w:r>
      <w:r w:rsidRPr="0092788C">
        <w:rPr>
          <w:rFonts w:ascii="Arial" w:hAnsi="Arial" w:cs="Arial"/>
          <w:b w:val="0"/>
          <w:color w:val="auto"/>
          <w:sz w:val="22"/>
          <w:szCs w:val="22"/>
        </w:rPr>
        <w:t>базне</w:t>
      </w:r>
      <w:r w:rsidR="007B6BE3" w:rsidRPr="0092788C">
        <w:rPr>
          <w:rFonts w:ascii="Arial" w:hAnsi="Arial" w:cs="Arial"/>
          <w:b w:val="0"/>
          <w:color w:val="auto"/>
          <w:sz w:val="22"/>
          <w:szCs w:val="22"/>
        </w:rPr>
        <w:t xml:space="preserve"> </w:t>
      </w:r>
      <w:r w:rsidRPr="0092788C">
        <w:rPr>
          <w:rFonts w:ascii="Arial" w:hAnsi="Arial" w:cs="Arial"/>
          <w:b w:val="0"/>
          <w:color w:val="auto"/>
          <w:sz w:val="22"/>
          <w:szCs w:val="22"/>
        </w:rPr>
        <w:t>и</w:t>
      </w:r>
      <w:r w:rsidR="007B6BE3" w:rsidRPr="0092788C">
        <w:rPr>
          <w:rFonts w:ascii="Arial" w:hAnsi="Arial" w:cs="Arial"/>
          <w:b w:val="0"/>
          <w:color w:val="auto"/>
          <w:sz w:val="22"/>
          <w:szCs w:val="22"/>
        </w:rPr>
        <w:t xml:space="preserve"> </w:t>
      </w:r>
      <w:r w:rsidRPr="0092788C">
        <w:rPr>
          <w:rFonts w:ascii="Arial" w:hAnsi="Arial" w:cs="Arial"/>
          <w:b w:val="0"/>
          <w:color w:val="auto"/>
          <w:sz w:val="22"/>
          <w:szCs w:val="22"/>
        </w:rPr>
        <w:t>алтернативних</w:t>
      </w:r>
      <w:r w:rsidR="007B6BE3" w:rsidRPr="0092788C">
        <w:rPr>
          <w:rFonts w:ascii="Arial" w:hAnsi="Arial" w:cs="Arial"/>
          <w:b w:val="0"/>
          <w:color w:val="auto"/>
          <w:sz w:val="22"/>
          <w:szCs w:val="22"/>
        </w:rPr>
        <w:t xml:space="preserve"> </w:t>
      </w:r>
      <w:r w:rsidRPr="0092788C">
        <w:rPr>
          <w:rFonts w:ascii="Arial" w:hAnsi="Arial" w:cs="Arial"/>
          <w:b w:val="0"/>
          <w:color w:val="auto"/>
          <w:sz w:val="22"/>
          <w:szCs w:val="22"/>
        </w:rPr>
        <w:t>стратегија</w:t>
      </w:r>
      <w:r w:rsidR="007B6BE3" w:rsidRPr="0092788C">
        <w:rPr>
          <w:rFonts w:ascii="Arial" w:hAnsi="Arial" w:cs="Arial"/>
          <w:b w:val="0"/>
          <w:color w:val="auto"/>
          <w:sz w:val="22"/>
          <w:szCs w:val="22"/>
        </w:rPr>
        <w:t xml:space="preserve"> </w:t>
      </w:r>
      <w:r w:rsidRPr="0092788C">
        <w:rPr>
          <w:rFonts w:ascii="Arial" w:hAnsi="Arial" w:cs="Arial"/>
          <w:b w:val="0"/>
          <w:color w:val="auto"/>
          <w:sz w:val="22"/>
          <w:szCs w:val="22"/>
        </w:rPr>
        <w:t>задуживања</w:t>
      </w:r>
      <w:bookmarkEnd w:id="143"/>
      <w:r w:rsidR="007B6BE3" w:rsidRPr="0092788C">
        <w:rPr>
          <w:rFonts w:ascii="Arial" w:hAnsi="Arial" w:cs="Arial"/>
          <w:b w:val="0"/>
          <w:color w:val="auto"/>
          <w:sz w:val="22"/>
          <w:szCs w:val="22"/>
        </w:rPr>
        <w:t xml:space="preserve"> </w:t>
      </w:r>
    </w:p>
    <w:bookmarkEnd w:id="144"/>
    <w:p w14:paraId="153839F7" w14:textId="77777777" w:rsidR="007B6BE3" w:rsidRPr="0087376B" w:rsidRDefault="007B6BE3" w:rsidP="007B6BE3">
      <w:pPr>
        <w:pStyle w:val="ListParagraph"/>
        <w:spacing w:after="0" w:line="240" w:lineRule="auto"/>
        <w:contextualSpacing w:val="0"/>
        <w:jc w:val="both"/>
        <w:rPr>
          <w:rFonts w:ascii="Arial" w:hAnsi="Arial" w:cs="Arial"/>
          <w:b/>
          <w:color w:val="538135" w:themeColor="accent6" w:themeShade="BF"/>
          <w:sz w:val="24"/>
          <w:szCs w:val="24"/>
        </w:rPr>
      </w:pPr>
    </w:p>
    <w:p w14:paraId="291474D3" w14:textId="77777777" w:rsidR="007B6BE3" w:rsidRPr="00C7294F" w:rsidRDefault="005B20F8" w:rsidP="00C7294F">
      <w:pPr>
        <w:spacing w:after="0"/>
        <w:ind w:firstLine="284"/>
        <w:jc w:val="both"/>
        <w:rPr>
          <w:rFonts w:ascii="Arial" w:hAnsi="Arial" w:cs="Arial"/>
          <w:szCs w:val="24"/>
          <w:highlight w:val="green"/>
        </w:rPr>
      </w:pPr>
      <w:r>
        <w:rPr>
          <w:rFonts w:ascii="Arial" w:hAnsi="Arial" w:cs="Arial"/>
          <w:szCs w:val="24"/>
        </w:rPr>
        <w:t>Утицај</w:t>
      </w:r>
      <w:r w:rsidR="007B6BE3" w:rsidRPr="0087376B">
        <w:rPr>
          <w:rFonts w:ascii="Arial" w:hAnsi="Arial" w:cs="Arial"/>
          <w:szCs w:val="24"/>
        </w:rPr>
        <w:t xml:space="preserve"> </w:t>
      </w:r>
      <w:r>
        <w:rPr>
          <w:rFonts w:ascii="Arial" w:hAnsi="Arial" w:cs="Arial"/>
          <w:szCs w:val="24"/>
        </w:rPr>
        <w:t>предложених</w:t>
      </w:r>
      <w:r w:rsidR="007B6BE3" w:rsidRPr="0087376B">
        <w:rPr>
          <w:rFonts w:ascii="Arial" w:hAnsi="Arial" w:cs="Arial"/>
          <w:szCs w:val="24"/>
        </w:rPr>
        <w:t xml:space="preserve"> </w:t>
      </w:r>
      <w:r>
        <w:rPr>
          <w:rFonts w:ascii="Arial" w:hAnsi="Arial" w:cs="Arial"/>
          <w:szCs w:val="24"/>
        </w:rPr>
        <w:t>стратегија</w:t>
      </w:r>
      <w:r w:rsidR="007B6BE3" w:rsidRPr="0087376B">
        <w:rPr>
          <w:rFonts w:ascii="Arial" w:hAnsi="Arial" w:cs="Arial"/>
          <w:szCs w:val="24"/>
        </w:rPr>
        <w:t xml:space="preserve"> </w:t>
      </w:r>
      <w:r>
        <w:rPr>
          <w:rFonts w:ascii="Arial" w:hAnsi="Arial" w:cs="Arial"/>
          <w:szCs w:val="24"/>
        </w:rPr>
        <w:t>је</w:t>
      </w:r>
      <w:r w:rsidR="007B6BE3" w:rsidRPr="0087376B">
        <w:rPr>
          <w:rFonts w:ascii="Arial" w:hAnsi="Arial" w:cs="Arial"/>
          <w:szCs w:val="24"/>
        </w:rPr>
        <w:t xml:space="preserve"> </w:t>
      </w:r>
      <w:r>
        <w:rPr>
          <w:rFonts w:ascii="Arial" w:hAnsi="Arial" w:cs="Arial"/>
          <w:szCs w:val="24"/>
        </w:rPr>
        <w:t>процијењен</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основном</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шок</w:t>
      </w:r>
      <w:r w:rsidR="007B6BE3" w:rsidRPr="0087376B">
        <w:rPr>
          <w:rFonts w:ascii="Arial" w:hAnsi="Arial" w:cs="Arial"/>
          <w:szCs w:val="24"/>
        </w:rPr>
        <w:t xml:space="preserve"> </w:t>
      </w:r>
      <w:r>
        <w:rPr>
          <w:rFonts w:ascii="Arial" w:hAnsi="Arial" w:cs="Arial"/>
          <w:szCs w:val="24"/>
        </w:rPr>
        <w:t>сценарију</w:t>
      </w:r>
      <w:r w:rsidR="007B6BE3" w:rsidRPr="0087376B">
        <w:rPr>
          <w:rFonts w:ascii="Arial" w:hAnsi="Arial" w:cs="Arial"/>
          <w:szCs w:val="24"/>
        </w:rPr>
        <w:t xml:space="preserve">. </w:t>
      </w:r>
      <w:r>
        <w:rPr>
          <w:rFonts w:ascii="Arial" w:hAnsi="Arial" w:cs="Arial"/>
          <w:szCs w:val="24"/>
        </w:rPr>
        <w:t>Два</w:t>
      </w:r>
      <w:r w:rsidR="007B6BE3" w:rsidRPr="0087376B">
        <w:rPr>
          <w:rFonts w:ascii="Arial" w:hAnsi="Arial" w:cs="Arial"/>
          <w:szCs w:val="24"/>
        </w:rPr>
        <w:t xml:space="preserve"> </w:t>
      </w:r>
      <w:r>
        <w:rPr>
          <w:rFonts w:ascii="Arial" w:hAnsi="Arial" w:cs="Arial"/>
          <w:szCs w:val="24"/>
        </w:rPr>
        <w:t>кључна</w:t>
      </w:r>
      <w:r w:rsidR="007B6BE3" w:rsidRPr="0087376B">
        <w:rPr>
          <w:rFonts w:ascii="Arial" w:hAnsi="Arial" w:cs="Arial"/>
          <w:szCs w:val="24"/>
        </w:rPr>
        <w:t xml:space="preserve"> </w:t>
      </w:r>
      <w:r>
        <w:rPr>
          <w:rFonts w:ascii="Arial" w:hAnsi="Arial" w:cs="Arial"/>
          <w:szCs w:val="24"/>
        </w:rPr>
        <w:t>индикатора</w:t>
      </w:r>
      <w:r w:rsidR="007B6BE3" w:rsidRPr="0087376B">
        <w:rPr>
          <w:rFonts w:ascii="Arial" w:hAnsi="Arial" w:cs="Arial"/>
          <w:szCs w:val="24"/>
        </w:rPr>
        <w:t xml:space="preserve"> </w:t>
      </w:r>
      <w:r>
        <w:rPr>
          <w:rFonts w:ascii="Arial" w:hAnsi="Arial" w:cs="Arial"/>
          <w:szCs w:val="24"/>
        </w:rPr>
        <w:t>трошкова</w:t>
      </w:r>
      <w:r w:rsidR="007B6BE3" w:rsidRPr="0087376B">
        <w:rPr>
          <w:rFonts w:ascii="Arial" w:hAnsi="Arial" w:cs="Arial"/>
          <w:szCs w:val="24"/>
        </w:rPr>
        <w:t xml:space="preserve"> (</w:t>
      </w:r>
      <w:r>
        <w:rPr>
          <w:rFonts w:ascii="Arial" w:hAnsi="Arial" w:cs="Arial"/>
          <w:szCs w:val="24"/>
        </w:rPr>
        <w:t>дуг</w:t>
      </w:r>
      <w:r w:rsidR="007B6BE3" w:rsidRPr="0087376B">
        <w:rPr>
          <w:rFonts w:ascii="Arial" w:hAnsi="Arial" w:cs="Arial"/>
          <w:szCs w:val="24"/>
        </w:rPr>
        <w:t>/</w:t>
      </w:r>
      <w:r>
        <w:rPr>
          <w:rFonts w:ascii="Arial" w:hAnsi="Arial" w:cs="Arial"/>
          <w:szCs w:val="24"/>
        </w:rPr>
        <w:t>БДП</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камата</w:t>
      </w:r>
      <w:r w:rsidR="007B6BE3" w:rsidRPr="0087376B">
        <w:rPr>
          <w:rFonts w:ascii="Arial" w:hAnsi="Arial" w:cs="Arial"/>
          <w:szCs w:val="24"/>
        </w:rPr>
        <w:t>/</w:t>
      </w:r>
      <w:r>
        <w:rPr>
          <w:rFonts w:ascii="Arial" w:hAnsi="Arial" w:cs="Arial"/>
          <w:szCs w:val="24"/>
        </w:rPr>
        <w:t>БДП</w:t>
      </w:r>
      <w:r w:rsidR="007B6BE3" w:rsidRPr="0087376B">
        <w:rPr>
          <w:rFonts w:ascii="Arial" w:hAnsi="Arial" w:cs="Arial"/>
          <w:szCs w:val="24"/>
        </w:rPr>
        <w:t xml:space="preserve">) </w:t>
      </w:r>
      <w:r>
        <w:rPr>
          <w:rFonts w:ascii="Arial" w:hAnsi="Arial" w:cs="Arial"/>
          <w:szCs w:val="24"/>
        </w:rPr>
        <w:t>израчунати</w:t>
      </w:r>
      <w:r w:rsidR="007B6BE3" w:rsidRPr="0087376B">
        <w:rPr>
          <w:rFonts w:ascii="Arial" w:hAnsi="Arial" w:cs="Arial"/>
          <w:szCs w:val="24"/>
        </w:rPr>
        <w:t xml:space="preserve"> </w:t>
      </w:r>
      <w:r>
        <w:rPr>
          <w:rFonts w:ascii="Arial" w:hAnsi="Arial" w:cs="Arial"/>
          <w:szCs w:val="24"/>
        </w:rPr>
        <w:t>су</w:t>
      </w:r>
      <w:r w:rsidR="007B6BE3" w:rsidRPr="0087376B">
        <w:rPr>
          <w:rFonts w:ascii="Arial" w:hAnsi="Arial" w:cs="Arial"/>
          <w:szCs w:val="24"/>
        </w:rPr>
        <w:t xml:space="preserve"> </w:t>
      </w:r>
      <w:r>
        <w:rPr>
          <w:rFonts w:ascii="Arial" w:hAnsi="Arial" w:cs="Arial"/>
          <w:szCs w:val="24"/>
        </w:rPr>
        <w:t>како</w:t>
      </w:r>
      <w:r w:rsidR="007B6BE3" w:rsidRPr="0087376B">
        <w:rPr>
          <w:rFonts w:ascii="Arial" w:hAnsi="Arial" w:cs="Arial"/>
          <w:szCs w:val="24"/>
        </w:rPr>
        <w:t xml:space="preserve"> </w:t>
      </w:r>
      <w:r>
        <w:rPr>
          <w:rFonts w:ascii="Arial" w:hAnsi="Arial" w:cs="Arial"/>
          <w:szCs w:val="24"/>
        </w:rPr>
        <w:t>би</w:t>
      </w:r>
      <w:r w:rsidR="007B6BE3" w:rsidRPr="0087376B">
        <w:rPr>
          <w:rFonts w:ascii="Arial" w:hAnsi="Arial" w:cs="Arial"/>
          <w:szCs w:val="24"/>
        </w:rPr>
        <w:t xml:space="preserve"> </w:t>
      </w:r>
      <w:r>
        <w:rPr>
          <w:rFonts w:ascii="Arial" w:hAnsi="Arial" w:cs="Arial"/>
          <w:szCs w:val="24"/>
        </w:rPr>
        <w:t>се</w:t>
      </w:r>
      <w:r w:rsidR="007B6BE3" w:rsidRPr="0087376B">
        <w:rPr>
          <w:rFonts w:ascii="Arial" w:hAnsi="Arial" w:cs="Arial"/>
          <w:szCs w:val="24"/>
        </w:rPr>
        <w:t xml:space="preserve"> </w:t>
      </w:r>
      <w:r>
        <w:rPr>
          <w:rFonts w:ascii="Arial" w:hAnsi="Arial" w:cs="Arial"/>
          <w:szCs w:val="24"/>
        </w:rPr>
        <w:t>одредио</w:t>
      </w:r>
      <w:r w:rsidR="007B6BE3" w:rsidRPr="0087376B">
        <w:rPr>
          <w:rFonts w:ascii="Arial" w:hAnsi="Arial" w:cs="Arial"/>
          <w:szCs w:val="24"/>
        </w:rPr>
        <w:t xml:space="preserve"> </w:t>
      </w:r>
      <w:r>
        <w:rPr>
          <w:rFonts w:ascii="Arial" w:hAnsi="Arial" w:cs="Arial"/>
          <w:szCs w:val="24"/>
        </w:rPr>
        <w:t>однос</w:t>
      </w:r>
      <w:r w:rsidR="007B6BE3" w:rsidRPr="0087376B">
        <w:rPr>
          <w:rFonts w:ascii="Arial" w:hAnsi="Arial" w:cs="Arial"/>
          <w:szCs w:val="24"/>
        </w:rPr>
        <w:t xml:space="preserve"> </w:t>
      </w:r>
      <w:r>
        <w:rPr>
          <w:rFonts w:ascii="Arial" w:hAnsi="Arial" w:cs="Arial"/>
          <w:szCs w:val="24"/>
        </w:rPr>
        <w:t>између</w:t>
      </w:r>
      <w:r w:rsidR="007B6BE3" w:rsidRPr="0087376B">
        <w:rPr>
          <w:rFonts w:ascii="Arial" w:hAnsi="Arial" w:cs="Arial"/>
          <w:szCs w:val="24"/>
        </w:rPr>
        <w:t xml:space="preserve"> </w:t>
      </w:r>
      <w:r>
        <w:rPr>
          <w:rFonts w:ascii="Arial" w:hAnsi="Arial" w:cs="Arial"/>
          <w:szCs w:val="24"/>
        </w:rPr>
        <w:t>трошкова</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ризика</w:t>
      </w:r>
      <w:r w:rsidR="007B6BE3" w:rsidRPr="0087376B">
        <w:rPr>
          <w:rFonts w:ascii="Arial" w:hAnsi="Arial" w:cs="Arial"/>
          <w:szCs w:val="24"/>
        </w:rPr>
        <w:t xml:space="preserve"> </w:t>
      </w:r>
      <w:r>
        <w:rPr>
          <w:rFonts w:ascii="Arial" w:hAnsi="Arial" w:cs="Arial"/>
          <w:szCs w:val="24"/>
        </w:rPr>
        <w:t>различитих</w:t>
      </w:r>
      <w:r w:rsidR="007B6BE3" w:rsidRPr="0087376B">
        <w:rPr>
          <w:rFonts w:ascii="Arial" w:hAnsi="Arial" w:cs="Arial"/>
          <w:szCs w:val="24"/>
        </w:rPr>
        <w:t xml:space="preserve"> </w:t>
      </w:r>
      <w:r>
        <w:rPr>
          <w:rFonts w:ascii="Arial" w:hAnsi="Arial" w:cs="Arial"/>
          <w:szCs w:val="24"/>
        </w:rPr>
        <w:t>сценарија</w:t>
      </w:r>
      <w:r w:rsidR="007B6BE3" w:rsidRPr="0087376B">
        <w:rPr>
          <w:rFonts w:ascii="Arial" w:hAnsi="Arial" w:cs="Arial"/>
          <w:szCs w:val="24"/>
        </w:rPr>
        <w:t xml:space="preserve"> </w:t>
      </w:r>
      <w:r>
        <w:rPr>
          <w:rFonts w:ascii="Arial" w:hAnsi="Arial" w:cs="Arial"/>
          <w:szCs w:val="24"/>
        </w:rPr>
        <w:t>задуживања</w:t>
      </w:r>
      <w:r w:rsidR="007B6BE3" w:rsidRPr="0087376B">
        <w:rPr>
          <w:rFonts w:ascii="Arial" w:hAnsi="Arial" w:cs="Arial"/>
          <w:szCs w:val="24"/>
        </w:rPr>
        <w:t xml:space="preserve">. </w:t>
      </w:r>
      <w:r>
        <w:rPr>
          <w:rFonts w:ascii="Arial" w:hAnsi="Arial" w:cs="Arial"/>
          <w:szCs w:val="24"/>
        </w:rPr>
        <w:t>Промјене</w:t>
      </w:r>
      <w:r w:rsidR="007B6BE3" w:rsidRPr="0087376B">
        <w:rPr>
          <w:rFonts w:ascii="Arial" w:hAnsi="Arial" w:cs="Arial"/>
          <w:szCs w:val="24"/>
        </w:rPr>
        <w:t xml:space="preserve"> </w:t>
      </w:r>
      <w:r>
        <w:rPr>
          <w:rFonts w:ascii="Arial" w:hAnsi="Arial" w:cs="Arial"/>
          <w:szCs w:val="24"/>
        </w:rPr>
        <w:t>висине</w:t>
      </w:r>
      <w:r w:rsidR="007B6BE3" w:rsidRPr="0087376B">
        <w:rPr>
          <w:rFonts w:ascii="Arial" w:hAnsi="Arial" w:cs="Arial"/>
          <w:szCs w:val="24"/>
        </w:rPr>
        <w:t xml:space="preserve"> </w:t>
      </w:r>
      <w:r>
        <w:rPr>
          <w:rFonts w:ascii="Arial" w:hAnsi="Arial" w:cs="Arial"/>
          <w:szCs w:val="24"/>
        </w:rPr>
        <w:t>неотплаћеног</w:t>
      </w:r>
      <w:r w:rsidR="007B6BE3" w:rsidRPr="0087376B">
        <w:rPr>
          <w:rFonts w:ascii="Arial" w:hAnsi="Arial" w:cs="Arial"/>
          <w:szCs w:val="24"/>
        </w:rPr>
        <w:t xml:space="preserve"> </w:t>
      </w:r>
      <w:r>
        <w:rPr>
          <w:rFonts w:ascii="Arial" w:hAnsi="Arial" w:cs="Arial"/>
          <w:szCs w:val="24"/>
        </w:rPr>
        <w:t>дуга</w:t>
      </w:r>
      <w:r w:rsidR="007B6BE3" w:rsidRPr="0087376B">
        <w:rPr>
          <w:rFonts w:ascii="Arial" w:hAnsi="Arial" w:cs="Arial"/>
          <w:szCs w:val="24"/>
        </w:rPr>
        <w:t xml:space="preserve"> </w:t>
      </w:r>
      <w:r>
        <w:rPr>
          <w:rFonts w:ascii="Arial" w:hAnsi="Arial" w:cs="Arial"/>
          <w:szCs w:val="24"/>
        </w:rPr>
        <w:t>узроковане</w:t>
      </w:r>
      <w:r w:rsidR="007B6BE3" w:rsidRPr="0087376B">
        <w:rPr>
          <w:rFonts w:ascii="Arial" w:hAnsi="Arial" w:cs="Arial"/>
          <w:szCs w:val="24"/>
        </w:rPr>
        <w:t xml:space="preserve"> </w:t>
      </w:r>
      <w:r>
        <w:rPr>
          <w:rFonts w:ascii="Arial" w:hAnsi="Arial" w:cs="Arial"/>
          <w:szCs w:val="24"/>
        </w:rPr>
        <w:t>промјеном</w:t>
      </w:r>
      <w:r w:rsidR="007B6BE3" w:rsidRPr="0087376B">
        <w:rPr>
          <w:rFonts w:ascii="Arial" w:hAnsi="Arial" w:cs="Arial"/>
          <w:szCs w:val="24"/>
        </w:rPr>
        <w:t xml:space="preserve"> </w:t>
      </w:r>
      <w:r>
        <w:rPr>
          <w:rFonts w:ascii="Arial" w:hAnsi="Arial" w:cs="Arial"/>
          <w:szCs w:val="24"/>
        </w:rPr>
        <w:t>валутног</w:t>
      </w:r>
      <w:r w:rsidR="007B6BE3" w:rsidRPr="0087376B">
        <w:rPr>
          <w:rFonts w:ascii="Arial" w:hAnsi="Arial" w:cs="Arial"/>
          <w:szCs w:val="24"/>
        </w:rPr>
        <w:t xml:space="preserve"> </w:t>
      </w:r>
      <w:r>
        <w:rPr>
          <w:rFonts w:ascii="Arial" w:hAnsi="Arial" w:cs="Arial"/>
          <w:szCs w:val="24"/>
        </w:rPr>
        <w:t>курса</w:t>
      </w:r>
      <w:r w:rsidR="007B6BE3" w:rsidRPr="0087376B">
        <w:rPr>
          <w:rFonts w:ascii="Arial" w:hAnsi="Arial" w:cs="Arial"/>
          <w:szCs w:val="24"/>
        </w:rPr>
        <w:t xml:space="preserve"> </w:t>
      </w:r>
      <w:r>
        <w:rPr>
          <w:rFonts w:ascii="Arial" w:hAnsi="Arial" w:cs="Arial"/>
          <w:szCs w:val="24"/>
        </w:rPr>
        <w:t>одражавају</w:t>
      </w:r>
      <w:r w:rsidR="007B6BE3" w:rsidRPr="0087376B">
        <w:rPr>
          <w:rFonts w:ascii="Arial" w:hAnsi="Arial" w:cs="Arial"/>
          <w:szCs w:val="24"/>
        </w:rPr>
        <w:t xml:space="preserve"> </w:t>
      </w:r>
      <w:r>
        <w:rPr>
          <w:rFonts w:ascii="Arial" w:hAnsi="Arial" w:cs="Arial"/>
          <w:szCs w:val="24"/>
        </w:rPr>
        <w:t>се</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однос</w:t>
      </w:r>
      <w:r w:rsidR="007B6BE3" w:rsidRPr="0087376B">
        <w:rPr>
          <w:rFonts w:ascii="Arial" w:hAnsi="Arial" w:cs="Arial"/>
          <w:szCs w:val="24"/>
        </w:rPr>
        <w:t xml:space="preserve"> </w:t>
      </w:r>
      <w:r>
        <w:rPr>
          <w:rFonts w:ascii="Arial" w:hAnsi="Arial" w:cs="Arial"/>
          <w:szCs w:val="24"/>
        </w:rPr>
        <w:t>дуг</w:t>
      </w:r>
      <w:r w:rsidR="007B6BE3" w:rsidRPr="0087376B">
        <w:rPr>
          <w:rFonts w:ascii="Arial" w:hAnsi="Arial" w:cs="Arial"/>
          <w:szCs w:val="24"/>
        </w:rPr>
        <w:t>/</w:t>
      </w:r>
      <w:r>
        <w:rPr>
          <w:rFonts w:ascii="Arial" w:hAnsi="Arial" w:cs="Arial"/>
          <w:szCs w:val="24"/>
        </w:rPr>
        <w:t>БДП</w:t>
      </w:r>
      <w:r w:rsidR="007B6BE3" w:rsidRPr="0087376B">
        <w:rPr>
          <w:rFonts w:ascii="Arial" w:hAnsi="Arial" w:cs="Arial"/>
          <w:szCs w:val="24"/>
        </w:rPr>
        <w:t xml:space="preserve">. </w:t>
      </w:r>
      <w:r>
        <w:rPr>
          <w:rFonts w:ascii="Arial" w:hAnsi="Arial" w:cs="Arial"/>
          <w:szCs w:val="24"/>
        </w:rPr>
        <w:t>Учешће</w:t>
      </w:r>
      <w:r w:rsidR="007B6BE3" w:rsidRPr="0087376B">
        <w:rPr>
          <w:rFonts w:ascii="Arial" w:hAnsi="Arial" w:cs="Arial"/>
          <w:szCs w:val="24"/>
        </w:rPr>
        <w:t xml:space="preserve"> </w:t>
      </w:r>
      <w:r>
        <w:rPr>
          <w:rFonts w:ascii="Arial" w:hAnsi="Arial" w:cs="Arial"/>
          <w:szCs w:val="24"/>
        </w:rPr>
        <w:t>до</w:t>
      </w:r>
      <w:r w:rsidR="007B6BE3" w:rsidRPr="0087376B">
        <w:rPr>
          <w:rFonts w:ascii="Arial" w:hAnsi="Arial" w:cs="Arial"/>
          <w:szCs w:val="24"/>
        </w:rPr>
        <w:t xml:space="preserve"> </w:t>
      </w:r>
      <w:r>
        <w:rPr>
          <w:rFonts w:ascii="Arial" w:hAnsi="Arial" w:cs="Arial"/>
          <w:szCs w:val="24"/>
        </w:rPr>
        <w:t>сада</w:t>
      </w:r>
      <w:r w:rsidR="007B6BE3" w:rsidRPr="0087376B">
        <w:rPr>
          <w:rFonts w:ascii="Arial" w:hAnsi="Arial" w:cs="Arial"/>
          <w:szCs w:val="24"/>
        </w:rPr>
        <w:t xml:space="preserve"> </w:t>
      </w:r>
      <w:r>
        <w:rPr>
          <w:rFonts w:ascii="Arial" w:hAnsi="Arial" w:cs="Arial"/>
          <w:szCs w:val="24"/>
        </w:rPr>
        <w:t>плаћене</w:t>
      </w:r>
      <w:r w:rsidR="007B6BE3" w:rsidRPr="0087376B">
        <w:rPr>
          <w:rFonts w:ascii="Arial" w:hAnsi="Arial" w:cs="Arial"/>
          <w:szCs w:val="24"/>
        </w:rPr>
        <w:t xml:space="preserve"> </w:t>
      </w:r>
      <w:r>
        <w:rPr>
          <w:rFonts w:ascii="Arial" w:hAnsi="Arial" w:cs="Arial"/>
          <w:szCs w:val="24"/>
        </w:rPr>
        <w:t>камате</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БДП</w:t>
      </w:r>
      <w:r w:rsidR="007B6BE3" w:rsidRPr="0087376B">
        <w:rPr>
          <w:rFonts w:ascii="Arial" w:hAnsi="Arial" w:cs="Arial"/>
          <w:szCs w:val="24"/>
        </w:rPr>
        <w:t>-</w:t>
      </w:r>
      <w:r>
        <w:rPr>
          <w:rFonts w:ascii="Arial" w:hAnsi="Arial" w:cs="Arial"/>
          <w:szCs w:val="24"/>
        </w:rPr>
        <w:t>у</w:t>
      </w:r>
      <w:r w:rsidR="007B6BE3" w:rsidRPr="0087376B">
        <w:rPr>
          <w:rFonts w:ascii="Arial" w:hAnsi="Arial" w:cs="Arial"/>
          <w:szCs w:val="24"/>
        </w:rPr>
        <w:t xml:space="preserve"> </w:t>
      </w:r>
      <w:r>
        <w:rPr>
          <w:rFonts w:ascii="Arial" w:hAnsi="Arial" w:cs="Arial"/>
          <w:szCs w:val="24"/>
        </w:rPr>
        <w:t>даје</w:t>
      </w:r>
      <w:r w:rsidR="007B6BE3" w:rsidRPr="0087376B">
        <w:rPr>
          <w:rFonts w:ascii="Arial" w:hAnsi="Arial" w:cs="Arial"/>
          <w:szCs w:val="24"/>
        </w:rPr>
        <w:t xml:space="preserve"> </w:t>
      </w:r>
      <w:r>
        <w:rPr>
          <w:rFonts w:ascii="Arial" w:hAnsi="Arial" w:cs="Arial"/>
          <w:szCs w:val="24"/>
        </w:rPr>
        <w:t>процјену</w:t>
      </w:r>
      <w:r w:rsidR="007B6BE3" w:rsidRPr="0087376B">
        <w:rPr>
          <w:rFonts w:ascii="Arial" w:hAnsi="Arial" w:cs="Arial"/>
          <w:szCs w:val="24"/>
        </w:rPr>
        <w:t xml:space="preserve"> </w:t>
      </w:r>
      <w:r>
        <w:rPr>
          <w:rFonts w:ascii="Arial" w:hAnsi="Arial" w:cs="Arial"/>
          <w:szCs w:val="24"/>
        </w:rPr>
        <w:t>потенцијалног</w:t>
      </w:r>
      <w:r w:rsidR="007B6BE3" w:rsidRPr="0087376B">
        <w:rPr>
          <w:rFonts w:ascii="Arial" w:hAnsi="Arial" w:cs="Arial"/>
          <w:szCs w:val="24"/>
        </w:rPr>
        <w:t xml:space="preserve"> </w:t>
      </w:r>
      <w:r>
        <w:rPr>
          <w:rFonts w:ascii="Arial" w:hAnsi="Arial" w:cs="Arial"/>
          <w:szCs w:val="24"/>
        </w:rPr>
        <w:t>утицаја</w:t>
      </w:r>
      <w:r w:rsidR="007B6BE3" w:rsidRPr="0087376B">
        <w:rPr>
          <w:rFonts w:ascii="Arial" w:hAnsi="Arial" w:cs="Arial"/>
          <w:szCs w:val="24"/>
        </w:rPr>
        <w:t xml:space="preserve"> </w:t>
      </w:r>
      <w:r>
        <w:rPr>
          <w:rFonts w:ascii="Arial" w:hAnsi="Arial" w:cs="Arial"/>
          <w:szCs w:val="24"/>
        </w:rPr>
        <w:t>сваке</w:t>
      </w:r>
      <w:r w:rsidR="007B6BE3" w:rsidRPr="0087376B">
        <w:rPr>
          <w:rFonts w:ascii="Arial" w:hAnsi="Arial" w:cs="Arial"/>
          <w:szCs w:val="24"/>
        </w:rPr>
        <w:t xml:space="preserve"> </w:t>
      </w:r>
      <w:r>
        <w:rPr>
          <w:rFonts w:ascii="Arial" w:hAnsi="Arial" w:cs="Arial"/>
          <w:szCs w:val="24"/>
        </w:rPr>
        <w:t>стратегије</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буџет</w:t>
      </w:r>
      <w:r w:rsidR="007B6BE3" w:rsidRPr="0087376B">
        <w:rPr>
          <w:rFonts w:ascii="Arial" w:hAnsi="Arial" w:cs="Arial"/>
          <w:szCs w:val="24"/>
        </w:rPr>
        <w:t xml:space="preserve">. </w:t>
      </w:r>
      <w:r>
        <w:rPr>
          <w:rFonts w:ascii="Arial" w:hAnsi="Arial" w:cs="Arial"/>
          <w:szCs w:val="24"/>
        </w:rPr>
        <w:t>Ризик</w:t>
      </w:r>
      <w:r w:rsidR="007B6BE3" w:rsidRPr="0087376B">
        <w:rPr>
          <w:rFonts w:ascii="Arial" w:hAnsi="Arial" w:cs="Arial"/>
          <w:szCs w:val="24"/>
        </w:rPr>
        <w:t xml:space="preserve"> </w:t>
      </w:r>
      <w:r>
        <w:rPr>
          <w:rFonts w:ascii="Arial" w:hAnsi="Arial" w:cs="Arial"/>
          <w:szCs w:val="24"/>
        </w:rPr>
        <w:t>дате</w:t>
      </w:r>
      <w:r w:rsidR="007B6BE3" w:rsidRPr="0087376B">
        <w:rPr>
          <w:rFonts w:ascii="Arial" w:hAnsi="Arial" w:cs="Arial"/>
          <w:szCs w:val="24"/>
        </w:rPr>
        <w:t xml:space="preserve"> </w:t>
      </w:r>
      <w:r>
        <w:rPr>
          <w:rFonts w:ascii="Arial" w:hAnsi="Arial" w:cs="Arial"/>
          <w:szCs w:val="24"/>
        </w:rPr>
        <w:t>стратегије</w:t>
      </w:r>
      <w:r w:rsidR="007B6BE3" w:rsidRPr="0087376B">
        <w:rPr>
          <w:rFonts w:ascii="Arial" w:hAnsi="Arial" w:cs="Arial"/>
          <w:szCs w:val="24"/>
        </w:rPr>
        <w:t xml:space="preserve"> </w:t>
      </w:r>
      <w:r>
        <w:rPr>
          <w:rFonts w:ascii="Arial" w:hAnsi="Arial" w:cs="Arial"/>
          <w:szCs w:val="24"/>
        </w:rPr>
        <w:t>је</w:t>
      </w:r>
      <w:r w:rsidR="007B6BE3" w:rsidRPr="0087376B">
        <w:rPr>
          <w:rFonts w:ascii="Arial" w:hAnsi="Arial" w:cs="Arial"/>
          <w:szCs w:val="24"/>
        </w:rPr>
        <w:t xml:space="preserve"> </w:t>
      </w:r>
      <w:r>
        <w:rPr>
          <w:rFonts w:ascii="Arial" w:hAnsi="Arial" w:cs="Arial"/>
          <w:szCs w:val="24"/>
        </w:rPr>
        <w:t>разлика</w:t>
      </w:r>
      <w:r w:rsidR="007B6BE3" w:rsidRPr="0087376B">
        <w:rPr>
          <w:rFonts w:ascii="Arial" w:hAnsi="Arial" w:cs="Arial"/>
          <w:szCs w:val="24"/>
        </w:rPr>
        <w:t xml:space="preserve"> </w:t>
      </w:r>
      <w:r>
        <w:rPr>
          <w:rFonts w:ascii="Arial" w:hAnsi="Arial" w:cs="Arial"/>
          <w:szCs w:val="24"/>
        </w:rPr>
        <w:t>између</w:t>
      </w:r>
      <w:r w:rsidR="007B6BE3" w:rsidRPr="0087376B">
        <w:rPr>
          <w:rFonts w:ascii="Arial" w:hAnsi="Arial" w:cs="Arial"/>
          <w:szCs w:val="24"/>
        </w:rPr>
        <w:t xml:space="preserve"> </w:t>
      </w:r>
      <w:r>
        <w:rPr>
          <w:rFonts w:ascii="Arial" w:hAnsi="Arial" w:cs="Arial"/>
          <w:szCs w:val="24"/>
        </w:rPr>
        <w:t>њених</w:t>
      </w:r>
      <w:r w:rsidR="007B6BE3" w:rsidRPr="0087376B">
        <w:rPr>
          <w:rFonts w:ascii="Arial" w:hAnsi="Arial" w:cs="Arial"/>
          <w:szCs w:val="24"/>
        </w:rPr>
        <w:t xml:space="preserve"> </w:t>
      </w:r>
      <w:r>
        <w:rPr>
          <w:rFonts w:ascii="Arial" w:hAnsi="Arial" w:cs="Arial"/>
          <w:szCs w:val="24"/>
        </w:rPr>
        <w:t>трошкова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сценарију</w:t>
      </w:r>
      <w:r w:rsidR="007B6BE3" w:rsidRPr="0087376B">
        <w:rPr>
          <w:rFonts w:ascii="Arial" w:hAnsi="Arial" w:cs="Arial"/>
          <w:szCs w:val="24"/>
        </w:rPr>
        <w:t xml:space="preserve"> </w:t>
      </w:r>
      <w:r>
        <w:rPr>
          <w:rFonts w:ascii="Arial" w:hAnsi="Arial" w:cs="Arial"/>
          <w:szCs w:val="24"/>
        </w:rPr>
        <w:t>шока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односу</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основни</w:t>
      </w:r>
      <w:r w:rsidR="007B6BE3" w:rsidRPr="0087376B">
        <w:rPr>
          <w:rFonts w:ascii="Arial" w:hAnsi="Arial" w:cs="Arial"/>
          <w:szCs w:val="24"/>
        </w:rPr>
        <w:t xml:space="preserve"> (</w:t>
      </w:r>
      <w:r>
        <w:rPr>
          <w:rFonts w:ascii="Arial" w:hAnsi="Arial" w:cs="Arial"/>
          <w:szCs w:val="24"/>
        </w:rPr>
        <w:t>базни</w:t>
      </w:r>
      <w:r w:rsidR="007B6BE3" w:rsidRPr="0087376B">
        <w:rPr>
          <w:rFonts w:ascii="Arial" w:hAnsi="Arial" w:cs="Arial"/>
          <w:szCs w:val="24"/>
        </w:rPr>
        <w:t xml:space="preserve">) </w:t>
      </w:r>
      <w:r>
        <w:rPr>
          <w:rFonts w:ascii="Arial" w:hAnsi="Arial" w:cs="Arial"/>
          <w:szCs w:val="24"/>
        </w:rPr>
        <w:t>сценариј</w:t>
      </w:r>
      <w:r w:rsidR="007B6BE3" w:rsidRPr="0087376B">
        <w:rPr>
          <w:rFonts w:ascii="Arial" w:hAnsi="Arial" w:cs="Arial"/>
          <w:szCs w:val="24"/>
        </w:rPr>
        <w:t xml:space="preserve">. </w:t>
      </w:r>
    </w:p>
    <w:p w14:paraId="10D2900E" w14:textId="77777777" w:rsidR="007B6BE3" w:rsidRPr="0087376B" w:rsidRDefault="005B20F8" w:rsidP="007B6BE3">
      <w:pPr>
        <w:spacing w:after="0"/>
        <w:ind w:firstLine="284"/>
        <w:jc w:val="both"/>
        <w:rPr>
          <w:rFonts w:ascii="Arial" w:hAnsi="Arial" w:cs="Arial"/>
          <w:strike/>
          <w:szCs w:val="24"/>
        </w:rPr>
      </w:pPr>
      <w:r>
        <w:rPr>
          <w:rFonts w:ascii="Arial" w:hAnsi="Arial" w:cs="Arial"/>
          <w:szCs w:val="24"/>
        </w:rPr>
        <w:t>Трошак</w:t>
      </w:r>
      <w:r w:rsidR="007B6BE3" w:rsidRPr="0087376B">
        <w:rPr>
          <w:rFonts w:ascii="Arial" w:hAnsi="Arial" w:cs="Arial"/>
          <w:szCs w:val="24"/>
        </w:rPr>
        <w:t xml:space="preserve"> </w:t>
      </w:r>
      <w:r>
        <w:rPr>
          <w:rFonts w:ascii="Arial" w:hAnsi="Arial" w:cs="Arial"/>
          <w:szCs w:val="24"/>
        </w:rPr>
        <w:t>сервисирања</w:t>
      </w:r>
      <w:r w:rsidR="007B6BE3" w:rsidRPr="0087376B">
        <w:rPr>
          <w:rFonts w:ascii="Arial" w:hAnsi="Arial" w:cs="Arial"/>
          <w:szCs w:val="24"/>
        </w:rPr>
        <w:t xml:space="preserve"> </w:t>
      </w:r>
      <w:r>
        <w:rPr>
          <w:rFonts w:ascii="Arial" w:hAnsi="Arial" w:cs="Arial"/>
          <w:szCs w:val="24"/>
        </w:rPr>
        <w:t>дуга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директној</w:t>
      </w:r>
      <w:r w:rsidR="007B6BE3" w:rsidRPr="0087376B">
        <w:rPr>
          <w:rFonts w:ascii="Arial" w:hAnsi="Arial" w:cs="Arial"/>
          <w:szCs w:val="24"/>
        </w:rPr>
        <w:t xml:space="preserve"> </w:t>
      </w:r>
      <w:r>
        <w:rPr>
          <w:rFonts w:ascii="Arial" w:hAnsi="Arial" w:cs="Arial"/>
          <w:szCs w:val="24"/>
        </w:rPr>
        <w:t>је</w:t>
      </w:r>
      <w:r w:rsidR="007B6BE3" w:rsidRPr="0087376B">
        <w:rPr>
          <w:rFonts w:ascii="Arial" w:hAnsi="Arial" w:cs="Arial"/>
          <w:szCs w:val="24"/>
        </w:rPr>
        <w:t xml:space="preserve"> </w:t>
      </w:r>
      <w:r>
        <w:rPr>
          <w:rFonts w:ascii="Arial" w:hAnsi="Arial" w:cs="Arial"/>
          <w:szCs w:val="24"/>
        </w:rPr>
        <w:t>корелацији</w:t>
      </w:r>
      <w:r w:rsidR="007B6BE3" w:rsidRPr="0087376B">
        <w:rPr>
          <w:rFonts w:ascii="Arial" w:hAnsi="Arial" w:cs="Arial"/>
          <w:szCs w:val="24"/>
        </w:rPr>
        <w:t xml:space="preserve"> </w:t>
      </w:r>
      <w:r>
        <w:rPr>
          <w:rFonts w:ascii="Arial" w:hAnsi="Arial" w:cs="Arial"/>
          <w:szCs w:val="24"/>
        </w:rPr>
        <w:t>са</w:t>
      </w:r>
      <w:r w:rsidR="007B6BE3" w:rsidRPr="0087376B">
        <w:rPr>
          <w:rFonts w:ascii="Arial" w:hAnsi="Arial" w:cs="Arial"/>
          <w:szCs w:val="24"/>
        </w:rPr>
        <w:t xml:space="preserve"> </w:t>
      </w:r>
      <w:r>
        <w:rPr>
          <w:rFonts w:ascii="Arial" w:hAnsi="Arial" w:cs="Arial"/>
          <w:szCs w:val="24"/>
        </w:rPr>
        <w:t>промјенама</w:t>
      </w:r>
      <w:r w:rsidR="007B6BE3" w:rsidRPr="0087376B">
        <w:rPr>
          <w:rFonts w:ascii="Arial" w:hAnsi="Arial" w:cs="Arial"/>
          <w:szCs w:val="24"/>
        </w:rPr>
        <w:t xml:space="preserve"> </w:t>
      </w:r>
      <w:r>
        <w:rPr>
          <w:rFonts w:ascii="Arial" w:hAnsi="Arial" w:cs="Arial"/>
          <w:szCs w:val="24"/>
        </w:rPr>
        <w:t>каматних</w:t>
      </w:r>
      <w:r w:rsidR="007B6BE3" w:rsidRPr="0087376B">
        <w:rPr>
          <w:rFonts w:ascii="Arial" w:hAnsi="Arial" w:cs="Arial"/>
          <w:szCs w:val="24"/>
        </w:rPr>
        <w:t xml:space="preserve"> </w:t>
      </w:r>
      <w:r>
        <w:rPr>
          <w:rFonts w:ascii="Arial" w:hAnsi="Arial" w:cs="Arial"/>
          <w:szCs w:val="24"/>
        </w:rPr>
        <w:t>стопа</w:t>
      </w:r>
      <w:r w:rsidR="007B6BE3" w:rsidRPr="0087376B">
        <w:rPr>
          <w:rFonts w:ascii="Arial" w:hAnsi="Arial" w:cs="Arial"/>
          <w:szCs w:val="24"/>
        </w:rPr>
        <w:t xml:space="preserve">. </w:t>
      </w:r>
      <w:r>
        <w:rPr>
          <w:rFonts w:ascii="Arial" w:hAnsi="Arial" w:cs="Arial"/>
          <w:szCs w:val="24"/>
        </w:rPr>
        <w:t>Дуг</w:t>
      </w:r>
      <w:r w:rsidR="007B6BE3" w:rsidRPr="0087376B">
        <w:rPr>
          <w:rFonts w:ascii="Arial" w:hAnsi="Arial" w:cs="Arial"/>
          <w:szCs w:val="24"/>
        </w:rPr>
        <w:t xml:space="preserve"> </w:t>
      </w:r>
      <w:r>
        <w:rPr>
          <w:rFonts w:ascii="Arial" w:hAnsi="Arial" w:cs="Arial"/>
          <w:szCs w:val="24"/>
        </w:rPr>
        <w:t>са</w:t>
      </w:r>
      <w:r w:rsidR="007B6BE3" w:rsidRPr="0087376B">
        <w:rPr>
          <w:rFonts w:ascii="Arial" w:hAnsi="Arial" w:cs="Arial"/>
          <w:szCs w:val="24"/>
        </w:rPr>
        <w:t xml:space="preserve"> </w:t>
      </w:r>
      <w:r>
        <w:rPr>
          <w:rFonts w:ascii="Arial" w:hAnsi="Arial" w:cs="Arial"/>
          <w:szCs w:val="24"/>
        </w:rPr>
        <w:t>високим</w:t>
      </w:r>
      <w:r w:rsidR="007B6BE3" w:rsidRPr="0087376B">
        <w:rPr>
          <w:rFonts w:ascii="Arial" w:hAnsi="Arial" w:cs="Arial"/>
          <w:szCs w:val="24"/>
        </w:rPr>
        <w:t xml:space="preserve"> </w:t>
      </w:r>
      <w:r>
        <w:rPr>
          <w:rFonts w:ascii="Arial" w:hAnsi="Arial" w:cs="Arial"/>
          <w:szCs w:val="24"/>
        </w:rPr>
        <w:t>каматним</w:t>
      </w:r>
      <w:r w:rsidR="007B6BE3" w:rsidRPr="0087376B">
        <w:rPr>
          <w:rFonts w:ascii="Arial" w:hAnsi="Arial" w:cs="Arial"/>
          <w:szCs w:val="24"/>
        </w:rPr>
        <w:t xml:space="preserve"> </w:t>
      </w:r>
      <w:r>
        <w:rPr>
          <w:rFonts w:ascii="Arial" w:hAnsi="Arial" w:cs="Arial"/>
          <w:szCs w:val="24"/>
        </w:rPr>
        <w:t>стопама</w:t>
      </w:r>
      <w:r w:rsidR="007B6BE3" w:rsidRPr="0087376B">
        <w:rPr>
          <w:rFonts w:ascii="Arial" w:hAnsi="Arial" w:cs="Arial"/>
          <w:szCs w:val="24"/>
        </w:rPr>
        <w:t xml:space="preserve"> </w:t>
      </w:r>
      <w:r>
        <w:rPr>
          <w:rFonts w:ascii="Arial" w:hAnsi="Arial" w:cs="Arial"/>
          <w:szCs w:val="24"/>
        </w:rPr>
        <w:t>генерира</w:t>
      </w:r>
      <w:r w:rsidR="007B6BE3" w:rsidRPr="0087376B">
        <w:rPr>
          <w:rFonts w:ascii="Arial" w:hAnsi="Arial" w:cs="Arial"/>
          <w:szCs w:val="24"/>
        </w:rPr>
        <w:t xml:space="preserve"> </w:t>
      </w:r>
      <w:r>
        <w:rPr>
          <w:rFonts w:ascii="Arial" w:hAnsi="Arial" w:cs="Arial"/>
          <w:szCs w:val="24"/>
        </w:rPr>
        <w:t>током</w:t>
      </w:r>
      <w:r w:rsidR="007B6BE3" w:rsidRPr="0087376B">
        <w:rPr>
          <w:rFonts w:ascii="Arial" w:hAnsi="Arial" w:cs="Arial"/>
          <w:szCs w:val="24"/>
        </w:rPr>
        <w:t xml:space="preserve"> </w:t>
      </w:r>
      <w:r>
        <w:rPr>
          <w:rFonts w:ascii="Arial" w:hAnsi="Arial" w:cs="Arial"/>
          <w:szCs w:val="24"/>
        </w:rPr>
        <w:t>времена</w:t>
      </w:r>
      <w:r w:rsidR="007B6BE3" w:rsidRPr="0087376B">
        <w:rPr>
          <w:rFonts w:ascii="Arial" w:hAnsi="Arial" w:cs="Arial"/>
          <w:szCs w:val="24"/>
        </w:rPr>
        <w:t xml:space="preserve"> </w:t>
      </w:r>
      <w:r>
        <w:rPr>
          <w:rFonts w:ascii="Arial" w:hAnsi="Arial" w:cs="Arial"/>
          <w:szCs w:val="24"/>
        </w:rPr>
        <w:t>веће</w:t>
      </w:r>
      <w:r w:rsidR="007B6BE3" w:rsidRPr="0087376B">
        <w:rPr>
          <w:rFonts w:ascii="Arial" w:hAnsi="Arial" w:cs="Arial"/>
          <w:szCs w:val="24"/>
        </w:rPr>
        <w:t xml:space="preserve"> </w:t>
      </w:r>
      <w:r>
        <w:rPr>
          <w:rFonts w:ascii="Arial" w:hAnsi="Arial" w:cs="Arial"/>
          <w:szCs w:val="24"/>
        </w:rPr>
        <w:t>трошкове</w:t>
      </w:r>
      <w:r w:rsidR="007B6BE3" w:rsidRPr="0087376B">
        <w:rPr>
          <w:rFonts w:ascii="Arial" w:hAnsi="Arial" w:cs="Arial"/>
          <w:szCs w:val="24"/>
        </w:rPr>
        <w:t xml:space="preserve"> </w:t>
      </w:r>
      <w:r>
        <w:rPr>
          <w:rFonts w:ascii="Arial" w:hAnsi="Arial" w:cs="Arial"/>
          <w:szCs w:val="24"/>
        </w:rPr>
        <w:t>дуга</w:t>
      </w:r>
      <w:r w:rsidR="007B6BE3" w:rsidRPr="0087376B">
        <w:rPr>
          <w:rFonts w:ascii="Arial" w:hAnsi="Arial" w:cs="Arial"/>
          <w:szCs w:val="24"/>
        </w:rPr>
        <w:t xml:space="preserve">, </w:t>
      </w:r>
      <w:r>
        <w:rPr>
          <w:rFonts w:ascii="Arial" w:hAnsi="Arial" w:cs="Arial"/>
          <w:szCs w:val="24"/>
        </w:rPr>
        <w:t>односно</w:t>
      </w:r>
      <w:r w:rsidR="007B6BE3" w:rsidRPr="0087376B">
        <w:rPr>
          <w:rFonts w:ascii="Arial" w:hAnsi="Arial" w:cs="Arial"/>
          <w:szCs w:val="24"/>
        </w:rPr>
        <w:t xml:space="preserve"> </w:t>
      </w:r>
      <w:r>
        <w:rPr>
          <w:rFonts w:ascii="Arial" w:hAnsi="Arial" w:cs="Arial"/>
          <w:szCs w:val="24"/>
        </w:rPr>
        <w:t>повећава</w:t>
      </w:r>
      <w:r w:rsidR="007B6BE3" w:rsidRPr="0087376B">
        <w:rPr>
          <w:rFonts w:ascii="Arial" w:hAnsi="Arial" w:cs="Arial"/>
          <w:szCs w:val="24"/>
        </w:rPr>
        <w:t xml:space="preserve"> </w:t>
      </w:r>
      <w:r>
        <w:rPr>
          <w:rFonts w:ascii="Arial" w:hAnsi="Arial" w:cs="Arial"/>
          <w:szCs w:val="24"/>
        </w:rPr>
        <w:t>потребе</w:t>
      </w:r>
      <w:r w:rsidR="007B6BE3" w:rsidRPr="0087376B">
        <w:rPr>
          <w:rFonts w:ascii="Arial" w:hAnsi="Arial" w:cs="Arial"/>
          <w:szCs w:val="24"/>
        </w:rPr>
        <w:t xml:space="preserve"> </w:t>
      </w:r>
      <w:r>
        <w:rPr>
          <w:rFonts w:ascii="Arial" w:hAnsi="Arial" w:cs="Arial"/>
          <w:szCs w:val="24"/>
        </w:rPr>
        <w:t>за</w:t>
      </w:r>
      <w:r w:rsidR="007B6BE3" w:rsidRPr="0087376B">
        <w:rPr>
          <w:rFonts w:ascii="Arial" w:hAnsi="Arial" w:cs="Arial"/>
          <w:szCs w:val="24"/>
        </w:rPr>
        <w:t xml:space="preserve"> </w:t>
      </w:r>
      <w:r>
        <w:rPr>
          <w:rFonts w:ascii="Arial" w:hAnsi="Arial" w:cs="Arial"/>
          <w:szCs w:val="24"/>
        </w:rPr>
        <w:t>рефинансирањем</w:t>
      </w:r>
      <w:r w:rsidR="007B6BE3" w:rsidRPr="0087376B">
        <w:rPr>
          <w:rFonts w:ascii="Arial" w:hAnsi="Arial" w:cs="Arial"/>
          <w:szCs w:val="24"/>
        </w:rPr>
        <w:t xml:space="preserve">. </w:t>
      </w:r>
      <w:r>
        <w:rPr>
          <w:rFonts w:ascii="Arial" w:hAnsi="Arial" w:cs="Arial"/>
          <w:szCs w:val="24"/>
        </w:rPr>
        <w:t>Стратегија</w:t>
      </w:r>
      <w:r w:rsidR="007B6BE3" w:rsidRPr="0087376B">
        <w:rPr>
          <w:rFonts w:ascii="Arial" w:hAnsi="Arial" w:cs="Arial"/>
          <w:szCs w:val="24"/>
        </w:rPr>
        <w:t xml:space="preserve"> </w:t>
      </w:r>
      <w:r>
        <w:rPr>
          <w:rFonts w:ascii="Arial" w:hAnsi="Arial" w:cs="Arial"/>
          <w:szCs w:val="24"/>
        </w:rPr>
        <w:t>С</w:t>
      </w:r>
      <w:r w:rsidR="007B6BE3" w:rsidRPr="0087376B">
        <w:rPr>
          <w:rFonts w:ascii="Arial" w:hAnsi="Arial" w:cs="Arial"/>
          <w:szCs w:val="24"/>
        </w:rPr>
        <w:t xml:space="preserve">4 </w:t>
      </w:r>
      <w:r>
        <w:rPr>
          <w:rFonts w:ascii="Arial" w:hAnsi="Arial" w:cs="Arial"/>
          <w:szCs w:val="24"/>
        </w:rPr>
        <w:t>је</w:t>
      </w:r>
      <w:r w:rsidR="007B6BE3" w:rsidRPr="0087376B">
        <w:rPr>
          <w:rFonts w:ascii="Arial" w:hAnsi="Arial" w:cs="Arial"/>
          <w:szCs w:val="24"/>
        </w:rPr>
        <w:t xml:space="preserve"> </w:t>
      </w:r>
      <w:r>
        <w:rPr>
          <w:rFonts w:ascii="Arial" w:hAnsi="Arial" w:cs="Arial"/>
          <w:szCs w:val="24"/>
        </w:rPr>
        <w:t>најмање</w:t>
      </w:r>
      <w:r w:rsidR="007B6BE3" w:rsidRPr="0087376B">
        <w:rPr>
          <w:rFonts w:ascii="Arial" w:hAnsi="Arial" w:cs="Arial"/>
          <w:szCs w:val="24"/>
        </w:rPr>
        <w:t xml:space="preserve"> </w:t>
      </w:r>
      <w:r w:rsidRPr="00F4660A">
        <w:rPr>
          <w:rFonts w:ascii="Arial" w:hAnsi="Arial" w:cs="Arial"/>
          <w:szCs w:val="24"/>
        </w:rPr>
        <w:t>ризична</w:t>
      </w:r>
      <w:r w:rsidR="007B6BE3" w:rsidRPr="00F4660A">
        <w:rPr>
          <w:rFonts w:ascii="Arial" w:hAnsi="Arial" w:cs="Arial"/>
          <w:szCs w:val="24"/>
        </w:rPr>
        <w:t xml:space="preserve">, </w:t>
      </w:r>
      <w:r w:rsidRPr="00F4660A">
        <w:rPr>
          <w:rFonts w:ascii="Arial" w:hAnsi="Arial" w:cs="Arial"/>
          <w:szCs w:val="24"/>
        </w:rPr>
        <w:t>али</w:t>
      </w:r>
      <w:r w:rsidR="007B6BE3" w:rsidRPr="00F4660A">
        <w:rPr>
          <w:rFonts w:ascii="Arial" w:hAnsi="Arial" w:cs="Arial"/>
          <w:szCs w:val="24"/>
        </w:rPr>
        <w:t xml:space="preserve"> </w:t>
      </w:r>
      <w:r>
        <w:rPr>
          <w:rFonts w:ascii="Arial" w:hAnsi="Arial" w:cs="Arial"/>
          <w:szCs w:val="24"/>
        </w:rPr>
        <w:t>има</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највеће</w:t>
      </w:r>
      <w:r w:rsidR="007B6BE3" w:rsidRPr="0087376B">
        <w:rPr>
          <w:rFonts w:ascii="Arial" w:hAnsi="Arial" w:cs="Arial"/>
          <w:szCs w:val="24"/>
        </w:rPr>
        <w:t xml:space="preserve"> </w:t>
      </w:r>
      <w:r>
        <w:rPr>
          <w:rFonts w:ascii="Arial" w:hAnsi="Arial" w:cs="Arial"/>
          <w:szCs w:val="24"/>
        </w:rPr>
        <w:t>трошкове</w:t>
      </w:r>
      <w:r w:rsidR="007B6BE3" w:rsidRPr="0087376B">
        <w:rPr>
          <w:rFonts w:ascii="Arial" w:hAnsi="Arial" w:cs="Arial"/>
          <w:szCs w:val="24"/>
        </w:rPr>
        <w:t xml:space="preserve"> (</w:t>
      </w:r>
      <w:r>
        <w:rPr>
          <w:rFonts w:ascii="Arial" w:hAnsi="Arial" w:cs="Arial"/>
          <w:szCs w:val="24"/>
        </w:rPr>
        <w:t>Слика</w:t>
      </w:r>
      <w:r w:rsidR="007B6BE3" w:rsidRPr="0087376B">
        <w:rPr>
          <w:rFonts w:ascii="Arial" w:hAnsi="Arial" w:cs="Arial"/>
          <w:szCs w:val="24"/>
        </w:rPr>
        <w:t xml:space="preserve"> 12.) </w:t>
      </w:r>
      <w:r>
        <w:rPr>
          <w:rFonts w:ascii="Arial" w:hAnsi="Arial" w:cs="Arial"/>
          <w:szCs w:val="24"/>
        </w:rPr>
        <w:t>због</w:t>
      </w:r>
      <w:r w:rsidR="007B6BE3" w:rsidRPr="0087376B">
        <w:rPr>
          <w:rFonts w:ascii="Arial" w:hAnsi="Arial" w:cs="Arial"/>
          <w:szCs w:val="24"/>
        </w:rPr>
        <w:t xml:space="preserve"> </w:t>
      </w:r>
      <w:r>
        <w:rPr>
          <w:rFonts w:ascii="Arial" w:hAnsi="Arial" w:cs="Arial"/>
          <w:szCs w:val="24"/>
        </w:rPr>
        <w:t>структуре</w:t>
      </w:r>
      <w:r w:rsidR="007B6BE3" w:rsidRPr="0087376B">
        <w:rPr>
          <w:rFonts w:ascii="Arial" w:hAnsi="Arial" w:cs="Arial"/>
          <w:szCs w:val="24"/>
        </w:rPr>
        <w:t xml:space="preserve"> </w:t>
      </w:r>
      <w:r>
        <w:rPr>
          <w:rFonts w:ascii="Arial" w:hAnsi="Arial" w:cs="Arial"/>
          <w:szCs w:val="24"/>
        </w:rPr>
        <w:t>дуга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којој</w:t>
      </w:r>
      <w:r w:rsidR="007B6BE3" w:rsidRPr="0087376B">
        <w:rPr>
          <w:rFonts w:ascii="Arial" w:hAnsi="Arial" w:cs="Arial"/>
          <w:szCs w:val="24"/>
        </w:rPr>
        <w:t xml:space="preserve"> </w:t>
      </w:r>
      <w:r>
        <w:rPr>
          <w:rFonts w:ascii="Arial" w:hAnsi="Arial" w:cs="Arial"/>
          <w:szCs w:val="24"/>
        </w:rPr>
        <w:t>доминира</w:t>
      </w:r>
      <w:r w:rsidR="007B6BE3" w:rsidRPr="0087376B">
        <w:rPr>
          <w:rFonts w:ascii="Arial" w:hAnsi="Arial" w:cs="Arial"/>
          <w:szCs w:val="24"/>
        </w:rPr>
        <w:t xml:space="preserve"> </w:t>
      </w:r>
      <w:r>
        <w:rPr>
          <w:rFonts w:ascii="Arial" w:hAnsi="Arial" w:cs="Arial"/>
          <w:szCs w:val="24"/>
        </w:rPr>
        <w:t>спољњо</w:t>
      </w:r>
      <w:r w:rsidR="007B6BE3" w:rsidRPr="0087376B">
        <w:rPr>
          <w:rFonts w:ascii="Arial" w:hAnsi="Arial" w:cs="Arial"/>
          <w:szCs w:val="24"/>
        </w:rPr>
        <w:t xml:space="preserve"> </w:t>
      </w:r>
      <w:r>
        <w:rPr>
          <w:rFonts w:ascii="Arial" w:hAnsi="Arial" w:cs="Arial"/>
          <w:szCs w:val="24"/>
        </w:rPr>
        <w:t>задуживање</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sidRPr="00C7294F">
        <w:rPr>
          <w:rFonts w:ascii="Arial" w:hAnsi="Arial" w:cs="Arial"/>
          <w:szCs w:val="24"/>
        </w:rPr>
        <w:t>Е</w:t>
      </w:r>
      <w:r w:rsidR="00C7294F" w:rsidRPr="00C7294F">
        <w:rPr>
          <w:rFonts w:ascii="Arial" w:hAnsi="Arial" w:cs="Arial"/>
          <w:szCs w:val="24"/>
        </w:rPr>
        <w:t>UR</w:t>
      </w:r>
      <w:r w:rsidR="007B6BE3" w:rsidRPr="0087376B">
        <w:rPr>
          <w:rFonts w:ascii="Arial" w:hAnsi="Arial" w:cs="Arial"/>
          <w:szCs w:val="24"/>
        </w:rPr>
        <w:t>-</w:t>
      </w:r>
      <w:r>
        <w:rPr>
          <w:rFonts w:ascii="Arial" w:hAnsi="Arial" w:cs="Arial"/>
          <w:szCs w:val="24"/>
        </w:rPr>
        <w:t>има</w:t>
      </w:r>
      <w:r w:rsidR="007B6BE3" w:rsidRPr="0087376B">
        <w:rPr>
          <w:rFonts w:ascii="Arial" w:hAnsi="Arial" w:cs="Arial"/>
          <w:szCs w:val="24"/>
        </w:rPr>
        <w:t xml:space="preserve"> </w:t>
      </w:r>
      <w:r>
        <w:rPr>
          <w:rFonts w:ascii="Arial" w:hAnsi="Arial" w:cs="Arial"/>
          <w:szCs w:val="24"/>
        </w:rPr>
        <w:t>комбинацијом</w:t>
      </w:r>
      <w:r w:rsidR="007B6BE3" w:rsidRPr="0087376B">
        <w:rPr>
          <w:rFonts w:ascii="Arial" w:hAnsi="Arial" w:cs="Arial"/>
          <w:szCs w:val="24"/>
        </w:rPr>
        <w:t xml:space="preserve"> </w:t>
      </w:r>
      <w:r>
        <w:rPr>
          <w:rFonts w:ascii="Arial" w:hAnsi="Arial" w:cs="Arial"/>
          <w:szCs w:val="24"/>
        </w:rPr>
        <w:t>десетогодишњих</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петнаестогодишњих</w:t>
      </w:r>
      <w:r w:rsidR="007B6BE3" w:rsidRPr="0087376B">
        <w:rPr>
          <w:rFonts w:ascii="Arial" w:hAnsi="Arial" w:cs="Arial"/>
          <w:szCs w:val="24"/>
        </w:rPr>
        <w:t xml:space="preserve"> </w:t>
      </w:r>
      <w:r>
        <w:rPr>
          <w:rFonts w:ascii="Arial" w:hAnsi="Arial" w:cs="Arial"/>
          <w:szCs w:val="24"/>
        </w:rPr>
        <w:t>еурообвезница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условима</w:t>
      </w:r>
      <w:r w:rsidR="007B6BE3" w:rsidRPr="0087376B">
        <w:rPr>
          <w:rFonts w:ascii="Arial" w:hAnsi="Arial" w:cs="Arial"/>
          <w:szCs w:val="24"/>
        </w:rPr>
        <w:t xml:space="preserve"> </w:t>
      </w:r>
      <w:r>
        <w:rPr>
          <w:rFonts w:ascii="Arial" w:hAnsi="Arial" w:cs="Arial"/>
          <w:szCs w:val="24"/>
        </w:rPr>
        <w:t>тржишних</w:t>
      </w:r>
      <w:r w:rsidR="007B6BE3" w:rsidRPr="0087376B">
        <w:rPr>
          <w:rFonts w:ascii="Arial" w:hAnsi="Arial" w:cs="Arial"/>
          <w:szCs w:val="24"/>
        </w:rPr>
        <w:t xml:space="preserve"> </w:t>
      </w:r>
      <w:r>
        <w:rPr>
          <w:rFonts w:ascii="Arial" w:hAnsi="Arial" w:cs="Arial"/>
          <w:szCs w:val="24"/>
        </w:rPr>
        <w:t>каматних</w:t>
      </w:r>
      <w:r w:rsidR="007B6BE3" w:rsidRPr="0087376B">
        <w:rPr>
          <w:rFonts w:ascii="Arial" w:hAnsi="Arial" w:cs="Arial"/>
          <w:szCs w:val="24"/>
        </w:rPr>
        <w:t xml:space="preserve"> </w:t>
      </w:r>
      <w:r>
        <w:rPr>
          <w:rFonts w:ascii="Arial" w:hAnsi="Arial" w:cs="Arial"/>
          <w:szCs w:val="24"/>
        </w:rPr>
        <w:t>стопа</w:t>
      </w:r>
      <w:r w:rsidR="007B6BE3" w:rsidRPr="0087376B">
        <w:rPr>
          <w:rFonts w:ascii="Arial" w:hAnsi="Arial" w:cs="Arial"/>
          <w:szCs w:val="24"/>
        </w:rPr>
        <w:t xml:space="preserve">. </w:t>
      </w:r>
      <w:r>
        <w:rPr>
          <w:rFonts w:ascii="Arial" w:hAnsi="Arial" w:cs="Arial"/>
          <w:szCs w:val="24"/>
        </w:rPr>
        <w:t>Стратегије</w:t>
      </w:r>
      <w:r w:rsidR="007B6BE3" w:rsidRPr="0087376B">
        <w:rPr>
          <w:rFonts w:ascii="Arial" w:hAnsi="Arial" w:cs="Arial"/>
          <w:szCs w:val="24"/>
        </w:rPr>
        <w:t xml:space="preserve"> </w:t>
      </w:r>
      <w:r>
        <w:rPr>
          <w:rFonts w:ascii="Arial" w:hAnsi="Arial" w:cs="Arial"/>
          <w:szCs w:val="24"/>
        </w:rPr>
        <w:t>С</w:t>
      </w:r>
      <w:r w:rsidR="007B6BE3" w:rsidRPr="0087376B">
        <w:rPr>
          <w:rFonts w:ascii="Arial" w:hAnsi="Arial" w:cs="Arial"/>
          <w:szCs w:val="24"/>
        </w:rPr>
        <w:t xml:space="preserve">1, </w:t>
      </w:r>
      <w:r>
        <w:rPr>
          <w:rFonts w:ascii="Arial" w:hAnsi="Arial" w:cs="Arial"/>
          <w:szCs w:val="24"/>
        </w:rPr>
        <w:t>С</w:t>
      </w:r>
      <w:r w:rsidR="007B6BE3" w:rsidRPr="0087376B">
        <w:rPr>
          <w:rFonts w:ascii="Arial" w:hAnsi="Arial" w:cs="Arial"/>
          <w:szCs w:val="24"/>
        </w:rPr>
        <w:t xml:space="preserve">2 </w:t>
      </w:r>
      <w:r>
        <w:rPr>
          <w:rFonts w:ascii="Arial" w:hAnsi="Arial" w:cs="Arial"/>
          <w:szCs w:val="24"/>
        </w:rPr>
        <w:t>и</w:t>
      </w:r>
      <w:r w:rsidR="007B6BE3" w:rsidRPr="0087376B">
        <w:rPr>
          <w:rFonts w:ascii="Arial" w:hAnsi="Arial" w:cs="Arial"/>
          <w:szCs w:val="24"/>
        </w:rPr>
        <w:t xml:space="preserve"> </w:t>
      </w:r>
      <w:r>
        <w:rPr>
          <w:rFonts w:ascii="Arial" w:hAnsi="Arial" w:cs="Arial"/>
          <w:szCs w:val="24"/>
        </w:rPr>
        <w:t>С</w:t>
      </w:r>
      <w:r w:rsidR="007B6BE3" w:rsidRPr="0087376B">
        <w:rPr>
          <w:rFonts w:ascii="Arial" w:hAnsi="Arial" w:cs="Arial"/>
          <w:szCs w:val="24"/>
        </w:rPr>
        <w:t xml:space="preserve">3 </w:t>
      </w:r>
      <w:r>
        <w:rPr>
          <w:rFonts w:ascii="Arial" w:hAnsi="Arial" w:cs="Arial"/>
          <w:szCs w:val="24"/>
        </w:rPr>
        <w:t>имају</w:t>
      </w:r>
      <w:r w:rsidR="007B6BE3" w:rsidRPr="0087376B">
        <w:rPr>
          <w:rFonts w:ascii="Arial" w:hAnsi="Arial" w:cs="Arial"/>
          <w:szCs w:val="24"/>
        </w:rPr>
        <w:t xml:space="preserve"> </w:t>
      </w:r>
      <w:r>
        <w:rPr>
          <w:rFonts w:ascii="Arial" w:hAnsi="Arial" w:cs="Arial"/>
          <w:szCs w:val="24"/>
        </w:rPr>
        <w:t>приближно</w:t>
      </w:r>
      <w:r w:rsidR="007B6BE3" w:rsidRPr="0087376B">
        <w:rPr>
          <w:rFonts w:ascii="Arial" w:hAnsi="Arial" w:cs="Arial"/>
          <w:szCs w:val="24"/>
        </w:rPr>
        <w:t xml:space="preserve"> </w:t>
      </w:r>
      <w:r>
        <w:rPr>
          <w:rFonts w:ascii="Arial" w:hAnsi="Arial" w:cs="Arial"/>
          <w:szCs w:val="24"/>
        </w:rPr>
        <w:t>исте</w:t>
      </w:r>
      <w:r w:rsidR="007B6BE3" w:rsidRPr="0087376B">
        <w:rPr>
          <w:rFonts w:ascii="Arial" w:hAnsi="Arial" w:cs="Arial"/>
          <w:szCs w:val="24"/>
        </w:rPr>
        <w:t xml:space="preserve"> </w:t>
      </w:r>
      <w:r>
        <w:rPr>
          <w:rFonts w:ascii="Arial" w:hAnsi="Arial" w:cs="Arial"/>
          <w:szCs w:val="24"/>
        </w:rPr>
        <w:t>трошкове</w:t>
      </w:r>
      <w:r w:rsidR="007B6BE3" w:rsidRPr="0087376B">
        <w:rPr>
          <w:rFonts w:ascii="Arial" w:hAnsi="Arial" w:cs="Arial"/>
          <w:szCs w:val="24"/>
        </w:rPr>
        <w:t xml:space="preserve">, </w:t>
      </w:r>
      <w:r>
        <w:rPr>
          <w:rFonts w:ascii="Arial" w:hAnsi="Arial" w:cs="Arial"/>
          <w:szCs w:val="24"/>
        </w:rPr>
        <w:t>с</w:t>
      </w:r>
      <w:r w:rsidR="007B6BE3" w:rsidRPr="0087376B">
        <w:rPr>
          <w:rFonts w:ascii="Arial" w:hAnsi="Arial" w:cs="Arial"/>
          <w:szCs w:val="24"/>
        </w:rPr>
        <w:t xml:space="preserve"> </w:t>
      </w:r>
      <w:r>
        <w:rPr>
          <w:rFonts w:ascii="Arial" w:hAnsi="Arial" w:cs="Arial"/>
          <w:szCs w:val="24"/>
        </w:rPr>
        <w:t>тим</w:t>
      </w:r>
      <w:r w:rsidR="007B6BE3" w:rsidRPr="0087376B">
        <w:rPr>
          <w:rFonts w:ascii="Arial" w:hAnsi="Arial" w:cs="Arial"/>
          <w:szCs w:val="24"/>
        </w:rPr>
        <w:t xml:space="preserve"> </w:t>
      </w:r>
      <w:r>
        <w:rPr>
          <w:rFonts w:ascii="Arial" w:hAnsi="Arial" w:cs="Arial"/>
          <w:szCs w:val="24"/>
        </w:rPr>
        <w:t>да</w:t>
      </w:r>
      <w:r w:rsidR="007B6BE3" w:rsidRPr="0087376B">
        <w:rPr>
          <w:rFonts w:ascii="Arial" w:hAnsi="Arial" w:cs="Arial"/>
          <w:szCs w:val="24"/>
        </w:rPr>
        <w:t xml:space="preserve"> </w:t>
      </w:r>
      <w:r>
        <w:rPr>
          <w:rFonts w:ascii="Arial" w:hAnsi="Arial" w:cs="Arial"/>
          <w:szCs w:val="24"/>
        </w:rPr>
        <w:t>је</w:t>
      </w:r>
      <w:r w:rsidR="007B6BE3" w:rsidRPr="0087376B">
        <w:rPr>
          <w:rFonts w:ascii="Arial" w:hAnsi="Arial" w:cs="Arial"/>
          <w:szCs w:val="24"/>
        </w:rPr>
        <w:t xml:space="preserve"> </w:t>
      </w:r>
      <w:r>
        <w:rPr>
          <w:rFonts w:ascii="Arial" w:hAnsi="Arial" w:cs="Arial"/>
          <w:szCs w:val="24"/>
        </w:rPr>
        <w:t>стратегија</w:t>
      </w:r>
      <w:r w:rsidR="007B6BE3" w:rsidRPr="0087376B">
        <w:rPr>
          <w:rFonts w:ascii="Arial" w:hAnsi="Arial" w:cs="Arial"/>
          <w:szCs w:val="24"/>
        </w:rPr>
        <w:t xml:space="preserve"> </w:t>
      </w:r>
      <w:r>
        <w:rPr>
          <w:rFonts w:ascii="Arial" w:hAnsi="Arial" w:cs="Arial"/>
          <w:szCs w:val="24"/>
        </w:rPr>
        <w:t>С</w:t>
      </w:r>
      <w:r w:rsidR="007B6BE3" w:rsidRPr="0087376B">
        <w:rPr>
          <w:rFonts w:ascii="Arial" w:hAnsi="Arial" w:cs="Arial"/>
          <w:szCs w:val="24"/>
        </w:rPr>
        <w:t xml:space="preserve">2 </w:t>
      </w:r>
      <w:r>
        <w:rPr>
          <w:rFonts w:ascii="Arial" w:hAnsi="Arial" w:cs="Arial"/>
          <w:szCs w:val="24"/>
        </w:rPr>
        <w:t>најризичнија</w:t>
      </w:r>
      <w:r w:rsidR="007B6BE3" w:rsidRPr="0087376B">
        <w:rPr>
          <w:rFonts w:ascii="Arial" w:hAnsi="Arial" w:cs="Arial"/>
          <w:szCs w:val="24"/>
        </w:rPr>
        <w:t xml:space="preserve"> </w:t>
      </w:r>
      <w:r>
        <w:rPr>
          <w:rFonts w:ascii="Arial" w:hAnsi="Arial" w:cs="Arial"/>
          <w:szCs w:val="24"/>
        </w:rPr>
        <w:t>с</w:t>
      </w:r>
      <w:r w:rsidR="007B6BE3" w:rsidRPr="0087376B">
        <w:rPr>
          <w:rFonts w:ascii="Arial" w:hAnsi="Arial" w:cs="Arial"/>
          <w:szCs w:val="24"/>
        </w:rPr>
        <w:t xml:space="preserve"> </w:t>
      </w:r>
      <w:r>
        <w:rPr>
          <w:rFonts w:ascii="Arial" w:hAnsi="Arial" w:cs="Arial"/>
          <w:szCs w:val="24"/>
        </w:rPr>
        <w:t>обзиром</w:t>
      </w:r>
      <w:r w:rsidR="007B6BE3" w:rsidRPr="0087376B">
        <w:rPr>
          <w:rFonts w:ascii="Arial" w:hAnsi="Arial" w:cs="Arial"/>
          <w:szCs w:val="24"/>
        </w:rPr>
        <w:t xml:space="preserve"> </w:t>
      </w:r>
      <w:r>
        <w:rPr>
          <w:rFonts w:ascii="Arial" w:hAnsi="Arial" w:cs="Arial"/>
          <w:szCs w:val="24"/>
        </w:rPr>
        <w:t>да</w:t>
      </w:r>
      <w:r w:rsidR="007B6BE3" w:rsidRPr="0087376B">
        <w:rPr>
          <w:rFonts w:ascii="Arial" w:hAnsi="Arial" w:cs="Arial"/>
          <w:szCs w:val="24"/>
        </w:rPr>
        <w:t xml:space="preserve"> </w:t>
      </w:r>
      <w:r>
        <w:rPr>
          <w:rFonts w:ascii="Arial" w:hAnsi="Arial" w:cs="Arial"/>
          <w:szCs w:val="24"/>
        </w:rPr>
        <w:t>су</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стратегији</w:t>
      </w:r>
      <w:r w:rsidR="007B6BE3" w:rsidRPr="0087376B">
        <w:rPr>
          <w:rFonts w:ascii="Arial" w:hAnsi="Arial" w:cs="Arial"/>
          <w:szCs w:val="24"/>
        </w:rPr>
        <w:t xml:space="preserve"> </w:t>
      </w:r>
      <w:r>
        <w:rPr>
          <w:rFonts w:ascii="Arial" w:hAnsi="Arial" w:cs="Arial"/>
          <w:szCs w:val="24"/>
        </w:rPr>
        <w:t>С</w:t>
      </w:r>
      <w:r w:rsidR="007B6BE3" w:rsidRPr="0087376B">
        <w:rPr>
          <w:rFonts w:ascii="Arial" w:hAnsi="Arial" w:cs="Arial"/>
          <w:szCs w:val="24"/>
        </w:rPr>
        <w:t xml:space="preserve">2 </w:t>
      </w:r>
      <w:r>
        <w:rPr>
          <w:rFonts w:ascii="Arial" w:hAnsi="Arial" w:cs="Arial"/>
          <w:szCs w:val="24"/>
        </w:rPr>
        <w:t>разматрани</w:t>
      </w:r>
      <w:r w:rsidR="007B6BE3" w:rsidRPr="0087376B">
        <w:rPr>
          <w:rFonts w:ascii="Arial" w:hAnsi="Arial" w:cs="Arial"/>
          <w:szCs w:val="24"/>
        </w:rPr>
        <w:t xml:space="preserve"> </w:t>
      </w:r>
      <w:r>
        <w:rPr>
          <w:rFonts w:ascii="Arial" w:hAnsi="Arial" w:cs="Arial"/>
          <w:szCs w:val="24"/>
        </w:rPr>
        <w:t>кредитни</w:t>
      </w:r>
      <w:r w:rsidR="007B6BE3" w:rsidRPr="0087376B">
        <w:rPr>
          <w:rFonts w:ascii="Arial" w:hAnsi="Arial" w:cs="Arial"/>
          <w:szCs w:val="24"/>
        </w:rPr>
        <w:t xml:space="preserve"> </w:t>
      </w:r>
      <w:r>
        <w:rPr>
          <w:rFonts w:ascii="Arial" w:hAnsi="Arial" w:cs="Arial"/>
          <w:szCs w:val="24"/>
        </w:rPr>
        <w:t>услови</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којима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већем</w:t>
      </w:r>
      <w:r w:rsidR="007B6BE3" w:rsidRPr="0087376B">
        <w:rPr>
          <w:rFonts w:ascii="Arial" w:hAnsi="Arial" w:cs="Arial"/>
          <w:szCs w:val="24"/>
        </w:rPr>
        <w:t xml:space="preserve"> </w:t>
      </w:r>
      <w:r>
        <w:rPr>
          <w:rFonts w:ascii="Arial" w:hAnsi="Arial" w:cs="Arial"/>
          <w:szCs w:val="24"/>
        </w:rPr>
        <w:t>обиму</w:t>
      </w:r>
      <w:r w:rsidR="007B6BE3" w:rsidRPr="0087376B">
        <w:rPr>
          <w:rFonts w:ascii="Arial" w:hAnsi="Arial" w:cs="Arial"/>
          <w:szCs w:val="24"/>
        </w:rPr>
        <w:t xml:space="preserve"> </w:t>
      </w:r>
      <w:r>
        <w:rPr>
          <w:rFonts w:ascii="Arial" w:hAnsi="Arial" w:cs="Arial"/>
          <w:szCs w:val="24"/>
        </w:rPr>
        <w:t>превладавају</w:t>
      </w:r>
      <w:r w:rsidR="007B6BE3" w:rsidRPr="0087376B">
        <w:rPr>
          <w:rFonts w:ascii="Arial" w:hAnsi="Arial" w:cs="Arial"/>
          <w:szCs w:val="24"/>
        </w:rPr>
        <w:t xml:space="preserve"> </w:t>
      </w:r>
      <w:r>
        <w:rPr>
          <w:rFonts w:ascii="Arial" w:hAnsi="Arial" w:cs="Arial"/>
          <w:szCs w:val="24"/>
        </w:rPr>
        <w:t>промјењиве</w:t>
      </w:r>
      <w:r w:rsidR="007B6BE3" w:rsidRPr="0087376B">
        <w:rPr>
          <w:rFonts w:ascii="Arial" w:hAnsi="Arial" w:cs="Arial"/>
          <w:szCs w:val="24"/>
        </w:rPr>
        <w:t xml:space="preserve"> </w:t>
      </w:r>
      <w:r>
        <w:rPr>
          <w:rFonts w:ascii="Arial" w:hAnsi="Arial" w:cs="Arial"/>
          <w:szCs w:val="24"/>
        </w:rPr>
        <w:t>каматне</w:t>
      </w:r>
      <w:r w:rsidR="007B6BE3" w:rsidRPr="0087376B">
        <w:rPr>
          <w:rFonts w:ascii="Arial" w:hAnsi="Arial" w:cs="Arial"/>
          <w:szCs w:val="24"/>
        </w:rPr>
        <w:t xml:space="preserve"> </w:t>
      </w:r>
      <w:r>
        <w:rPr>
          <w:rFonts w:ascii="Arial" w:hAnsi="Arial" w:cs="Arial"/>
          <w:szCs w:val="24"/>
        </w:rPr>
        <w:t>стопе</w:t>
      </w:r>
      <w:r w:rsidR="007B6BE3" w:rsidRPr="0087376B">
        <w:rPr>
          <w:rFonts w:ascii="Arial" w:hAnsi="Arial" w:cs="Arial"/>
          <w:szCs w:val="24"/>
        </w:rPr>
        <w:t xml:space="preserve">. </w:t>
      </w:r>
      <w:r>
        <w:rPr>
          <w:rFonts w:ascii="Arial" w:hAnsi="Arial" w:cs="Arial"/>
          <w:szCs w:val="24"/>
        </w:rPr>
        <w:t>Највећи</w:t>
      </w:r>
      <w:r w:rsidR="007B6BE3" w:rsidRPr="0087376B">
        <w:rPr>
          <w:rFonts w:ascii="Arial" w:hAnsi="Arial" w:cs="Arial"/>
          <w:szCs w:val="24"/>
        </w:rPr>
        <w:t xml:space="preserve"> </w:t>
      </w:r>
      <w:r>
        <w:rPr>
          <w:rFonts w:ascii="Arial" w:hAnsi="Arial" w:cs="Arial"/>
          <w:szCs w:val="24"/>
        </w:rPr>
        <w:t>ризик</w:t>
      </w:r>
      <w:r w:rsidR="007B6BE3" w:rsidRPr="0087376B">
        <w:rPr>
          <w:rFonts w:ascii="Arial" w:hAnsi="Arial" w:cs="Arial"/>
          <w:szCs w:val="24"/>
        </w:rPr>
        <w:t xml:space="preserve"> </w:t>
      </w:r>
      <w:r>
        <w:rPr>
          <w:rFonts w:ascii="Arial" w:hAnsi="Arial" w:cs="Arial"/>
          <w:szCs w:val="24"/>
        </w:rPr>
        <w:t>за</w:t>
      </w:r>
      <w:r w:rsidR="007B6BE3" w:rsidRPr="0087376B">
        <w:rPr>
          <w:rFonts w:ascii="Arial" w:hAnsi="Arial" w:cs="Arial"/>
          <w:szCs w:val="24"/>
        </w:rPr>
        <w:t xml:space="preserve"> </w:t>
      </w:r>
      <w:r>
        <w:rPr>
          <w:rFonts w:ascii="Arial" w:hAnsi="Arial" w:cs="Arial"/>
          <w:szCs w:val="24"/>
        </w:rPr>
        <w:t>све</w:t>
      </w:r>
      <w:r w:rsidR="007B6BE3" w:rsidRPr="0087376B">
        <w:rPr>
          <w:rFonts w:ascii="Arial" w:hAnsi="Arial" w:cs="Arial"/>
          <w:szCs w:val="24"/>
        </w:rPr>
        <w:t xml:space="preserve"> </w:t>
      </w:r>
      <w:r>
        <w:rPr>
          <w:rFonts w:ascii="Arial" w:hAnsi="Arial" w:cs="Arial"/>
          <w:szCs w:val="24"/>
        </w:rPr>
        <w:t>стратегије</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погледу</w:t>
      </w:r>
      <w:r w:rsidR="007B6BE3" w:rsidRPr="0087376B">
        <w:rPr>
          <w:rFonts w:ascii="Arial" w:hAnsi="Arial" w:cs="Arial"/>
          <w:szCs w:val="24"/>
        </w:rPr>
        <w:t xml:space="preserve"> </w:t>
      </w:r>
      <w:r>
        <w:rPr>
          <w:rFonts w:ascii="Arial" w:hAnsi="Arial" w:cs="Arial"/>
          <w:szCs w:val="24"/>
        </w:rPr>
        <w:t>омјера</w:t>
      </w:r>
      <w:r w:rsidR="007B6BE3" w:rsidRPr="0087376B">
        <w:rPr>
          <w:rFonts w:ascii="Arial" w:hAnsi="Arial" w:cs="Arial"/>
          <w:szCs w:val="24"/>
        </w:rPr>
        <w:t xml:space="preserve"> </w:t>
      </w:r>
      <w:r>
        <w:rPr>
          <w:rFonts w:ascii="Arial" w:hAnsi="Arial" w:cs="Arial"/>
          <w:szCs w:val="24"/>
        </w:rPr>
        <w:t>камата</w:t>
      </w:r>
      <w:r w:rsidR="007B6BE3" w:rsidRPr="0087376B">
        <w:rPr>
          <w:rFonts w:ascii="Arial" w:hAnsi="Arial" w:cs="Arial"/>
          <w:szCs w:val="24"/>
        </w:rPr>
        <w:t>/</w:t>
      </w:r>
      <w:r>
        <w:rPr>
          <w:rFonts w:ascii="Arial" w:hAnsi="Arial" w:cs="Arial"/>
          <w:szCs w:val="24"/>
        </w:rPr>
        <w:t>БДП</w:t>
      </w:r>
      <w:r w:rsidR="007B6BE3" w:rsidRPr="0087376B">
        <w:rPr>
          <w:rFonts w:ascii="Arial" w:hAnsi="Arial" w:cs="Arial"/>
          <w:szCs w:val="24"/>
        </w:rPr>
        <w:t xml:space="preserve"> </w:t>
      </w:r>
      <w:r>
        <w:rPr>
          <w:rFonts w:ascii="Arial" w:hAnsi="Arial" w:cs="Arial"/>
          <w:szCs w:val="24"/>
        </w:rPr>
        <w:t>представља</w:t>
      </w:r>
      <w:r w:rsidR="007B6BE3" w:rsidRPr="0087376B">
        <w:rPr>
          <w:rFonts w:ascii="Arial" w:hAnsi="Arial" w:cs="Arial"/>
          <w:szCs w:val="24"/>
        </w:rPr>
        <w:t xml:space="preserve"> </w:t>
      </w:r>
      <w:r>
        <w:rPr>
          <w:rFonts w:ascii="Arial" w:hAnsi="Arial" w:cs="Arial"/>
          <w:szCs w:val="24"/>
        </w:rPr>
        <w:t>екстремни</w:t>
      </w:r>
      <w:r w:rsidR="007B6BE3" w:rsidRPr="0087376B">
        <w:rPr>
          <w:rFonts w:ascii="Arial" w:hAnsi="Arial" w:cs="Arial"/>
          <w:szCs w:val="24"/>
        </w:rPr>
        <w:t xml:space="preserve"> </w:t>
      </w:r>
      <w:r>
        <w:rPr>
          <w:rFonts w:ascii="Arial" w:hAnsi="Arial" w:cs="Arial"/>
          <w:szCs w:val="24"/>
        </w:rPr>
        <w:t>каматни</w:t>
      </w:r>
      <w:r w:rsidR="007B6BE3" w:rsidRPr="0087376B">
        <w:rPr>
          <w:rFonts w:ascii="Arial" w:hAnsi="Arial" w:cs="Arial"/>
          <w:szCs w:val="24"/>
        </w:rPr>
        <w:t xml:space="preserve"> </w:t>
      </w:r>
      <w:r>
        <w:rPr>
          <w:rFonts w:ascii="Arial" w:hAnsi="Arial" w:cs="Arial"/>
          <w:szCs w:val="24"/>
        </w:rPr>
        <w:t>шок</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2. </w:t>
      </w:r>
      <w:r>
        <w:rPr>
          <w:rFonts w:ascii="Arial" w:hAnsi="Arial" w:cs="Arial"/>
          <w:szCs w:val="24"/>
        </w:rPr>
        <w:t>години</w:t>
      </w:r>
      <w:r w:rsidR="007B6BE3" w:rsidRPr="0087376B">
        <w:rPr>
          <w:rFonts w:ascii="Arial" w:hAnsi="Arial" w:cs="Arial"/>
          <w:szCs w:val="24"/>
        </w:rPr>
        <w:t xml:space="preserve"> </w:t>
      </w:r>
      <w:r>
        <w:rPr>
          <w:rFonts w:ascii="Arial" w:hAnsi="Arial" w:cs="Arial"/>
          <w:szCs w:val="24"/>
        </w:rPr>
        <w:t>стратегије</w:t>
      </w:r>
      <w:r w:rsidR="007B6BE3" w:rsidRPr="0087376B">
        <w:rPr>
          <w:rFonts w:ascii="Arial" w:hAnsi="Arial" w:cs="Arial"/>
          <w:szCs w:val="24"/>
        </w:rPr>
        <w:t xml:space="preserve">. </w:t>
      </w:r>
    </w:p>
    <w:p w14:paraId="78ED34E9" w14:textId="77777777" w:rsidR="007B6BE3" w:rsidRPr="0087376B" w:rsidRDefault="007B6BE3" w:rsidP="007B6BE3">
      <w:pPr>
        <w:spacing w:after="0"/>
        <w:ind w:firstLine="425"/>
        <w:jc w:val="both"/>
        <w:rPr>
          <w:rFonts w:ascii="Arial" w:hAnsi="Arial" w:cs="Arial"/>
          <w:szCs w:val="24"/>
        </w:rPr>
      </w:pPr>
    </w:p>
    <w:p w14:paraId="27496400" w14:textId="77777777" w:rsidR="0092788C" w:rsidRDefault="0092788C" w:rsidP="007B6BE3">
      <w:pPr>
        <w:spacing w:after="0" w:line="240" w:lineRule="auto"/>
        <w:jc w:val="both"/>
        <w:rPr>
          <w:rFonts w:ascii="Arial" w:hAnsi="Arial" w:cs="Arial"/>
          <w:i/>
          <w:szCs w:val="24"/>
        </w:rPr>
      </w:pPr>
    </w:p>
    <w:p w14:paraId="779EA403" w14:textId="77777777" w:rsidR="0092788C" w:rsidRDefault="0092788C" w:rsidP="007B6BE3">
      <w:pPr>
        <w:spacing w:after="0" w:line="240" w:lineRule="auto"/>
        <w:jc w:val="both"/>
        <w:rPr>
          <w:rFonts w:ascii="Arial" w:hAnsi="Arial" w:cs="Arial"/>
          <w:i/>
          <w:szCs w:val="24"/>
        </w:rPr>
      </w:pPr>
    </w:p>
    <w:p w14:paraId="3F13C7F4" w14:textId="2E7EB030" w:rsidR="007B6BE3" w:rsidRPr="0087376B" w:rsidRDefault="005B20F8" w:rsidP="007B6BE3">
      <w:pPr>
        <w:spacing w:after="0" w:line="240" w:lineRule="auto"/>
        <w:jc w:val="both"/>
        <w:rPr>
          <w:rFonts w:ascii="Arial" w:hAnsi="Arial" w:cs="Arial"/>
          <w:i/>
          <w:szCs w:val="24"/>
        </w:rPr>
      </w:pPr>
      <w:r>
        <w:rPr>
          <w:rFonts w:ascii="Arial" w:hAnsi="Arial" w:cs="Arial"/>
          <w:i/>
          <w:szCs w:val="24"/>
        </w:rPr>
        <w:lastRenderedPageBreak/>
        <w:t>Слика</w:t>
      </w:r>
      <w:r w:rsidR="007B6BE3" w:rsidRPr="0087376B">
        <w:rPr>
          <w:rFonts w:ascii="Arial" w:hAnsi="Arial" w:cs="Arial"/>
          <w:i/>
          <w:szCs w:val="24"/>
        </w:rPr>
        <w:t xml:space="preserve"> 12. </w:t>
      </w:r>
      <w:r>
        <w:rPr>
          <w:rFonts w:ascii="Arial" w:hAnsi="Arial" w:cs="Arial"/>
          <w:i/>
          <w:szCs w:val="24"/>
        </w:rPr>
        <w:t>Учешће</w:t>
      </w:r>
      <w:r w:rsidR="007B6BE3" w:rsidRPr="0087376B">
        <w:rPr>
          <w:rFonts w:ascii="Arial" w:hAnsi="Arial" w:cs="Arial"/>
          <w:i/>
          <w:szCs w:val="24"/>
        </w:rPr>
        <w:t xml:space="preserve"> </w:t>
      </w:r>
      <w:r>
        <w:rPr>
          <w:rFonts w:ascii="Arial" w:hAnsi="Arial" w:cs="Arial"/>
          <w:i/>
          <w:szCs w:val="24"/>
        </w:rPr>
        <w:t>трошкова</w:t>
      </w:r>
      <w:r w:rsidR="007B6BE3" w:rsidRPr="0087376B">
        <w:rPr>
          <w:rFonts w:ascii="Arial" w:hAnsi="Arial" w:cs="Arial"/>
          <w:i/>
          <w:szCs w:val="24"/>
        </w:rPr>
        <w:t xml:space="preserve"> </w:t>
      </w:r>
      <w:r>
        <w:rPr>
          <w:rFonts w:ascii="Arial" w:hAnsi="Arial" w:cs="Arial"/>
          <w:i/>
          <w:szCs w:val="24"/>
        </w:rPr>
        <w:t>камата</w:t>
      </w:r>
      <w:r w:rsidR="007B6BE3" w:rsidRPr="0087376B">
        <w:rPr>
          <w:rFonts w:ascii="Arial" w:hAnsi="Arial" w:cs="Arial"/>
          <w:i/>
          <w:szCs w:val="24"/>
        </w:rPr>
        <w:t xml:space="preserve"> </w:t>
      </w:r>
      <w:r>
        <w:rPr>
          <w:rFonts w:ascii="Arial" w:hAnsi="Arial" w:cs="Arial"/>
          <w:i/>
          <w:szCs w:val="24"/>
        </w:rPr>
        <w:t>у</w:t>
      </w:r>
      <w:r w:rsidR="007B6BE3" w:rsidRPr="0087376B">
        <w:rPr>
          <w:rFonts w:ascii="Arial" w:hAnsi="Arial" w:cs="Arial"/>
          <w:i/>
          <w:szCs w:val="24"/>
        </w:rPr>
        <w:t xml:space="preserve"> </w:t>
      </w:r>
      <w:r>
        <w:rPr>
          <w:rFonts w:ascii="Arial" w:hAnsi="Arial" w:cs="Arial"/>
          <w:i/>
          <w:szCs w:val="24"/>
        </w:rPr>
        <w:t>БДП</w:t>
      </w:r>
      <w:r w:rsidR="007B6BE3" w:rsidRPr="0087376B">
        <w:rPr>
          <w:rFonts w:ascii="Arial" w:hAnsi="Arial" w:cs="Arial"/>
          <w:i/>
          <w:szCs w:val="24"/>
        </w:rPr>
        <w:t>-</w:t>
      </w:r>
      <w:r>
        <w:rPr>
          <w:rFonts w:ascii="Arial" w:hAnsi="Arial" w:cs="Arial"/>
          <w:i/>
          <w:szCs w:val="24"/>
        </w:rPr>
        <w:t>у</w:t>
      </w:r>
      <w:r w:rsidR="007B6BE3" w:rsidRPr="0087376B">
        <w:rPr>
          <w:rFonts w:ascii="Arial" w:hAnsi="Arial" w:cs="Arial"/>
          <w:i/>
          <w:szCs w:val="24"/>
        </w:rPr>
        <w:t xml:space="preserve"> (</w:t>
      </w:r>
      <w:r>
        <w:rPr>
          <w:rFonts w:ascii="Arial" w:hAnsi="Arial" w:cs="Arial"/>
          <w:i/>
          <w:szCs w:val="24"/>
        </w:rPr>
        <w:t>крај</w:t>
      </w:r>
      <w:r w:rsidR="007B6BE3" w:rsidRPr="0087376B">
        <w:rPr>
          <w:rFonts w:ascii="Arial" w:hAnsi="Arial" w:cs="Arial"/>
          <w:i/>
          <w:szCs w:val="24"/>
        </w:rPr>
        <w:t xml:space="preserve"> 2025. </w:t>
      </w:r>
      <w:r>
        <w:rPr>
          <w:rFonts w:ascii="Arial" w:hAnsi="Arial" w:cs="Arial"/>
          <w:i/>
          <w:szCs w:val="24"/>
        </w:rPr>
        <w:t>године</w:t>
      </w:r>
      <w:r w:rsidR="007B6BE3" w:rsidRPr="0087376B">
        <w:rPr>
          <w:rFonts w:ascii="Arial" w:hAnsi="Arial" w:cs="Arial"/>
          <w:i/>
          <w:szCs w:val="24"/>
        </w:rPr>
        <w:t>)</w:t>
      </w:r>
    </w:p>
    <w:p w14:paraId="74EAB879" w14:textId="77777777" w:rsidR="007B6BE3" w:rsidRPr="00C7294F" w:rsidRDefault="007B6BE3" w:rsidP="007B6BE3">
      <w:pPr>
        <w:spacing w:after="0" w:line="240" w:lineRule="auto"/>
        <w:jc w:val="both"/>
        <w:rPr>
          <w:rFonts w:ascii="Arial" w:hAnsi="Arial" w:cs="Arial"/>
          <w:i/>
          <w:szCs w:val="24"/>
        </w:rPr>
      </w:pPr>
      <w:r w:rsidRPr="0087376B">
        <w:rPr>
          <w:noProof/>
          <w:lang w:eastAsia="hr-HR"/>
        </w:rPr>
        <w:drawing>
          <wp:inline distT="0" distB="0" distL="0" distR="0" wp14:anchorId="3217B636" wp14:editId="52B5FDEC">
            <wp:extent cx="5686425" cy="2181225"/>
            <wp:effectExtent l="0" t="0" r="9525" b="9525"/>
            <wp:docPr id="11" name="Chart 11">
              <a:extLst xmlns:a="http://schemas.openxmlformats.org/drawingml/2006/main">
                <a:ext uri="{FF2B5EF4-FFF2-40B4-BE49-F238E27FC236}">
                  <a16:creationId xmlns:a16="http://schemas.microsoft.com/office/drawing/2014/main" id="{00000000-0008-0000-0A00-00003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BB3FC2E" w14:textId="77777777" w:rsidR="007B6BE3" w:rsidRPr="0087376B" w:rsidRDefault="007B6BE3" w:rsidP="007B6BE3">
      <w:pPr>
        <w:spacing w:after="0"/>
        <w:ind w:firstLine="426"/>
        <w:jc w:val="both"/>
        <w:rPr>
          <w:rFonts w:ascii="Arial" w:hAnsi="Arial" w:cs="Arial"/>
          <w:szCs w:val="24"/>
        </w:rPr>
      </w:pPr>
    </w:p>
    <w:p w14:paraId="72DE6539" w14:textId="77777777" w:rsidR="007B6BE3" w:rsidRPr="00C7294F" w:rsidRDefault="005B20F8" w:rsidP="007B6BE3">
      <w:pPr>
        <w:spacing w:after="0"/>
        <w:ind w:firstLine="426"/>
        <w:jc w:val="both"/>
        <w:rPr>
          <w:rFonts w:ascii="Arial" w:hAnsi="Arial" w:cs="Arial"/>
          <w:szCs w:val="24"/>
        </w:rPr>
      </w:pPr>
      <w:r>
        <w:rPr>
          <w:rFonts w:ascii="Arial" w:hAnsi="Arial" w:cs="Arial"/>
          <w:szCs w:val="24"/>
        </w:rPr>
        <w:t>Највећи</w:t>
      </w:r>
      <w:r w:rsidR="007B6BE3" w:rsidRPr="0087376B">
        <w:rPr>
          <w:rFonts w:ascii="Arial" w:hAnsi="Arial" w:cs="Arial"/>
          <w:szCs w:val="24"/>
        </w:rPr>
        <w:t xml:space="preserve"> </w:t>
      </w:r>
      <w:r>
        <w:rPr>
          <w:rFonts w:ascii="Arial" w:hAnsi="Arial" w:cs="Arial"/>
          <w:szCs w:val="24"/>
        </w:rPr>
        <w:t>ризик</w:t>
      </w:r>
      <w:r w:rsidR="007B6BE3" w:rsidRPr="0087376B">
        <w:rPr>
          <w:rFonts w:ascii="Arial" w:hAnsi="Arial" w:cs="Arial"/>
          <w:szCs w:val="24"/>
        </w:rPr>
        <w:t xml:space="preserve"> </w:t>
      </w:r>
      <w:r>
        <w:rPr>
          <w:rFonts w:ascii="Arial" w:hAnsi="Arial" w:cs="Arial"/>
          <w:szCs w:val="24"/>
        </w:rPr>
        <w:t>портфолија</w:t>
      </w:r>
      <w:r w:rsidR="007B6BE3" w:rsidRPr="0087376B">
        <w:rPr>
          <w:rFonts w:ascii="Arial" w:hAnsi="Arial" w:cs="Arial"/>
          <w:szCs w:val="24"/>
        </w:rPr>
        <w:t xml:space="preserve"> </w:t>
      </w:r>
      <w:r>
        <w:rPr>
          <w:rFonts w:ascii="Arial" w:hAnsi="Arial" w:cs="Arial"/>
          <w:szCs w:val="24"/>
        </w:rPr>
        <w:t>дуга</w:t>
      </w:r>
      <w:r w:rsidR="007B6BE3" w:rsidRPr="0087376B">
        <w:rPr>
          <w:rFonts w:ascii="Arial" w:hAnsi="Arial" w:cs="Arial"/>
          <w:szCs w:val="24"/>
        </w:rPr>
        <w:t xml:space="preserve"> </w:t>
      </w:r>
      <w:r>
        <w:rPr>
          <w:rFonts w:ascii="Arial" w:hAnsi="Arial" w:cs="Arial"/>
          <w:szCs w:val="24"/>
        </w:rPr>
        <w:t>за</w:t>
      </w:r>
      <w:r w:rsidR="007B6BE3" w:rsidRPr="0087376B">
        <w:rPr>
          <w:rFonts w:ascii="Arial" w:hAnsi="Arial" w:cs="Arial"/>
          <w:szCs w:val="24"/>
        </w:rPr>
        <w:t xml:space="preserve"> </w:t>
      </w:r>
      <w:r>
        <w:rPr>
          <w:rFonts w:ascii="Arial" w:hAnsi="Arial" w:cs="Arial"/>
          <w:szCs w:val="24"/>
        </w:rPr>
        <w:t>све</w:t>
      </w:r>
      <w:r w:rsidR="007B6BE3" w:rsidRPr="0087376B">
        <w:rPr>
          <w:rFonts w:ascii="Arial" w:hAnsi="Arial" w:cs="Arial"/>
          <w:szCs w:val="24"/>
        </w:rPr>
        <w:t xml:space="preserve"> </w:t>
      </w:r>
      <w:r>
        <w:rPr>
          <w:rFonts w:ascii="Arial" w:hAnsi="Arial" w:cs="Arial"/>
          <w:szCs w:val="24"/>
        </w:rPr>
        <w:t>четири</w:t>
      </w:r>
      <w:r w:rsidR="007B6BE3" w:rsidRPr="0087376B">
        <w:rPr>
          <w:rFonts w:ascii="Arial" w:hAnsi="Arial" w:cs="Arial"/>
          <w:szCs w:val="24"/>
        </w:rPr>
        <w:t xml:space="preserve"> </w:t>
      </w:r>
      <w:r>
        <w:rPr>
          <w:rFonts w:ascii="Arial" w:hAnsi="Arial" w:cs="Arial"/>
          <w:szCs w:val="24"/>
        </w:rPr>
        <w:t>тестиране</w:t>
      </w:r>
      <w:r w:rsidR="007B6BE3" w:rsidRPr="0087376B">
        <w:rPr>
          <w:rFonts w:ascii="Arial" w:hAnsi="Arial" w:cs="Arial"/>
          <w:szCs w:val="24"/>
        </w:rPr>
        <w:t xml:space="preserve"> </w:t>
      </w:r>
      <w:r>
        <w:rPr>
          <w:rFonts w:ascii="Arial" w:hAnsi="Arial" w:cs="Arial"/>
          <w:szCs w:val="24"/>
        </w:rPr>
        <w:t>стратегије</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погледу</w:t>
      </w:r>
      <w:r w:rsidR="007B6BE3" w:rsidRPr="0087376B">
        <w:rPr>
          <w:rFonts w:ascii="Arial" w:hAnsi="Arial" w:cs="Arial"/>
          <w:szCs w:val="24"/>
        </w:rPr>
        <w:t xml:space="preserve"> </w:t>
      </w:r>
      <w:r>
        <w:rPr>
          <w:rFonts w:ascii="Arial" w:hAnsi="Arial" w:cs="Arial"/>
          <w:szCs w:val="24"/>
        </w:rPr>
        <w:t>омјера</w:t>
      </w:r>
      <w:r w:rsidR="007B6BE3" w:rsidRPr="0087376B">
        <w:rPr>
          <w:rFonts w:ascii="Arial" w:hAnsi="Arial" w:cs="Arial"/>
          <w:szCs w:val="24"/>
        </w:rPr>
        <w:t xml:space="preserve"> </w:t>
      </w:r>
      <w:r>
        <w:rPr>
          <w:rFonts w:ascii="Arial" w:hAnsi="Arial" w:cs="Arial"/>
          <w:szCs w:val="24"/>
        </w:rPr>
        <w:t>дуг</w:t>
      </w:r>
      <w:r w:rsidR="007B6BE3" w:rsidRPr="0087376B">
        <w:rPr>
          <w:rFonts w:ascii="Arial" w:hAnsi="Arial" w:cs="Arial"/>
          <w:szCs w:val="24"/>
        </w:rPr>
        <w:t>/</w:t>
      </w:r>
      <w:r>
        <w:rPr>
          <w:rFonts w:ascii="Arial" w:hAnsi="Arial" w:cs="Arial"/>
          <w:szCs w:val="24"/>
        </w:rPr>
        <w:t>БДП</w:t>
      </w:r>
      <w:r w:rsidR="007B6BE3" w:rsidRPr="0087376B">
        <w:rPr>
          <w:rFonts w:ascii="Arial" w:hAnsi="Arial" w:cs="Arial"/>
          <w:szCs w:val="24"/>
        </w:rPr>
        <w:t xml:space="preserve"> </w:t>
      </w:r>
      <w:r>
        <w:rPr>
          <w:rFonts w:ascii="Arial" w:hAnsi="Arial" w:cs="Arial"/>
          <w:szCs w:val="24"/>
        </w:rPr>
        <w:t>представља</w:t>
      </w:r>
      <w:r w:rsidR="007B6BE3" w:rsidRPr="0087376B">
        <w:rPr>
          <w:rFonts w:ascii="Arial" w:hAnsi="Arial" w:cs="Arial"/>
          <w:szCs w:val="24"/>
        </w:rPr>
        <w:t xml:space="preserve"> </w:t>
      </w:r>
      <w:r>
        <w:rPr>
          <w:rFonts w:ascii="Arial" w:hAnsi="Arial" w:cs="Arial"/>
          <w:szCs w:val="24"/>
        </w:rPr>
        <w:t>валутни</w:t>
      </w:r>
      <w:r w:rsidR="007B6BE3" w:rsidRPr="0087376B">
        <w:rPr>
          <w:rFonts w:ascii="Arial" w:hAnsi="Arial" w:cs="Arial"/>
          <w:szCs w:val="24"/>
        </w:rPr>
        <w:t xml:space="preserve"> </w:t>
      </w:r>
      <w:r>
        <w:rPr>
          <w:rFonts w:ascii="Arial" w:hAnsi="Arial" w:cs="Arial"/>
          <w:szCs w:val="24"/>
        </w:rPr>
        <w:t>ризик</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случају</w:t>
      </w:r>
      <w:r w:rsidR="007B6BE3" w:rsidRPr="0087376B">
        <w:rPr>
          <w:rFonts w:ascii="Arial" w:hAnsi="Arial" w:cs="Arial"/>
          <w:szCs w:val="24"/>
        </w:rPr>
        <w:t xml:space="preserve"> </w:t>
      </w:r>
      <w:r>
        <w:rPr>
          <w:rFonts w:ascii="Arial" w:hAnsi="Arial" w:cs="Arial"/>
          <w:szCs w:val="24"/>
        </w:rPr>
        <w:t>нагле</w:t>
      </w:r>
      <w:r w:rsidR="007B6BE3" w:rsidRPr="0087376B">
        <w:rPr>
          <w:rFonts w:ascii="Arial" w:hAnsi="Arial" w:cs="Arial"/>
          <w:szCs w:val="24"/>
        </w:rPr>
        <w:t xml:space="preserve"> </w:t>
      </w:r>
      <w:r>
        <w:rPr>
          <w:rFonts w:ascii="Arial" w:hAnsi="Arial" w:cs="Arial"/>
          <w:szCs w:val="24"/>
        </w:rPr>
        <w:t>промјене</w:t>
      </w:r>
      <w:r w:rsidR="007B6BE3" w:rsidRPr="0087376B">
        <w:rPr>
          <w:rFonts w:ascii="Arial" w:hAnsi="Arial" w:cs="Arial"/>
          <w:szCs w:val="24"/>
        </w:rPr>
        <w:t xml:space="preserve"> </w:t>
      </w:r>
      <w:r>
        <w:rPr>
          <w:rFonts w:ascii="Arial" w:hAnsi="Arial" w:cs="Arial"/>
          <w:szCs w:val="24"/>
        </w:rPr>
        <w:t>девизног</w:t>
      </w:r>
      <w:r w:rsidR="007B6BE3" w:rsidRPr="0087376B">
        <w:rPr>
          <w:rFonts w:ascii="Arial" w:hAnsi="Arial" w:cs="Arial"/>
          <w:szCs w:val="24"/>
        </w:rPr>
        <w:t xml:space="preserve"> </w:t>
      </w:r>
      <w:r>
        <w:rPr>
          <w:rFonts w:ascii="Arial" w:hAnsi="Arial" w:cs="Arial"/>
          <w:szCs w:val="24"/>
        </w:rPr>
        <w:t>курса</w:t>
      </w:r>
      <w:r w:rsidR="007B6BE3" w:rsidRPr="0087376B">
        <w:rPr>
          <w:rFonts w:ascii="Arial" w:hAnsi="Arial" w:cs="Arial"/>
          <w:szCs w:val="24"/>
        </w:rPr>
        <w:t xml:space="preserve"> </w:t>
      </w:r>
      <w:r>
        <w:rPr>
          <w:rFonts w:ascii="Arial" w:hAnsi="Arial" w:cs="Arial"/>
          <w:szCs w:val="24"/>
        </w:rPr>
        <w:t>односно</w:t>
      </w:r>
      <w:r w:rsidR="007B6BE3" w:rsidRPr="0087376B">
        <w:rPr>
          <w:rFonts w:ascii="Arial" w:hAnsi="Arial" w:cs="Arial"/>
          <w:szCs w:val="24"/>
        </w:rPr>
        <w:t xml:space="preserve"> </w:t>
      </w:r>
      <w:r w:rsidRPr="00C7294F">
        <w:rPr>
          <w:rFonts w:ascii="Arial" w:hAnsi="Arial" w:cs="Arial"/>
          <w:szCs w:val="24"/>
        </w:rPr>
        <w:t>апрецијације</w:t>
      </w:r>
      <w:r w:rsidR="007B6BE3" w:rsidRPr="00C7294F">
        <w:rPr>
          <w:rFonts w:ascii="Arial" w:hAnsi="Arial" w:cs="Arial"/>
          <w:szCs w:val="24"/>
        </w:rPr>
        <w:t xml:space="preserve"> </w:t>
      </w:r>
      <w:r w:rsidR="00C7294F" w:rsidRPr="00C7294F">
        <w:rPr>
          <w:rFonts w:ascii="Arial" w:hAnsi="Arial" w:cs="Arial"/>
          <w:szCs w:val="24"/>
        </w:rPr>
        <w:t>USD</w:t>
      </w:r>
      <w:r w:rsidR="007B6BE3" w:rsidRPr="00C7294F">
        <w:rPr>
          <w:rFonts w:ascii="Arial" w:hAnsi="Arial" w:cs="Arial"/>
          <w:szCs w:val="24"/>
        </w:rPr>
        <w:t xml:space="preserve"> </w:t>
      </w:r>
      <w:r w:rsidRPr="00C7294F">
        <w:rPr>
          <w:rFonts w:ascii="Arial" w:hAnsi="Arial" w:cs="Arial"/>
          <w:szCs w:val="24"/>
        </w:rPr>
        <w:t>у</w:t>
      </w:r>
      <w:r w:rsidR="007B6BE3" w:rsidRPr="00C7294F">
        <w:rPr>
          <w:rFonts w:ascii="Arial" w:hAnsi="Arial" w:cs="Arial"/>
          <w:szCs w:val="24"/>
        </w:rPr>
        <w:t xml:space="preserve"> </w:t>
      </w:r>
      <w:r w:rsidRPr="00C7294F">
        <w:rPr>
          <w:rFonts w:ascii="Arial" w:hAnsi="Arial" w:cs="Arial"/>
          <w:szCs w:val="24"/>
        </w:rPr>
        <w:t>односу</w:t>
      </w:r>
      <w:r w:rsidR="007B6BE3" w:rsidRPr="00C7294F">
        <w:rPr>
          <w:rFonts w:ascii="Arial" w:hAnsi="Arial" w:cs="Arial"/>
          <w:szCs w:val="24"/>
        </w:rPr>
        <w:t xml:space="preserve"> </w:t>
      </w:r>
      <w:r w:rsidRPr="00C7294F">
        <w:rPr>
          <w:rFonts w:ascii="Arial" w:hAnsi="Arial" w:cs="Arial"/>
          <w:szCs w:val="24"/>
        </w:rPr>
        <w:t>на</w:t>
      </w:r>
      <w:r w:rsidR="007B6BE3" w:rsidRPr="00C7294F">
        <w:rPr>
          <w:rFonts w:ascii="Arial" w:hAnsi="Arial" w:cs="Arial"/>
          <w:szCs w:val="24"/>
        </w:rPr>
        <w:t xml:space="preserve"> </w:t>
      </w:r>
      <w:r w:rsidRPr="00C7294F">
        <w:rPr>
          <w:rFonts w:ascii="Arial" w:hAnsi="Arial" w:cs="Arial"/>
          <w:szCs w:val="24"/>
        </w:rPr>
        <w:t>КМ</w:t>
      </w:r>
      <w:r w:rsidR="007B6BE3" w:rsidRPr="00C7294F">
        <w:rPr>
          <w:rFonts w:ascii="Arial" w:hAnsi="Arial" w:cs="Arial"/>
          <w:szCs w:val="24"/>
        </w:rPr>
        <w:t xml:space="preserve"> </w:t>
      </w:r>
      <w:r w:rsidRPr="00C7294F">
        <w:rPr>
          <w:rFonts w:ascii="Arial" w:hAnsi="Arial" w:cs="Arial"/>
          <w:szCs w:val="24"/>
        </w:rPr>
        <w:t>и</w:t>
      </w:r>
      <w:r w:rsidR="007B6BE3" w:rsidRPr="00C7294F">
        <w:rPr>
          <w:rFonts w:ascii="Arial" w:hAnsi="Arial" w:cs="Arial"/>
          <w:szCs w:val="24"/>
        </w:rPr>
        <w:t xml:space="preserve"> </w:t>
      </w:r>
      <w:r w:rsidRPr="00C7294F">
        <w:rPr>
          <w:rFonts w:ascii="Arial" w:hAnsi="Arial" w:cs="Arial"/>
          <w:szCs w:val="24"/>
        </w:rPr>
        <w:t>Е</w:t>
      </w:r>
      <w:r w:rsidR="00C7294F" w:rsidRPr="00C7294F">
        <w:rPr>
          <w:rFonts w:ascii="Arial" w:hAnsi="Arial" w:cs="Arial"/>
          <w:szCs w:val="24"/>
        </w:rPr>
        <w:t xml:space="preserve">UR </w:t>
      </w:r>
      <w:r w:rsidR="007B6BE3" w:rsidRPr="00C7294F">
        <w:rPr>
          <w:rFonts w:ascii="Arial" w:hAnsi="Arial" w:cs="Arial"/>
          <w:szCs w:val="24"/>
        </w:rPr>
        <w:t>(</w:t>
      </w:r>
      <w:r w:rsidRPr="00C7294F">
        <w:rPr>
          <w:rFonts w:ascii="Arial" w:hAnsi="Arial" w:cs="Arial"/>
          <w:szCs w:val="24"/>
        </w:rPr>
        <w:t>шок</w:t>
      </w:r>
      <w:r w:rsidR="007B6BE3" w:rsidRPr="00C7294F">
        <w:rPr>
          <w:rFonts w:ascii="Arial" w:hAnsi="Arial" w:cs="Arial"/>
          <w:szCs w:val="24"/>
        </w:rPr>
        <w:t xml:space="preserve"> </w:t>
      </w:r>
      <w:r w:rsidRPr="00C7294F">
        <w:rPr>
          <w:rFonts w:ascii="Arial" w:hAnsi="Arial" w:cs="Arial"/>
          <w:szCs w:val="24"/>
        </w:rPr>
        <w:t>од</w:t>
      </w:r>
      <w:r w:rsidR="007B6BE3" w:rsidRPr="00C7294F">
        <w:rPr>
          <w:rFonts w:ascii="Arial" w:hAnsi="Arial" w:cs="Arial"/>
          <w:szCs w:val="24"/>
        </w:rPr>
        <w:t xml:space="preserve"> 30% </w:t>
      </w:r>
      <w:r w:rsidRPr="00C7294F">
        <w:rPr>
          <w:rFonts w:ascii="Arial" w:hAnsi="Arial" w:cs="Arial"/>
          <w:szCs w:val="24"/>
        </w:rPr>
        <w:t>у</w:t>
      </w:r>
      <w:r w:rsidR="007B6BE3" w:rsidRPr="00C7294F">
        <w:rPr>
          <w:rFonts w:ascii="Arial" w:hAnsi="Arial" w:cs="Arial"/>
          <w:szCs w:val="24"/>
        </w:rPr>
        <w:t xml:space="preserve"> 2. </w:t>
      </w:r>
      <w:r w:rsidRPr="00C7294F">
        <w:rPr>
          <w:rFonts w:ascii="Arial" w:hAnsi="Arial" w:cs="Arial"/>
          <w:szCs w:val="24"/>
        </w:rPr>
        <w:t>години</w:t>
      </w:r>
      <w:r w:rsidR="007B6BE3" w:rsidRPr="00C7294F">
        <w:rPr>
          <w:rFonts w:ascii="Arial" w:hAnsi="Arial" w:cs="Arial"/>
          <w:szCs w:val="24"/>
        </w:rPr>
        <w:t xml:space="preserve">). </w:t>
      </w:r>
    </w:p>
    <w:p w14:paraId="58DE26EE" w14:textId="77777777" w:rsidR="007B6BE3" w:rsidRPr="0087376B" w:rsidRDefault="005B20F8" w:rsidP="007B6BE3">
      <w:pPr>
        <w:spacing w:after="0"/>
        <w:ind w:firstLine="426"/>
        <w:jc w:val="both"/>
        <w:rPr>
          <w:rFonts w:ascii="Arial" w:hAnsi="Arial" w:cs="Arial"/>
          <w:szCs w:val="24"/>
        </w:rPr>
      </w:pPr>
      <w:r>
        <w:rPr>
          <w:rFonts w:ascii="Arial" w:hAnsi="Arial" w:cs="Arial"/>
          <w:szCs w:val="24"/>
        </w:rPr>
        <w:t>Портфолио</w:t>
      </w:r>
      <w:r w:rsidR="007B6BE3" w:rsidRPr="0087376B">
        <w:rPr>
          <w:rFonts w:ascii="Arial" w:hAnsi="Arial" w:cs="Arial"/>
          <w:szCs w:val="24"/>
        </w:rPr>
        <w:t xml:space="preserve"> </w:t>
      </w:r>
      <w:r>
        <w:rPr>
          <w:rFonts w:ascii="Arial" w:hAnsi="Arial" w:cs="Arial"/>
          <w:szCs w:val="24"/>
        </w:rPr>
        <w:t>који</w:t>
      </w:r>
      <w:r w:rsidR="007B6BE3" w:rsidRPr="0087376B">
        <w:rPr>
          <w:rFonts w:ascii="Arial" w:hAnsi="Arial" w:cs="Arial"/>
          <w:szCs w:val="24"/>
        </w:rPr>
        <w:t xml:space="preserve"> </w:t>
      </w:r>
      <w:r>
        <w:rPr>
          <w:rFonts w:ascii="Arial" w:hAnsi="Arial" w:cs="Arial"/>
          <w:szCs w:val="24"/>
        </w:rPr>
        <w:t>има</w:t>
      </w:r>
      <w:r w:rsidR="007B6BE3" w:rsidRPr="0087376B">
        <w:rPr>
          <w:rFonts w:ascii="Arial" w:hAnsi="Arial" w:cs="Arial"/>
          <w:szCs w:val="24"/>
        </w:rPr>
        <w:t xml:space="preserve"> </w:t>
      </w:r>
      <w:r>
        <w:rPr>
          <w:rFonts w:ascii="Arial" w:hAnsi="Arial" w:cs="Arial"/>
          <w:szCs w:val="24"/>
        </w:rPr>
        <w:t>веће</w:t>
      </w:r>
      <w:r w:rsidR="007B6BE3" w:rsidRPr="0087376B">
        <w:rPr>
          <w:rFonts w:ascii="Arial" w:hAnsi="Arial" w:cs="Arial"/>
          <w:szCs w:val="24"/>
        </w:rPr>
        <w:t xml:space="preserve"> </w:t>
      </w:r>
      <w:r>
        <w:rPr>
          <w:rFonts w:ascii="Arial" w:hAnsi="Arial" w:cs="Arial"/>
          <w:szCs w:val="24"/>
        </w:rPr>
        <w:t>учешће</w:t>
      </w:r>
      <w:r w:rsidR="007B6BE3" w:rsidRPr="0087376B">
        <w:rPr>
          <w:rFonts w:ascii="Arial" w:hAnsi="Arial" w:cs="Arial"/>
          <w:szCs w:val="24"/>
        </w:rPr>
        <w:t xml:space="preserve"> </w:t>
      </w:r>
      <w:r>
        <w:rPr>
          <w:rFonts w:ascii="Arial" w:hAnsi="Arial" w:cs="Arial"/>
          <w:szCs w:val="24"/>
        </w:rPr>
        <w:t>нееурских</w:t>
      </w:r>
      <w:r w:rsidR="007B6BE3" w:rsidRPr="0087376B">
        <w:rPr>
          <w:rFonts w:ascii="Arial" w:hAnsi="Arial" w:cs="Arial"/>
          <w:szCs w:val="24"/>
        </w:rPr>
        <w:t xml:space="preserve"> </w:t>
      </w:r>
      <w:r>
        <w:rPr>
          <w:rFonts w:ascii="Arial" w:hAnsi="Arial" w:cs="Arial"/>
          <w:szCs w:val="24"/>
        </w:rPr>
        <w:t>валута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стању</w:t>
      </w:r>
      <w:r w:rsidR="007B6BE3" w:rsidRPr="0087376B">
        <w:rPr>
          <w:rFonts w:ascii="Arial" w:hAnsi="Arial" w:cs="Arial"/>
          <w:szCs w:val="24"/>
        </w:rPr>
        <w:t xml:space="preserve"> </w:t>
      </w:r>
      <w:r>
        <w:rPr>
          <w:rFonts w:ascii="Arial" w:hAnsi="Arial" w:cs="Arial"/>
          <w:szCs w:val="24"/>
        </w:rPr>
        <w:t>неотплаћеног</w:t>
      </w:r>
      <w:r w:rsidR="007B6BE3" w:rsidRPr="0087376B">
        <w:rPr>
          <w:rFonts w:ascii="Arial" w:hAnsi="Arial" w:cs="Arial"/>
          <w:szCs w:val="24"/>
        </w:rPr>
        <w:t xml:space="preserve">  </w:t>
      </w:r>
      <w:r>
        <w:rPr>
          <w:rFonts w:ascii="Arial" w:hAnsi="Arial" w:cs="Arial"/>
          <w:szCs w:val="24"/>
        </w:rPr>
        <w:t>спољног</w:t>
      </w:r>
      <w:r w:rsidR="007B6BE3" w:rsidRPr="0087376B">
        <w:rPr>
          <w:rFonts w:ascii="Arial" w:hAnsi="Arial" w:cs="Arial"/>
          <w:szCs w:val="24"/>
        </w:rPr>
        <w:t xml:space="preserve"> </w:t>
      </w:r>
      <w:r>
        <w:rPr>
          <w:rFonts w:ascii="Arial" w:hAnsi="Arial" w:cs="Arial"/>
          <w:szCs w:val="24"/>
        </w:rPr>
        <w:t>дуга</w:t>
      </w:r>
      <w:r w:rsidR="007B6BE3" w:rsidRPr="0087376B">
        <w:rPr>
          <w:rFonts w:ascii="Arial" w:hAnsi="Arial" w:cs="Arial"/>
          <w:szCs w:val="24"/>
        </w:rPr>
        <w:t xml:space="preserve"> </w:t>
      </w:r>
      <w:r>
        <w:rPr>
          <w:rFonts w:ascii="Arial" w:hAnsi="Arial" w:cs="Arial"/>
          <w:szCs w:val="24"/>
        </w:rPr>
        <w:t>изложен</w:t>
      </w:r>
      <w:r w:rsidR="007B6BE3" w:rsidRPr="0087376B">
        <w:rPr>
          <w:rFonts w:ascii="Arial" w:hAnsi="Arial" w:cs="Arial"/>
          <w:szCs w:val="24"/>
        </w:rPr>
        <w:t xml:space="preserve"> </w:t>
      </w:r>
      <w:r>
        <w:rPr>
          <w:rFonts w:ascii="Arial" w:hAnsi="Arial" w:cs="Arial"/>
          <w:szCs w:val="24"/>
        </w:rPr>
        <w:t>је</w:t>
      </w:r>
      <w:r w:rsidR="007B6BE3" w:rsidRPr="0087376B">
        <w:rPr>
          <w:rFonts w:ascii="Arial" w:hAnsi="Arial" w:cs="Arial"/>
          <w:szCs w:val="24"/>
        </w:rPr>
        <w:t xml:space="preserve"> </w:t>
      </w:r>
      <w:r>
        <w:rPr>
          <w:rFonts w:ascii="Arial" w:hAnsi="Arial" w:cs="Arial"/>
          <w:szCs w:val="24"/>
        </w:rPr>
        <w:t>већем</w:t>
      </w:r>
      <w:r w:rsidR="007B6BE3" w:rsidRPr="0087376B">
        <w:rPr>
          <w:rFonts w:ascii="Arial" w:hAnsi="Arial" w:cs="Arial"/>
          <w:szCs w:val="24"/>
        </w:rPr>
        <w:t xml:space="preserve"> </w:t>
      </w:r>
      <w:r>
        <w:rPr>
          <w:rFonts w:ascii="Arial" w:hAnsi="Arial" w:cs="Arial"/>
          <w:szCs w:val="24"/>
        </w:rPr>
        <w:t>ризику</w:t>
      </w:r>
      <w:r w:rsidR="007B6BE3" w:rsidRPr="0087376B">
        <w:rPr>
          <w:rFonts w:ascii="Arial" w:hAnsi="Arial" w:cs="Arial"/>
          <w:szCs w:val="24"/>
        </w:rPr>
        <w:t xml:space="preserve"> </w:t>
      </w:r>
      <w:r>
        <w:rPr>
          <w:rFonts w:ascii="Arial" w:hAnsi="Arial" w:cs="Arial"/>
          <w:szCs w:val="24"/>
        </w:rPr>
        <w:t>када</w:t>
      </w:r>
      <w:r w:rsidR="007B6BE3" w:rsidRPr="0087376B">
        <w:rPr>
          <w:rFonts w:ascii="Arial" w:hAnsi="Arial" w:cs="Arial"/>
          <w:szCs w:val="24"/>
        </w:rPr>
        <w:t xml:space="preserve"> </w:t>
      </w:r>
      <w:r>
        <w:rPr>
          <w:rFonts w:ascii="Arial" w:hAnsi="Arial" w:cs="Arial"/>
          <w:szCs w:val="24"/>
        </w:rPr>
        <w:t>је</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питању</w:t>
      </w:r>
      <w:r w:rsidR="007B6BE3" w:rsidRPr="0087376B">
        <w:rPr>
          <w:rFonts w:ascii="Arial" w:hAnsi="Arial" w:cs="Arial"/>
          <w:szCs w:val="24"/>
        </w:rPr>
        <w:t xml:space="preserve"> </w:t>
      </w:r>
      <w:r>
        <w:rPr>
          <w:rFonts w:ascii="Arial" w:hAnsi="Arial" w:cs="Arial"/>
          <w:szCs w:val="24"/>
        </w:rPr>
        <w:t>апрецијација</w:t>
      </w:r>
      <w:r w:rsidR="007B6BE3" w:rsidRPr="0087376B">
        <w:rPr>
          <w:rFonts w:ascii="Arial" w:hAnsi="Arial" w:cs="Arial"/>
          <w:szCs w:val="24"/>
        </w:rPr>
        <w:t xml:space="preserve"> </w:t>
      </w:r>
      <w:r>
        <w:rPr>
          <w:rFonts w:ascii="Arial" w:hAnsi="Arial" w:cs="Arial"/>
          <w:szCs w:val="24"/>
        </w:rPr>
        <w:t>страних</w:t>
      </w:r>
      <w:r w:rsidR="007B6BE3" w:rsidRPr="0087376B">
        <w:rPr>
          <w:rFonts w:ascii="Arial" w:hAnsi="Arial" w:cs="Arial"/>
          <w:szCs w:val="24"/>
        </w:rPr>
        <w:t xml:space="preserve"> </w:t>
      </w:r>
      <w:r>
        <w:rPr>
          <w:rFonts w:ascii="Arial" w:hAnsi="Arial" w:cs="Arial"/>
          <w:szCs w:val="24"/>
        </w:rPr>
        <w:t>валута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односу</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домаћу</w:t>
      </w:r>
      <w:r w:rsidR="007B6BE3" w:rsidRPr="0087376B">
        <w:rPr>
          <w:rFonts w:ascii="Arial" w:hAnsi="Arial" w:cs="Arial"/>
          <w:szCs w:val="24"/>
        </w:rPr>
        <w:t xml:space="preserve">. </w:t>
      </w:r>
      <w:r>
        <w:rPr>
          <w:rFonts w:ascii="Arial" w:hAnsi="Arial" w:cs="Arial"/>
          <w:szCs w:val="24"/>
        </w:rPr>
        <w:t>Стратегија</w:t>
      </w:r>
      <w:r w:rsidR="007B6BE3" w:rsidRPr="0087376B">
        <w:rPr>
          <w:rFonts w:ascii="Arial" w:hAnsi="Arial" w:cs="Arial"/>
          <w:szCs w:val="24"/>
        </w:rPr>
        <w:t xml:space="preserve"> </w:t>
      </w:r>
      <w:r>
        <w:rPr>
          <w:rFonts w:ascii="Arial" w:hAnsi="Arial" w:cs="Arial"/>
          <w:szCs w:val="24"/>
        </w:rPr>
        <w:t>С</w:t>
      </w:r>
      <w:r w:rsidR="007B6BE3" w:rsidRPr="0087376B">
        <w:rPr>
          <w:rFonts w:ascii="Arial" w:hAnsi="Arial" w:cs="Arial"/>
          <w:szCs w:val="24"/>
        </w:rPr>
        <w:t xml:space="preserve">4 </w:t>
      </w:r>
      <w:r>
        <w:rPr>
          <w:rFonts w:ascii="Arial" w:hAnsi="Arial" w:cs="Arial"/>
          <w:szCs w:val="24"/>
        </w:rPr>
        <w:t>је</w:t>
      </w:r>
      <w:r w:rsidR="007B6BE3" w:rsidRPr="0087376B">
        <w:rPr>
          <w:rFonts w:ascii="Arial" w:hAnsi="Arial" w:cs="Arial"/>
          <w:szCs w:val="24"/>
        </w:rPr>
        <w:t xml:space="preserve"> </w:t>
      </w:r>
      <w:r>
        <w:rPr>
          <w:rFonts w:ascii="Arial" w:hAnsi="Arial" w:cs="Arial"/>
          <w:szCs w:val="24"/>
        </w:rPr>
        <w:t>најосјетљивија</w:t>
      </w:r>
      <w:r w:rsidR="007B6BE3" w:rsidRPr="0087376B">
        <w:rPr>
          <w:rFonts w:ascii="Arial" w:hAnsi="Arial" w:cs="Arial"/>
          <w:szCs w:val="24"/>
        </w:rPr>
        <w:t xml:space="preserve"> </w:t>
      </w:r>
      <w:r>
        <w:rPr>
          <w:rFonts w:ascii="Arial" w:hAnsi="Arial" w:cs="Arial"/>
          <w:szCs w:val="24"/>
        </w:rPr>
        <w:t>стратегија</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промјене</w:t>
      </w:r>
      <w:r w:rsidR="007B6BE3" w:rsidRPr="0087376B">
        <w:rPr>
          <w:rFonts w:ascii="Arial" w:hAnsi="Arial" w:cs="Arial"/>
          <w:szCs w:val="24"/>
        </w:rPr>
        <w:t xml:space="preserve"> </w:t>
      </w:r>
      <w:r>
        <w:rPr>
          <w:rFonts w:ascii="Arial" w:hAnsi="Arial" w:cs="Arial"/>
          <w:szCs w:val="24"/>
        </w:rPr>
        <w:t>девизних</w:t>
      </w:r>
      <w:r w:rsidR="007B6BE3" w:rsidRPr="0087376B">
        <w:rPr>
          <w:rFonts w:ascii="Arial" w:hAnsi="Arial" w:cs="Arial"/>
          <w:szCs w:val="24"/>
        </w:rPr>
        <w:t xml:space="preserve"> </w:t>
      </w:r>
      <w:r>
        <w:rPr>
          <w:rFonts w:ascii="Arial" w:hAnsi="Arial" w:cs="Arial"/>
          <w:szCs w:val="24"/>
        </w:rPr>
        <w:t>курсева</w:t>
      </w:r>
      <w:r w:rsidR="007B6BE3" w:rsidRPr="0087376B">
        <w:rPr>
          <w:rFonts w:ascii="Arial" w:hAnsi="Arial" w:cs="Arial"/>
          <w:szCs w:val="24"/>
        </w:rPr>
        <w:t xml:space="preserve">, </w:t>
      </w:r>
      <w:r>
        <w:rPr>
          <w:rFonts w:ascii="Arial" w:hAnsi="Arial" w:cs="Arial"/>
          <w:szCs w:val="24"/>
        </w:rPr>
        <w:t>због</w:t>
      </w:r>
      <w:r w:rsidR="007B6BE3" w:rsidRPr="0087376B">
        <w:rPr>
          <w:rFonts w:ascii="Arial" w:hAnsi="Arial" w:cs="Arial"/>
          <w:szCs w:val="24"/>
        </w:rPr>
        <w:t xml:space="preserve"> </w:t>
      </w:r>
      <w:r>
        <w:rPr>
          <w:rFonts w:ascii="Arial" w:hAnsi="Arial" w:cs="Arial"/>
          <w:szCs w:val="24"/>
        </w:rPr>
        <w:t>ниског</w:t>
      </w:r>
      <w:r w:rsidR="007B6BE3" w:rsidRPr="0087376B">
        <w:rPr>
          <w:rFonts w:ascii="Arial" w:hAnsi="Arial" w:cs="Arial"/>
          <w:szCs w:val="24"/>
        </w:rPr>
        <w:t xml:space="preserve"> </w:t>
      </w:r>
      <w:r>
        <w:rPr>
          <w:rFonts w:ascii="Arial" w:hAnsi="Arial" w:cs="Arial"/>
          <w:szCs w:val="24"/>
        </w:rPr>
        <w:t>учешћа</w:t>
      </w:r>
      <w:r w:rsidR="007B6BE3" w:rsidRPr="0087376B">
        <w:rPr>
          <w:rFonts w:ascii="Arial" w:hAnsi="Arial" w:cs="Arial"/>
          <w:szCs w:val="24"/>
        </w:rPr>
        <w:t xml:space="preserve"> </w:t>
      </w:r>
      <w:r>
        <w:rPr>
          <w:rFonts w:ascii="Arial" w:hAnsi="Arial" w:cs="Arial"/>
          <w:szCs w:val="24"/>
        </w:rPr>
        <w:t>домаћег</w:t>
      </w:r>
      <w:r w:rsidR="007B6BE3" w:rsidRPr="0087376B">
        <w:rPr>
          <w:rFonts w:ascii="Arial" w:hAnsi="Arial" w:cs="Arial"/>
          <w:szCs w:val="24"/>
        </w:rPr>
        <w:t xml:space="preserve"> </w:t>
      </w:r>
      <w:r>
        <w:rPr>
          <w:rFonts w:ascii="Arial" w:hAnsi="Arial" w:cs="Arial"/>
          <w:szCs w:val="24"/>
        </w:rPr>
        <w:t>задуживања</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значајнијег</w:t>
      </w:r>
      <w:r w:rsidR="007B6BE3" w:rsidRPr="0087376B">
        <w:rPr>
          <w:rFonts w:ascii="Arial" w:hAnsi="Arial" w:cs="Arial"/>
          <w:szCs w:val="24"/>
        </w:rPr>
        <w:t xml:space="preserve"> </w:t>
      </w:r>
      <w:r>
        <w:rPr>
          <w:rFonts w:ascii="Arial" w:hAnsi="Arial" w:cs="Arial"/>
          <w:szCs w:val="24"/>
        </w:rPr>
        <w:t>спољног</w:t>
      </w:r>
      <w:r w:rsidR="007B6BE3" w:rsidRPr="0087376B">
        <w:rPr>
          <w:rFonts w:ascii="Arial" w:hAnsi="Arial" w:cs="Arial"/>
          <w:szCs w:val="24"/>
        </w:rPr>
        <w:t xml:space="preserve"> </w:t>
      </w:r>
      <w:r>
        <w:rPr>
          <w:rFonts w:ascii="Arial" w:hAnsi="Arial" w:cs="Arial"/>
          <w:szCs w:val="24"/>
        </w:rPr>
        <w:t>задуживања</w:t>
      </w:r>
      <w:r w:rsidR="007B6BE3" w:rsidRPr="0087376B">
        <w:rPr>
          <w:rFonts w:ascii="Arial" w:hAnsi="Arial" w:cs="Arial"/>
          <w:szCs w:val="24"/>
        </w:rPr>
        <w:t>.</w:t>
      </w:r>
      <w:r w:rsidR="002A1D57">
        <w:rPr>
          <w:rFonts w:ascii="Arial" w:hAnsi="Arial" w:cs="Arial"/>
          <w:szCs w:val="24"/>
        </w:rPr>
        <w:t xml:space="preserve"> </w:t>
      </w:r>
    </w:p>
    <w:p w14:paraId="5D884F9A" w14:textId="77777777" w:rsidR="007B6BE3" w:rsidRPr="0087376B" w:rsidRDefault="007B6BE3" w:rsidP="007B6BE3">
      <w:pPr>
        <w:spacing w:after="0"/>
        <w:ind w:firstLine="426"/>
        <w:jc w:val="both"/>
        <w:rPr>
          <w:rFonts w:ascii="Arial" w:hAnsi="Arial" w:cs="Arial"/>
          <w:szCs w:val="24"/>
        </w:rPr>
      </w:pPr>
      <w:r w:rsidRPr="0087376B">
        <w:rPr>
          <w:rFonts w:ascii="Arial" w:hAnsi="Arial" w:cs="Arial"/>
          <w:szCs w:val="24"/>
        </w:rPr>
        <w:t xml:space="preserve"> </w:t>
      </w:r>
      <w:r w:rsidR="005B20F8">
        <w:rPr>
          <w:rFonts w:ascii="Arial" w:hAnsi="Arial" w:cs="Arial"/>
          <w:szCs w:val="24"/>
        </w:rPr>
        <w:t>Као</w:t>
      </w:r>
      <w:r w:rsidRPr="0087376B">
        <w:rPr>
          <w:rFonts w:ascii="Arial" w:hAnsi="Arial" w:cs="Arial"/>
          <w:szCs w:val="24"/>
        </w:rPr>
        <w:t xml:space="preserve"> </w:t>
      </w:r>
      <w:r w:rsidR="005B20F8">
        <w:rPr>
          <w:rFonts w:ascii="Arial" w:hAnsi="Arial" w:cs="Arial"/>
          <w:szCs w:val="24"/>
        </w:rPr>
        <w:t>и</w:t>
      </w:r>
      <w:r w:rsidRPr="0087376B">
        <w:rPr>
          <w:rFonts w:ascii="Arial" w:hAnsi="Arial" w:cs="Arial"/>
          <w:szCs w:val="24"/>
        </w:rPr>
        <w:t xml:space="preserve"> </w:t>
      </w:r>
      <w:r w:rsidR="005B20F8">
        <w:rPr>
          <w:rFonts w:ascii="Arial" w:hAnsi="Arial" w:cs="Arial"/>
          <w:szCs w:val="24"/>
        </w:rPr>
        <w:t>у</w:t>
      </w:r>
      <w:r w:rsidRPr="0087376B">
        <w:rPr>
          <w:rFonts w:ascii="Arial" w:hAnsi="Arial" w:cs="Arial"/>
          <w:szCs w:val="24"/>
        </w:rPr>
        <w:t xml:space="preserve"> </w:t>
      </w:r>
      <w:r w:rsidR="005B20F8">
        <w:rPr>
          <w:rFonts w:ascii="Arial" w:hAnsi="Arial" w:cs="Arial"/>
          <w:szCs w:val="24"/>
        </w:rPr>
        <w:t>случају</w:t>
      </w:r>
      <w:r w:rsidRPr="0087376B">
        <w:rPr>
          <w:rFonts w:ascii="Arial" w:hAnsi="Arial" w:cs="Arial"/>
          <w:szCs w:val="24"/>
        </w:rPr>
        <w:t xml:space="preserve"> </w:t>
      </w:r>
      <w:r w:rsidR="005B20F8">
        <w:rPr>
          <w:rFonts w:ascii="Arial" w:hAnsi="Arial" w:cs="Arial"/>
          <w:szCs w:val="24"/>
        </w:rPr>
        <w:t>претходног</w:t>
      </w:r>
      <w:r w:rsidRPr="0087376B">
        <w:rPr>
          <w:rFonts w:ascii="Arial" w:hAnsi="Arial" w:cs="Arial"/>
          <w:szCs w:val="24"/>
        </w:rPr>
        <w:t xml:space="preserve"> </w:t>
      </w:r>
      <w:r w:rsidR="005B20F8">
        <w:rPr>
          <w:rFonts w:ascii="Arial" w:hAnsi="Arial" w:cs="Arial"/>
          <w:szCs w:val="24"/>
        </w:rPr>
        <w:t>индикатора</w:t>
      </w:r>
      <w:r w:rsidRPr="0087376B">
        <w:rPr>
          <w:rFonts w:ascii="Arial" w:hAnsi="Arial" w:cs="Arial"/>
          <w:szCs w:val="24"/>
        </w:rPr>
        <w:t xml:space="preserve"> </w:t>
      </w:r>
      <w:r w:rsidR="005B20F8">
        <w:rPr>
          <w:rFonts w:ascii="Arial" w:hAnsi="Arial" w:cs="Arial"/>
          <w:szCs w:val="24"/>
        </w:rPr>
        <w:t>стратегије</w:t>
      </w:r>
      <w:r w:rsidRPr="0087376B">
        <w:rPr>
          <w:rFonts w:ascii="Arial" w:hAnsi="Arial" w:cs="Arial"/>
          <w:szCs w:val="24"/>
        </w:rPr>
        <w:t xml:space="preserve"> </w:t>
      </w:r>
      <w:r w:rsidR="005B20F8">
        <w:rPr>
          <w:rFonts w:ascii="Arial" w:hAnsi="Arial" w:cs="Arial"/>
          <w:szCs w:val="24"/>
        </w:rPr>
        <w:t>С</w:t>
      </w:r>
      <w:r w:rsidRPr="0087376B">
        <w:rPr>
          <w:rFonts w:ascii="Arial" w:hAnsi="Arial" w:cs="Arial"/>
          <w:szCs w:val="24"/>
        </w:rPr>
        <w:t xml:space="preserve">1, </w:t>
      </w:r>
      <w:r w:rsidR="005B20F8">
        <w:rPr>
          <w:rFonts w:ascii="Arial" w:hAnsi="Arial" w:cs="Arial"/>
          <w:szCs w:val="24"/>
        </w:rPr>
        <w:t>С</w:t>
      </w:r>
      <w:r w:rsidRPr="0087376B">
        <w:rPr>
          <w:rFonts w:ascii="Arial" w:hAnsi="Arial" w:cs="Arial"/>
          <w:szCs w:val="24"/>
        </w:rPr>
        <w:t xml:space="preserve">2 </w:t>
      </w:r>
      <w:r w:rsidR="005B20F8">
        <w:rPr>
          <w:rFonts w:ascii="Arial" w:hAnsi="Arial" w:cs="Arial"/>
          <w:szCs w:val="24"/>
        </w:rPr>
        <w:t>и</w:t>
      </w:r>
      <w:r w:rsidRPr="0087376B">
        <w:rPr>
          <w:rFonts w:ascii="Arial" w:hAnsi="Arial" w:cs="Arial"/>
          <w:szCs w:val="24"/>
        </w:rPr>
        <w:t xml:space="preserve"> </w:t>
      </w:r>
      <w:r w:rsidR="005B20F8">
        <w:rPr>
          <w:rFonts w:ascii="Arial" w:hAnsi="Arial" w:cs="Arial"/>
          <w:szCs w:val="24"/>
        </w:rPr>
        <w:t>С</w:t>
      </w:r>
      <w:r w:rsidRPr="0087376B">
        <w:rPr>
          <w:rFonts w:ascii="Arial" w:hAnsi="Arial" w:cs="Arial"/>
          <w:szCs w:val="24"/>
        </w:rPr>
        <w:t xml:space="preserve">3 </w:t>
      </w:r>
      <w:r w:rsidR="005B20F8">
        <w:rPr>
          <w:rFonts w:ascii="Arial" w:hAnsi="Arial" w:cs="Arial"/>
          <w:szCs w:val="24"/>
        </w:rPr>
        <w:t>имају</w:t>
      </w:r>
      <w:r w:rsidRPr="0087376B">
        <w:rPr>
          <w:rFonts w:ascii="Arial" w:hAnsi="Arial" w:cs="Arial"/>
          <w:szCs w:val="24"/>
        </w:rPr>
        <w:t xml:space="preserve"> </w:t>
      </w:r>
      <w:r w:rsidR="005B20F8">
        <w:rPr>
          <w:rFonts w:ascii="Arial" w:hAnsi="Arial" w:cs="Arial"/>
          <w:szCs w:val="24"/>
        </w:rPr>
        <w:t>најмање</w:t>
      </w:r>
      <w:r w:rsidRPr="0087376B">
        <w:rPr>
          <w:rFonts w:ascii="Arial" w:hAnsi="Arial" w:cs="Arial"/>
          <w:szCs w:val="24"/>
        </w:rPr>
        <w:t xml:space="preserve"> </w:t>
      </w:r>
      <w:r w:rsidR="005B20F8">
        <w:rPr>
          <w:rFonts w:ascii="Arial" w:hAnsi="Arial" w:cs="Arial"/>
          <w:szCs w:val="24"/>
        </w:rPr>
        <w:t>трошкове</w:t>
      </w:r>
      <w:r w:rsidRPr="0087376B">
        <w:rPr>
          <w:rFonts w:ascii="Arial" w:hAnsi="Arial" w:cs="Arial"/>
          <w:szCs w:val="24"/>
        </w:rPr>
        <w:t xml:space="preserve"> </w:t>
      </w:r>
      <w:r w:rsidR="005B20F8">
        <w:rPr>
          <w:rFonts w:ascii="Arial" w:hAnsi="Arial" w:cs="Arial"/>
          <w:szCs w:val="24"/>
        </w:rPr>
        <w:t>и</w:t>
      </w:r>
      <w:r w:rsidRPr="0087376B">
        <w:rPr>
          <w:rFonts w:ascii="Arial" w:hAnsi="Arial" w:cs="Arial"/>
          <w:szCs w:val="24"/>
        </w:rPr>
        <w:t xml:space="preserve"> </w:t>
      </w:r>
      <w:r w:rsidR="005B20F8">
        <w:rPr>
          <w:rFonts w:ascii="Arial" w:hAnsi="Arial" w:cs="Arial"/>
          <w:szCs w:val="24"/>
        </w:rPr>
        <w:t>мање</w:t>
      </w:r>
      <w:r w:rsidRPr="0087376B">
        <w:rPr>
          <w:rFonts w:ascii="Arial" w:hAnsi="Arial" w:cs="Arial"/>
          <w:szCs w:val="24"/>
        </w:rPr>
        <w:t xml:space="preserve"> </w:t>
      </w:r>
      <w:r w:rsidR="005B20F8">
        <w:rPr>
          <w:rFonts w:ascii="Arial" w:hAnsi="Arial" w:cs="Arial"/>
          <w:szCs w:val="24"/>
        </w:rPr>
        <w:t>су</w:t>
      </w:r>
      <w:r w:rsidRPr="0087376B">
        <w:rPr>
          <w:rFonts w:ascii="Arial" w:hAnsi="Arial" w:cs="Arial"/>
          <w:szCs w:val="24"/>
        </w:rPr>
        <w:t xml:space="preserve"> </w:t>
      </w:r>
      <w:r w:rsidR="005B20F8">
        <w:rPr>
          <w:rFonts w:ascii="Arial" w:hAnsi="Arial" w:cs="Arial"/>
          <w:szCs w:val="24"/>
        </w:rPr>
        <w:t>ризичне</w:t>
      </w:r>
      <w:r w:rsidRPr="0087376B">
        <w:rPr>
          <w:rFonts w:ascii="Arial" w:hAnsi="Arial" w:cs="Arial"/>
          <w:szCs w:val="24"/>
        </w:rPr>
        <w:t xml:space="preserve"> </w:t>
      </w:r>
      <w:r w:rsidR="005B20F8">
        <w:rPr>
          <w:rFonts w:ascii="Arial" w:hAnsi="Arial" w:cs="Arial"/>
          <w:szCs w:val="24"/>
        </w:rPr>
        <w:t>у</w:t>
      </w:r>
      <w:r w:rsidRPr="0087376B">
        <w:rPr>
          <w:rFonts w:ascii="Arial" w:hAnsi="Arial" w:cs="Arial"/>
          <w:szCs w:val="24"/>
        </w:rPr>
        <w:t xml:space="preserve"> </w:t>
      </w:r>
      <w:r w:rsidR="005B20F8">
        <w:rPr>
          <w:rFonts w:ascii="Arial" w:hAnsi="Arial" w:cs="Arial"/>
          <w:szCs w:val="24"/>
        </w:rPr>
        <w:t>односу</w:t>
      </w:r>
      <w:r w:rsidRPr="0087376B">
        <w:rPr>
          <w:rFonts w:ascii="Arial" w:hAnsi="Arial" w:cs="Arial"/>
          <w:szCs w:val="24"/>
        </w:rPr>
        <w:t xml:space="preserve"> </w:t>
      </w:r>
      <w:r w:rsidR="005B20F8">
        <w:rPr>
          <w:rFonts w:ascii="Arial" w:hAnsi="Arial" w:cs="Arial"/>
          <w:szCs w:val="24"/>
        </w:rPr>
        <w:t>на</w:t>
      </w:r>
      <w:r w:rsidRPr="0087376B">
        <w:rPr>
          <w:rFonts w:ascii="Arial" w:hAnsi="Arial" w:cs="Arial"/>
          <w:szCs w:val="24"/>
        </w:rPr>
        <w:t xml:space="preserve"> </w:t>
      </w:r>
      <w:r w:rsidR="005B20F8">
        <w:rPr>
          <w:rFonts w:ascii="Arial" w:hAnsi="Arial" w:cs="Arial"/>
          <w:szCs w:val="24"/>
        </w:rPr>
        <w:t>стратегије</w:t>
      </w:r>
      <w:r w:rsidRPr="0087376B">
        <w:rPr>
          <w:rFonts w:ascii="Arial" w:hAnsi="Arial" w:cs="Arial"/>
          <w:szCs w:val="24"/>
        </w:rPr>
        <w:t xml:space="preserve"> </w:t>
      </w:r>
      <w:r w:rsidR="005B20F8">
        <w:rPr>
          <w:rFonts w:ascii="Arial" w:hAnsi="Arial" w:cs="Arial"/>
          <w:szCs w:val="24"/>
        </w:rPr>
        <w:t>С</w:t>
      </w:r>
      <w:r w:rsidRPr="0087376B">
        <w:rPr>
          <w:rFonts w:ascii="Arial" w:hAnsi="Arial" w:cs="Arial"/>
          <w:szCs w:val="24"/>
        </w:rPr>
        <w:t xml:space="preserve">4 </w:t>
      </w:r>
      <w:r w:rsidR="005B20F8">
        <w:rPr>
          <w:rFonts w:ascii="Arial" w:hAnsi="Arial" w:cs="Arial"/>
          <w:szCs w:val="24"/>
        </w:rPr>
        <w:t>која</w:t>
      </w:r>
      <w:r w:rsidRPr="0087376B">
        <w:rPr>
          <w:rFonts w:ascii="Arial" w:hAnsi="Arial" w:cs="Arial"/>
          <w:szCs w:val="24"/>
        </w:rPr>
        <w:t xml:space="preserve"> </w:t>
      </w:r>
      <w:r w:rsidR="005B20F8">
        <w:rPr>
          <w:rFonts w:ascii="Arial" w:hAnsi="Arial" w:cs="Arial"/>
          <w:szCs w:val="24"/>
        </w:rPr>
        <w:t>је</w:t>
      </w:r>
      <w:r w:rsidRPr="0087376B">
        <w:rPr>
          <w:rFonts w:ascii="Arial" w:hAnsi="Arial" w:cs="Arial"/>
          <w:szCs w:val="24"/>
        </w:rPr>
        <w:t xml:space="preserve"> </w:t>
      </w:r>
      <w:r w:rsidR="005B20F8">
        <w:rPr>
          <w:rFonts w:ascii="Arial" w:hAnsi="Arial" w:cs="Arial"/>
          <w:szCs w:val="24"/>
        </w:rPr>
        <w:t>најризичнија</w:t>
      </w:r>
      <w:r w:rsidRPr="0087376B">
        <w:rPr>
          <w:rFonts w:ascii="Arial" w:hAnsi="Arial" w:cs="Arial"/>
          <w:szCs w:val="24"/>
        </w:rPr>
        <w:t xml:space="preserve"> </w:t>
      </w:r>
      <w:r w:rsidR="005B20F8">
        <w:rPr>
          <w:rFonts w:ascii="Arial" w:hAnsi="Arial" w:cs="Arial"/>
          <w:szCs w:val="24"/>
        </w:rPr>
        <w:t>и</w:t>
      </w:r>
      <w:r w:rsidRPr="0087376B">
        <w:rPr>
          <w:rFonts w:ascii="Arial" w:hAnsi="Arial" w:cs="Arial"/>
          <w:szCs w:val="24"/>
        </w:rPr>
        <w:t xml:space="preserve"> </w:t>
      </w:r>
      <w:r w:rsidR="005B20F8">
        <w:rPr>
          <w:rFonts w:ascii="Arial" w:hAnsi="Arial" w:cs="Arial"/>
          <w:szCs w:val="24"/>
        </w:rPr>
        <w:t>најскупља</w:t>
      </w:r>
      <w:r w:rsidRPr="0087376B">
        <w:rPr>
          <w:rFonts w:ascii="Arial" w:hAnsi="Arial" w:cs="Arial"/>
          <w:szCs w:val="24"/>
        </w:rPr>
        <w:t xml:space="preserve">. </w:t>
      </w:r>
    </w:p>
    <w:p w14:paraId="5162AA4D" w14:textId="77777777" w:rsidR="007B6BE3" w:rsidRPr="00C7294F" w:rsidRDefault="005B20F8" w:rsidP="007B6BE3">
      <w:pPr>
        <w:spacing w:after="0"/>
        <w:ind w:firstLine="426"/>
        <w:jc w:val="both"/>
        <w:rPr>
          <w:rFonts w:ascii="Arial" w:hAnsi="Arial" w:cs="Arial"/>
          <w:szCs w:val="24"/>
        </w:rPr>
      </w:pPr>
      <w:r>
        <w:rPr>
          <w:rFonts w:ascii="Arial" w:hAnsi="Arial" w:cs="Arial"/>
          <w:szCs w:val="24"/>
        </w:rPr>
        <w:t>Стратегија</w:t>
      </w:r>
      <w:r w:rsidR="007B6BE3" w:rsidRPr="0087376B">
        <w:rPr>
          <w:rFonts w:ascii="Arial" w:hAnsi="Arial" w:cs="Arial"/>
          <w:szCs w:val="24"/>
        </w:rPr>
        <w:t xml:space="preserve"> </w:t>
      </w:r>
      <w:r>
        <w:rPr>
          <w:rFonts w:ascii="Arial" w:hAnsi="Arial" w:cs="Arial"/>
          <w:szCs w:val="24"/>
        </w:rPr>
        <w:t>С</w:t>
      </w:r>
      <w:r w:rsidR="007B6BE3" w:rsidRPr="0087376B">
        <w:rPr>
          <w:rFonts w:ascii="Arial" w:hAnsi="Arial" w:cs="Arial"/>
          <w:szCs w:val="24"/>
        </w:rPr>
        <w:t xml:space="preserve">4 </w:t>
      </w:r>
      <w:r>
        <w:rPr>
          <w:rFonts w:ascii="Arial" w:hAnsi="Arial" w:cs="Arial"/>
          <w:szCs w:val="24"/>
        </w:rPr>
        <w:t>је</w:t>
      </w:r>
      <w:r w:rsidR="007B6BE3" w:rsidRPr="0087376B">
        <w:rPr>
          <w:rFonts w:ascii="Arial" w:hAnsi="Arial" w:cs="Arial"/>
          <w:szCs w:val="24"/>
        </w:rPr>
        <w:t xml:space="preserve"> </w:t>
      </w:r>
      <w:r>
        <w:rPr>
          <w:rFonts w:ascii="Arial" w:hAnsi="Arial" w:cs="Arial"/>
          <w:szCs w:val="24"/>
        </w:rPr>
        <w:t>најосјетљивија</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промјене</w:t>
      </w:r>
      <w:r w:rsidR="007B6BE3" w:rsidRPr="0087376B">
        <w:rPr>
          <w:rFonts w:ascii="Arial" w:hAnsi="Arial" w:cs="Arial"/>
          <w:szCs w:val="24"/>
        </w:rPr>
        <w:t xml:space="preserve"> </w:t>
      </w:r>
      <w:r>
        <w:rPr>
          <w:rFonts w:ascii="Arial" w:hAnsi="Arial" w:cs="Arial"/>
          <w:szCs w:val="24"/>
        </w:rPr>
        <w:t>девизног</w:t>
      </w:r>
      <w:r w:rsidR="007B6BE3" w:rsidRPr="0087376B">
        <w:rPr>
          <w:rFonts w:ascii="Arial" w:hAnsi="Arial" w:cs="Arial"/>
          <w:szCs w:val="24"/>
        </w:rPr>
        <w:t xml:space="preserve"> </w:t>
      </w:r>
      <w:r>
        <w:rPr>
          <w:rFonts w:ascii="Arial" w:hAnsi="Arial" w:cs="Arial"/>
          <w:szCs w:val="24"/>
        </w:rPr>
        <w:t>курса</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има</w:t>
      </w:r>
      <w:r w:rsidR="007B6BE3" w:rsidRPr="0087376B">
        <w:rPr>
          <w:rFonts w:ascii="Arial" w:hAnsi="Arial" w:cs="Arial"/>
          <w:szCs w:val="24"/>
        </w:rPr>
        <w:t xml:space="preserve"> </w:t>
      </w:r>
      <w:r>
        <w:rPr>
          <w:rFonts w:ascii="Arial" w:hAnsi="Arial" w:cs="Arial"/>
          <w:szCs w:val="24"/>
        </w:rPr>
        <w:t>веће</w:t>
      </w:r>
      <w:r w:rsidR="007B6BE3" w:rsidRPr="0087376B">
        <w:rPr>
          <w:rFonts w:ascii="Arial" w:hAnsi="Arial" w:cs="Arial"/>
          <w:szCs w:val="24"/>
        </w:rPr>
        <w:t xml:space="preserve"> </w:t>
      </w:r>
      <w:r>
        <w:rPr>
          <w:rFonts w:ascii="Arial" w:hAnsi="Arial" w:cs="Arial"/>
          <w:szCs w:val="24"/>
        </w:rPr>
        <w:t>одступање</w:t>
      </w:r>
      <w:r w:rsidR="007B6BE3" w:rsidRPr="0087376B">
        <w:rPr>
          <w:rFonts w:ascii="Arial" w:hAnsi="Arial" w:cs="Arial"/>
          <w:szCs w:val="24"/>
        </w:rPr>
        <w:t xml:space="preserve"> </w:t>
      </w:r>
      <w:r>
        <w:rPr>
          <w:rFonts w:ascii="Arial" w:hAnsi="Arial" w:cs="Arial"/>
          <w:szCs w:val="24"/>
        </w:rPr>
        <w:t>базног</w:t>
      </w:r>
      <w:r w:rsidR="007B6BE3" w:rsidRPr="0087376B">
        <w:rPr>
          <w:rFonts w:ascii="Arial" w:hAnsi="Arial" w:cs="Arial"/>
          <w:szCs w:val="24"/>
        </w:rPr>
        <w:t xml:space="preserve"> </w:t>
      </w:r>
      <w:r>
        <w:rPr>
          <w:rFonts w:ascii="Arial" w:hAnsi="Arial" w:cs="Arial"/>
          <w:szCs w:val="24"/>
        </w:rPr>
        <w:t>сценарија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односу</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остале</w:t>
      </w:r>
      <w:r w:rsidR="007B6BE3" w:rsidRPr="0087376B">
        <w:rPr>
          <w:rFonts w:ascii="Arial" w:hAnsi="Arial" w:cs="Arial"/>
          <w:szCs w:val="24"/>
        </w:rPr>
        <w:t xml:space="preserve"> </w:t>
      </w:r>
      <w:r>
        <w:rPr>
          <w:rFonts w:ascii="Arial" w:hAnsi="Arial" w:cs="Arial"/>
          <w:szCs w:val="24"/>
        </w:rPr>
        <w:t>стратегије</w:t>
      </w:r>
      <w:r w:rsidR="007B6BE3" w:rsidRPr="0087376B">
        <w:rPr>
          <w:rFonts w:ascii="Arial" w:hAnsi="Arial" w:cs="Arial"/>
          <w:szCs w:val="24"/>
        </w:rPr>
        <w:t xml:space="preserve"> </w:t>
      </w:r>
      <w:r>
        <w:rPr>
          <w:rFonts w:ascii="Arial" w:hAnsi="Arial" w:cs="Arial"/>
          <w:szCs w:val="24"/>
        </w:rPr>
        <w:t>јер</w:t>
      </w:r>
      <w:r w:rsidR="007B6BE3" w:rsidRPr="0087376B">
        <w:rPr>
          <w:rFonts w:ascii="Arial" w:hAnsi="Arial" w:cs="Arial"/>
          <w:szCs w:val="24"/>
        </w:rPr>
        <w:t xml:space="preserve"> </w:t>
      </w:r>
      <w:r>
        <w:rPr>
          <w:rFonts w:ascii="Arial" w:hAnsi="Arial" w:cs="Arial"/>
          <w:szCs w:val="24"/>
        </w:rPr>
        <w:t>ова</w:t>
      </w:r>
      <w:r w:rsidR="007B6BE3" w:rsidRPr="0087376B">
        <w:rPr>
          <w:rFonts w:ascii="Arial" w:hAnsi="Arial" w:cs="Arial"/>
          <w:szCs w:val="24"/>
        </w:rPr>
        <w:t xml:space="preserve"> </w:t>
      </w:r>
      <w:r>
        <w:rPr>
          <w:rFonts w:ascii="Arial" w:hAnsi="Arial" w:cs="Arial"/>
          <w:szCs w:val="24"/>
        </w:rPr>
        <w:t>стратегија</w:t>
      </w:r>
      <w:r w:rsidR="007B6BE3" w:rsidRPr="0087376B">
        <w:rPr>
          <w:rFonts w:ascii="Arial" w:hAnsi="Arial" w:cs="Arial"/>
          <w:szCs w:val="24"/>
        </w:rPr>
        <w:t xml:space="preserve"> </w:t>
      </w:r>
      <w:r>
        <w:rPr>
          <w:rFonts w:ascii="Arial" w:hAnsi="Arial" w:cs="Arial"/>
          <w:szCs w:val="24"/>
        </w:rPr>
        <w:t>подразумијева</w:t>
      </w:r>
      <w:r w:rsidR="007B6BE3" w:rsidRPr="0087376B">
        <w:rPr>
          <w:rFonts w:ascii="Arial" w:hAnsi="Arial" w:cs="Arial"/>
          <w:szCs w:val="24"/>
        </w:rPr>
        <w:t xml:space="preserve"> </w:t>
      </w:r>
      <w:r>
        <w:rPr>
          <w:rFonts w:ascii="Arial" w:hAnsi="Arial" w:cs="Arial"/>
          <w:szCs w:val="24"/>
        </w:rPr>
        <w:t>издавање</w:t>
      </w:r>
      <w:r w:rsidR="007B6BE3" w:rsidRPr="0087376B">
        <w:rPr>
          <w:rFonts w:ascii="Arial" w:hAnsi="Arial" w:cs="Arial"/>
          <w:szCs w:val="24"/>
        </w:rPr>
        <w:t xml:space="preserve"> </w:t>
      </w:r>
      <w:r>
        <w:rPr>
          <w:rFonts w:ascii="Arial" w:hAnsi="Arial" w:cs="Arial"/>
          <w:szCs w:val="24"/>
        </w:rPr>
        <w:t>еурообвезнице</w:t>
      </w:r>
      <w:r w:rsidR="007B6BE3" w:rsidRPr="0087376B">
        <w:rPr>
          <w:rFonts w:ascii="Arial" w:hAnsi="Arial" w:cs="Arial"/>
          <w:szCs w:val="24"/>
        </w:rPr>
        <w:t xml:space="preserve"> </w:t>
      </w:r>
      <w:r>
        <w:rPr>
          <w:rFonts w:ascii="Arial" w:hAnsi="Arial" w:cs="Arial"/>
          <w:szCs w:val="24"/>
        </w:rPr>
        <w:t>на</w:t>
      </w:r>
      <w:r w:rsidR="007B6BE3" w:rsidRPr="0087376B">
        <w:rPr>
          <w:rFonts w:ascii="Arial" w:hAnsi="Arial" w:cs="Arial"/>
          <w:szCs w:val="24"/>
        </w:rPr>
        <w:t xml:space="preserve"> </w:t>
      </w:r>
      <w:r>
        <w:rPr>
          <w:rFonts w:ascii="Arial" w:hAnsi="Arial" w:cs="Arial"/>
          <w:szCs w:val="24"/>
        </w:rPr>
        <w:t>спољном</w:t>
      </w:r>
      <w:r w:rsidR="007B6BE3" w:rsidRPr="0087376B">
        <w:rPr>
          <w:rFonts w:ascii="Arial" w:hAnsi="Arial" w:cs="Arial"/>
          <w:szCs w:val="24"/>
        </w:rPr>
        <w:t xml:space="preserve"> </w:t>
      </w:r>
      <w:r>
        <w:rPr>
          <w:rFonts w:ascii="Arial" w:hAnsi="Arial" w:cs="Arial"/>
          <w:szCs w:val="24"/>
        </w:rPr>
        <w:t>тржишту</w:t>
      </w:r>
      <w:r w:rsidR="007B6BE3" w:rsidRPr="0087376B">
        <w:rPr>
          <w:rFonts w:ascii="Arial" w:hAnsi="Arial" w:cs="Arial"/>
          <w:szCs w:val="24"/>
        </w:rPr>
        <w:t xml:space="preserve"> </w:t>
      </w:r>
      <w:r>
        <w:rPr>
          <w:rFonts w:ascii="Arial" w:hAnsi="Arial" w:cs="Arial"/>
          <w:szCs w:val="24"/>
        </w:rPr>
        <w:t>као</w:t>
      </w:r>
      <w:r w:rsidR="007B6BE3" w:rsidRPr="0087376B">
        <w:rPr>
          <w:rFonts w:ascii="Arial" w:hAnsi="Arial" w:cs="Arial"/>
          <w:szCs w:val="24"/>
        </w:rPr>
        <w:t xml:space="preserve"> </w:t>
      </w:r>
      <w:r>
        <w:rPr>
          <w:rFonts w:ascii="Arial" w:hAnsi="Arial" w:cs="Arial"/>
          <w:szCs w:val="24"/>
        </w:rPr>
        <w:t>и</w:t>
      </w:r>
      <w:r w:rsidR="007B6BE3" w:rsidRPr="0087376B">
        <w:rPr>
          <w:rFonts w:ascii="Arial" w:hAnsi="Arial" w:cs="Arial"/>
          <w:szCs w:val="24"/>
        </w:rPr>
        <w:t xml:space="preserve"> </w:t>
      </w:r>
      <w:r>
        <w:rPr>
          <w:rFonts w:ascii="Arial" w:hAnsi="Arial" w:cs="Arial"/>
          <w:szCs w:val="24"/>
        </w:rPr>
        <w:t>задуживање</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нееурским</w:t>
      </w:r>
      <w:r w:rsidR="007B6BE3" w:rsidRPr="0087376B">
        <w:rPr>
          <w:rFonts w:ascii="Arial" w:hAnsi="Arial" w:cs="Arial"/>
          <w:szCs w:val="24"/>
        </w:rPr>
        <w:t xml:space="preserve"> </w:t>
      </w:r>
      <w:r w:rsidRPr="00C7294F">
        <w:rPr>
          <w:rFonts w:ascii="Arial" w:hAnsi="Arial" w:cs="Arial"/>
          <w:szCs w:val="24"/>
        </w:rPr>
        <w:t>валутама</w:t>
      </w:r>
      <w:r w:rsidR="007B6BE3" w:rsidRPr="00C7294F">
        <w:rPr>
          <w:rFonts w:ascii="Arial" w:hAnsi="Arial" w:cs="Arial"/>
          <w:szCs w:val="24"/>
        </w:rPr>
        <w:t xml:space="preserve"> (</w:t>
      </w:r>
      <w:r w:rsidR="00C7294F" w:rsidRPr="00C7294F">
        <w:rPr>
          <w:rFonts w:ascii="Arial" w:hAnsi="Arial" w:cs="Arial"/>
          <w:szCs w:val="24"/>
        </w:rPr>
        <w:t>USD</w:t>
      </w:r>
      <w:r w:rsidR="007B6BE3" w:rsidRPr="00C7294F">
        <w:rPr>
          <w:rFonts w:ascii="Arial" w:hAnsi="Arial" w:cs="Arial"/>
          <w:szCs w:val="24"/>
        </w:rPr>
        <w:t xml:space="preserve"> </w:t>
      </w:r>
      <w:r w:rsidRPr="00C7294F">
        <w:rPr>
          <w:rFonts w:ascii="Arial" w:hAnsi="Arial" w:cs="Arial"/>
          <w:szCs w:val="24"/>
        </w:rPr>
        <w:t>и</w:t>
      </w:r>
      <w:r w:rsidR="007B6BE3" w:rsidRPr="00C7294F">
        <w:rPr>
          <w:rFonts w:ascii="Arial" w:hAnsi="Arial" w:cs="Arial"/>
          <w:szCs w:val="24"/>
        </w:rPr>
        <w:t xml:space="preserve"> </w:t>
      </w:r>
      <w:r w:rsidR="00C7294F" w:rsidRPr="00C7294F">
        <w:rPr>
          <w:rFonts w:ascii="Arial" w:hAnsi="Arial" w:cs="Arial"/>
          <w:szCs w:val="24"/>
        </w:rPr>
        <w:t>SDR</w:t>
      </w:r>
      <w:r w:rsidR="007B6BE3" w:rsidRPr="00C7294F">
        <w:rPr>
          <w:rFonts w:ascii="Arial" w:hAnsi="Arial" w:cs="Arial"/>
          <w:szCs w:val="24"/>
        </w:rPr>
        <w:t>).</w:t>
      </w:r>
    </w:p>
    <w:p w14:paraId="512C2044" w14:textId="77777777" w:rsidR="007B6BE3" w:rsidRPr="0087376B" w:rsidRDefault="005B20F8" w:rsidP="007B6BE3">
      <w:pPr>
        <w:spacing w:after="0"/>
        <w:ind w:firstLine="426"/>
        <w:jc w:val="both"/>
        <w:rPr>
          <w:rFonts w:ascii="Arial" w:hAnsi="Arial" w:cs="Arial"/>
          <w:szCs w:val="24"/>
        </w:rPr>
      </w:pPr>
      <w:r w:rsidRPr="00C7294F">
        <w:rPr>
          <w:rFonts w:ascii="Arial" w:hAnsi="Arial" w:cs="Arial"/>
          <w:szCs w:val="24"/>
        </w:rPr>
        <w:t>У</w:t>
      </w:r>
      <w:r w:rsidR="007B6BE3" w:rsidRPr="00C7294F">
        <w:rPr>
          <w:rFonts w:ascii="Arial" w:hAnsi="Arial" w:cs="Arial"/>
          <w:szCs w:val="24"/>
        </w:rPr>
        <w:t xml:space="preserve"> </w:t>
      </w:r>
      <w:r w:rsidRPr="00C7294F">
        <w:rPr>
          <w:rFonts w:ascii="Arial" w:hAnsi="Arial" w:cs="Arial"/>
          <w:szCs w:val="24"/>
        </w:rPr>
        <w:t>случају</w:t>
      </w:r>
      <w:r w:rsidR="007B6BE3" w:rsidRPr="00C7294F">
        <w:rPr>
          <w:rFonts w:ascii="Arial" w:hAnsi="Arial" w:cs="Arial"/>
          <w:szCs w:val="24"/>
        </w:rPr>
        <w:t xml:space="preserve"> </w:t>
      </w:r>
      <w:r w:rsidRPr="00C7294F">
        <w:rPr>
          <w:rFonts w:ascii="Arial" w:hAnsi="Arial" w:cs="Arial"/>
          <w:szCs w:val="24"/>
        </w:rPr>
        <w:t>екстремног</w:t>
      </w:r>
      <w:r w:rsidR="007B6BE3" w:rsidRPr="00C7294F">
        <w:rPr>
          <w:rFonts w:ascii="Arial" w:hAnsi="Arial" w:cs="Arial"/>
          <w:szCs w:val="24"/>
        </w:rPr>
        <w:t xml:space="preserve"> </w:t>
      </w:r>
      <w:r w:rsidRPr="00C7294F">
        <w:rPr>
          <w:rFonts w:ascii="Arial" w:hAnsi="Arial" w:cs="Arial"/>
          <w:szCs w:val="24"/>
        </w:rPr>
        <w:t>девизног</w:t>
      </w:r>
      <w:r w:rsidR="007B6BE3" w:rsidRPr="00C7294F">
        <w:rPr>
          <w:rFonts w:ascii="Arial" w:hAnsi="Arial" w:cs="Arial"/>
          <w:szCs w:val="24"/>
        </w:rPr>
        <w:t xml:space="preserve"> </w:t>
      </w:r>
      <w:r w:rsidRPr="00C7294F">
        <w:rPr>
          <w:rFonts w:ascii="Arial" w:hAnsi="Arial" w:cs="Arial"/>
          <w:szCs w:val="24"/>
        </w:rPr>
        <w:t>шока</w:t>
      </w:r>
      <w:r w:rsidR="007B6BE3" w:rsidRPr="00C7294F">
        <w:rPr>
          <w:rFonts w:ascii="Arial" w:hAnsi="Arial" w:cs="Arial"/>
          <w:szCs w:val="24"/>
        </w:rPr>
        <w:t xml:space="preserve"> (</w:t>
      </w:r>
      <w:r w:rsidRPr="00C7294F">
        <w:rPr>
          <w:rFonts w:ascii="Arial" w:hAnsi="Arial" w:cs="Arial"/>
          <w:szCs w:val="24"/>
        </w:rPr>
        <w:t>апрецијација</w:t>
      </w:r>
      <w:r w:rsidR="007B6BE3" w:rsidRPr="00C7294F">
        <w:rPr>
          <w:rFonts w:ascii="Arial" w:hAnsi="Arial" w:cs="Arial"/>
          <w:szCs w:val="24"/>
        </w:rPr>
        <w:t xml:space="preserve"> </w:t>
      </w:r>
      <w:r w:rsidR="00C7294F" w:rsidRPr="00C7294F">
        <w:rPr>
          <w:rFonts w:ascii="Arial" w:hAnsi="Arial" w:cs="Arial"/>
          <w:szCs w:val="24"/>
        </w:rPr>
        <w:t>USD</w:t>
      </w:r>
      <w:r w:rsidR="007B6BE3" w:rsidRPr="00C7294F">
        <w:rPr>
          <w:rFonts w:ascii="Arial" w:hAnsi="Arial" w:cs="Arial"/>
          <w:szCs w:val="24"/>
        </w:rPr>
        <w:t xml:space="preserve"> </w:t>
      </w:r>
      <w:r w:rsidRPr="00C7294F">
        <w:rPr>
          <w:rFonts w:ascii="Arial" w:hAnsi="Arial" w:cs="Arial"/>
          <w:szCs w:val="24"/>
        </w:rPr>
        <w:t>у</w:t>
      </w:r>
      <w:r w:rsidR="007B6BE3" w:rsidRPr="00C7294F">
        <w:rPr>
          <w:rFonts w:ascii="Arial" w:hAnsi="Arial" w:cs="Arial"/>
          <w:szCs w:val="24"/>
        </w:rPr>
        <w:t xml:space="preserve"> </w:t>
      </w:r>
      <w:r w:rsidRPr="00C7294F">
        <w:rPr>
          <w:rFonts w:ascii="Arial" w:hAnsi="Arial" w:cs="Arial"/>
          <w:szCs w:val="24"/>
        </w:rPr>
        <w:t>односу</w:t>
      </w:r>
      <w:r w:rsidR="007B6BE3" w:rsidRPr="00C7294F">
        <w:rPr>
          <w:rFonts w:ascii="Arial" w:hAnsi="Arial" w:cs="Arial"/>
          <w:szCs w:val="24"/>
        </w:rPr>
        <w:t xml:space="preserve"> </w:t>
      </w:r>
      <w:r w:rsidRPr="00C7294F">
        <w:rPr>
          <w:rFonts w:ascii="Arial" w:hAnsi="Arial" w:cs="Arial"/>
          <w:szCs w:val="24"/>
        </w:rPr>
        <w:t>на</w:t>
      </w:r>
      <w:r w:rsidR="007B6BE3" w:rsidRPr="00C7294F">
        <w:rPr>
          <w:rFonts w:ascii="Arial" w:hAnsi="Arial" w:cs="Arial"/>
          <w:szCs w:val="24"/>
        </w:rPr>
        <w:t xml:space="preserve"> </w:t>
      </w:r>
      <w:r w:rsidRPr="00C7294F">
        <w:rPr>
          <w:rFonts w:ascii="Arial" w:hAnsi="Arial" w:cs="Arial"/>
          <w:szCs w:val="24"/>
        </w:rPr>
        <w:t>БАМ</w:t>
      </w:r>
      <w:r w:rsidR="007B6BE3" w:rsidRPr="00C7294F">
        <w:rPr>
          <w:rFonts w:ascii="Arial" w:hAnsi="Arial" w:cs="Arial"/>
          <w:szCs w:val="24"/>
        </w:rPr>
        <w:t xml:space="preserve"> </w:t>
      </w:r>
      <w:r w:rsidRPr="00C7294F">
        <w:rPr>
          <w:rFonts w:ascii="Arial" w:hAnsi="Arial" w:cs="Arial"/>
          <w:szCs w:val="24"/>
        </w:rPr>
        <w:t>у</w:t>
      </w:r>
      <w:r w:rsidR="007B6BE3" w:rsidRPr="00C7294F">
        <w:rPr>
          <w:rFonts w:ascii="Arial" w:hAnsi="Arial" w:cs="Arial"/>
          <w:szCs w:val="24"/>
        </w:rPr>
        <w:t xml:space="preserve"> </w:t>
      </w:r>
      <w:r w:rsidRPr="00C7294F">
        <w:rPr>
          <w:rFonts w:ascii="Arial" w:hAnsi="Arial" w:cs="Arial"/>
          <w:szCs w:val="24"/>
        </w:rPr>
        <w:t>износу</w:t>
      </w:r>
      <w:r w:rsidR="007B6BE3" w:rsidRPr="00C7294F">
        <w:rPr>
          <w:rFonts w:ascii="Arial" w:hAnsi="Arial" w:cs="Arial"/>
          <w:szCs w:val="24"/>
        </w:rPr>
        <w:t xml:space="preserve"> </w:t>
      </w:r>
      <w:r>
        <w:rPr>
          <w:rFonts w:ascii="Arial" w:hAnsi="Arial" w:cs="Arial"/>
          <w:szCs w:val="24"/>
        </w:rPr>
        <w:t>од</w:t>
      </w:r>
      <w:r w:rsidR="007B6BE3" w:rsidRPr="0087376B">
        <w:rPr>
          <w:rFonts w:ascii="Arial" w:hAnsi="Arial" w:cs="Arial"/>
          <w:szCs w:val="24"/>
        </w:rPr>
        <w:t xml:space="preserve"> 30%) </w:t>
      </w:r>
      <w:r>
        <w:rPr>
          <w:rFonts w:ascii="Arial" w:hAnsi="Arial" w:cs="Arial"/>
          <w:szCs w:val="24"/>
        </w:rPr>
        <w:t>одступање</w:t>
      </w:r>
      <w:r w:rsidR="007B6BE3" w:rsidRPr="0087376B">
        <w:rPr>
          <w:rFonts w:ascii="Arial" w:hAnsi="Arial" w:cs="Arial"/>
          <w:szCs w:val="24"/>
        </w:rPr>
        <w:t xml:space="preserve"> </w:t>
      </w:r>
      <w:r>
        <w:rPr>
          <w:rFonts w:ascii="Arial" w:hAnsi="Arial" w:cs="Arial"/>
          <w:szCs w:val="24"/>
        </w:rPr>
        <w:t>шок</w:t>
      </w:r>
      <w:r w:rsidR="007B6BE3" w:rsidRPr="0087376B">
        <w:rPr>
          <w:rFonts w:ascii="Arial" w:hAnsi="Arial" w:cs="Arial"/>
          <w:szCs w:val="24"/>
        </w:rPr>
        <w:t xml:space="preserve"> </w:t>
      </w:r>
      <w:r>
        <w:rPr>
          <w:rFonts w:ascii="Arial" w:hAnsi="Arial" w:cs="Arial"/>
          <w:szCs w:val="24"/>
        </w:rPr>
        <w:t>сценарија</w:t>
      </w:r>
      <w:r w:rsidR="007B6BE3" w:rsidRPr="0087376B">
        <w:rPr>
          <w:rFonts w:ascii="Arial" w:hAnsi="Arial" w:cs="Arial"/>
          <w:szCs w:val="24"/>
        </w:rPr>
        <w:t xml:space="preserve"> </w:t>
      </w:r>
      <w:r>
        <w:rPr>
          <w:rFonts w:ascii="Arial" w:hAnsi="Arial" w:cs="Arial"/>
          <w:szCs w:val="24"/>
        </w:rPr>
        <w:t>од</w:t>
      </w:r>
      <w:r w:rsidR="007B6BE3" w:rsidRPr="0087376B">
        <w:rPr>
          <w:rFonts w:ascii="Arial" w:hAnsi="Arial" w:cs="Arial"/>
          <w:szCs w:val="24"/>
        </w:rPr>
        <w:t xml:space="preserve"> </w:t>
      </w:r>
      <w:r>
        <w:rPr>
          <w:rFonts w:ascii="Arial" w:hAnsi="Arial" w:cs="Arial"/>
          <w:szCs w:val="24"/>
        </w:rPr>
        <w:t>базног</w:t>
      </w:r>
      <w:r w:rsidR="007B6BE3" w:rsidRPr="0087376B">
        <w:rPr>
          <w:rFonts w:ascii="Arial" w:hAnsi="Arial" w:cs="Arial"/>
          <w:szCs w:val="24"/>
        </w:rPr>
        <w:t xml:space="preserve">, </w:t>
      </w:r>
      <w:r>
        <w:rPr>
          <w:rFonts w:ascii="Arial" w:hAnsi="Arial" w:cs="Arial"/>
          <w:szCs w:val="24"/>
        </w:rPr>
        <w:t>износи</w:t>
      </w:r>
      <w:r w:rsidR="007B6BE3" w:rsidRPr="0087376B">
        <w:rPr>
          <w:rFonts w:ascii="Arial" w:hAnsi="Arial" w:cs="Arial"/>
          <w:szCs w:val="24"/>
        </w:rPr>
        <w:t xml:space="preserve"> </w:t>
      </w:r>
      <w:r>
        <w:rPr>
          <w:rFonts w:ascii="Arial" w:hAnsi="Arial" w:cs="Arial"/>
          <w:szCs w:val="24"/>
        </w:rPr>
        <w:t>од</w:t>
      </w:r>
      <w:r w:rsidR="007B6BE3" w:rsidRPr="0087376B">
        <w:rPr>
          <w:rFonts w:ascii="Arial" w:hAnsi="Arial" w:cs="Arial"/>
          <w:szCs w:val="24"/>
        </w:rPr>
        <w:t xml:space="preserve"> 3,8170%–4,1772%, </w:t>
      </w:r>
      <w:r>
        <w:rPr>
          <w:rFonts w:ascii="Arial" w:hAnsi="Arial" w:cs="Arial"/>
          <w:szCs w:val="24"/>
        </w:rPr>
        <w:t>процијењеног</w:t>
      </w:r>
      <w:r w:rsidR="007B6BE3" w:rsidRPr="0087376B">
        <w:rPr>
          <w:rFonts w:ascii="Arial" w:hAnsi="Arial" w:cs="Arial"/>
          <w:szCs w:val="24"/>
        </w:rPr>
        <w:t xml:space="preserve"> </w:t>
      </w:r>
      <w:r>
        <w:rPr>
          <w:rFonts w:ascii="Arial" w:hAnsi="Arial" w:cs="Arial"/>
          <w:szCs w:val="24"/>
        </w:rPr>
        <w:t>БДП</w:t>
      </w:r>
      <w:r w:rsidR="007B6BE3" w:rsidRPr="0087376B">
        <w:rPr>
          <w:rFonts w:ascii="Arial" w:hAnsi="Arial" w:cs="Arial"/>
          <w:szCs w:val="24"/>
        </w:rPr>
        <w:t>-</w:t>
      </w:r>
      <w:r>
        <w:rPr>
          <w:rFonts w:ascii="Arial" w:hAnsi="Arial" w:cs="Arial"/>
          <w:szCs w:val="24"/>
        </w:rPr>
        <w:t>а</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2025. </w:t>
      </w:r>
      <w:r>
        <w:rPr>
          <w:rFonts w:ascii="Arial" w:hAnsi="Arial" w:cs="Arial"/>
          <w:szCs w:val="24"/>
        </w:rPr>
        <w:t>години</w:t>
      </w:r>
      <w:r w:rsidR="007B6BE3" w:rsidRPr="0087376B">
        <w:rPr>
          <w:rFonts w:ascii="Arial" w:hAnsi="Arial" w:cs="Arial"/>
          <w:szCs w:val="24"/>
        </w:rPr>
        <w:t xml:space="preserve"> </w:t>
      </w:r>
      <w:r>
        <w:rPr>
          <w:rFonts w:ascii="Arial" w:hAnsi="Arial" w:cs="Arial"/>
          <w:szCs w:val="24"/>
        </w:rPr>
        <w:t>с</w:t>
      </w:r>
      <w:r w:rsidR="007B6BE3" w:rsidRPr="0087376B">
        <w:rPr>
          <w:rFonts w:ascii="Arial" w:hAnsi="Arial" w:cs="Arial"/>
          <w:szCs w:val="24"/>
        </w:rPr>
        <w:t xml:space="preserve"> </w:t>
      </w:r>
      <w:r>
        <w:rPr>
          <w:rFonts w:ascii="Arial" w:hAnsi="Arial" w:cs="Arial"/>
          <w:szCs w:val="24"/>
        </w:rPr>
        <w:t>тим</w:t>
      </w:r>
      <w:r w:rsidR="007B6BE3" w:rsidRPr="0087376B">
        <w:rPr>
          <w:rFonts w:ascii="Arial" w:hAnsi="Arial" w:cs="Arial"/>
          <w:szCs w:val="24"/>
        </w:rPr>
        <w:t xml:space="preserve"> </w:t>
      </w:r>
      <w:r>
        <w:rPr>
          <w:rFonts w:ascii="Arial" w:hAnsi="Arial" w:cs="Arial"/>
          <w:szCs w:val="24"/>
        </w:rPr>
        <w:t>да</w:t>
      </w:r>
      <w:r w:rsidR="007B6BE3" w:rsidRPr="0087376B">
        <w:rPr>
          <w:rFonts w:ascii="Arial" w:hAnsi="Arial" w:cs="Arial"/>
          <w:szCs w:val="24"/>
        </w:rPr>
        <w:t xml:space="preserve"> </w:t>
      </w:r>
      <w:r>
        <w:rPr>
          <w:rFonts w:ascii="Arial" w:hAnsi="Arial" w:cs="Arial"/>
          <w:szCs w:val="24"/>
        </w:rPr>
        <w:t>је</w:t>
      </w:r>
      <w:r w:rsidR="007B6BE3" w:rsidRPr="0087376B">
        <w:rPr>
          <w:rFonts w:ascii="Arial" w:hAnsi="Arial" w:cs="Arial"/>
          <w:szCs w:val="24"/>
        </w:rPr>
        <w:t xml:space="preserve"> </w:t>
      </w:r>
      <w:r>
        <w:rPr>
          <w:rFonts w:ascii="Arial" w:hAnsi="Arial" w:cs="Arial"/>
          <w:szCs w:val="24"/>
        </w:rPr>
        <w:t>то</w:t>
      </w:r>
      <w:r w:rsidR="007B6BE3" w:rsidRPr="0087376B">
        <w:rPr>
          <w:rFonts w:ascii="Arial" w:hAnsi="Arial" w:cs="Arial"/>
          <w:szCs w:val="24"/>
        </w:rPr>
        <w:t xml:space="preserve"> </w:t>
      </w:r>
      <w:r>
        <w:rPr>
          <w:rFonts w:ascii="Arial" w:hAnsi="Arial" w:cs="Arial"/>
          <w:szCs w:val="24"/>
        </w:rPr>
        <w:t>одступање</w:t>
      </w:r>
      <w:r w:rsidR="007B6BE3" w:rsidRPr="0087376B">
        <w:rPr>
          <w:rFonts w:ascii="Arial" w:hAnsi="Arial" w:cs="Arial"/>
          <w:szCs w:val="24"/>
        </w:rPr>
        <w:t xml:space="preserve"> </w:t>
      </w:r>
      <w:r>
        <w:rPr>
          <w:rFonts w:ascii="Arial" w:hAnsi="Arial" w:cs="Arial"/>
          <w:szCs w:val="24"/>
        </w:rPr>
        <w:t>најмање</w:t>
      </w:r>
      <w:r w:rsidR="007B6BE3" w:rsidRPr="0087376B">
        <w:rPr>
          <w:rFonts w:ascii="Arial" w:hAnsi="Arial" w:cs="Arial"/>
          <w:szCs w:val="24"/>
        </w:rPr>
        <w:t xml:space="preserve"> </w:t>
      </w:r>
      <w:r>
        <w:rPr>
          <w:rFonts w:ascii="Arial" w:hAnsi="Arial" w:cs="Arial"/>
          <w:szCs w:val="24"/>
        </w:rPr>
        <w:t>у</w:t>
      </w:r>
      <w:r w:rsidR="007B6BE3" w:rsidRPr="0087376B">
        <w:rPr>
          <w:rFonts w:ascii="Arial" w:hAnsi="Arial" w:cs="Arial"/>
          <w:szCs w:val="24"/>
        </w:rPr>
        <w:t xml:space="preserve"> </w:t>
      </w:r>
      <w:r>
        <w:rPr>
          <w:rFonts w:ascii="Arial" w:hAnsi="Arial" w:cs="Arial"/>
          <w:szCs w:val="24"/>
        </w:rPr>
        <w:t>Стратегији</w:t>
      </w:r>
      <w:r w:rsidR="007B6BE3" w:rsidRPr="0087376B">
        <w:rPr>
          <w:rFonts w:ascii="Arial" w:hAnsi="Arial" w:cs="Arial"/>
          <w:szCs w:val="24"/>
        </w:rPr>
        <w:t xml:space="preserve"> </w:t>
      </w:r>
      <w:r>
        <w:rPr>
          <w:rFonts w:ascii="Arial" w:hAnsi="Arial" w:cs="Arial"/>
          <w:szCs w:val="24"/>
        </w:rPr>
        <w:t>С</w:t>
      </w:r>
      <w:r w:rsidR="007B6BE3" w:rsidRPr="0087376B">
        <w:rPr>
          <w:rFonts w:ascii="Arial" w:hAnsi="Arial" w:cs="Arial"/>
          <w:szCs w:val="24"/>
        </w:rPr>
        <w:t xml:space="preserve">2. </w:t>
      </w:r>
    </w:p>
    <w:p w14:paraId="24DEB7CE" w14:textId="77777777" w:rsidR="007B6BE3" w:rsidRPr="0087376B" w:rsidRDefault="007B6BE3" w:rsidP="007B6BE3">
      <w:pPr>
        <w:spacing w:after="0" w:line="240" w:lineRule="auto"/>
        <w:jc w:val="both"/>
        <w:rPr>
          <w:rFonts w:ascii="Arial" w:hAnsi="Arial" w:cs="Arial"/>
          <w:i/>
          <w:szCs w:val="24"/>
        </w:rPr>
      </w:pPr>
    </w:p>
    <w:p w14:paraId="5FF549A8" w14:textId="4310B3FC" w:rsidR="007B6BE3" w:rsidRPr="0087376B" w:rsidRDefault="005B20F8" w:rsidP="007B6BE3">
      <w:pPr>
        <w:spacing w:after="0" w:line="240" w:lineRule="auto"/>
        <w:jc w:val="both"/>
        <w:rPr>
          <w:rFonts w:ascii="Arial" w:hAnsi="Arial" w:cs="Arial"/>
          <w:i/>
          <w:color w:val="538135" w:themeColor="accent6" w:themeShade="BF"/>
          <w:sz w:val="16"/>
          <w:szCs w:val="16"/>
        </w:rPr>
      </w:pPr>
      <w:r>
        <w:rPr>
          <w:rFonts w:ascii="Arial" w:hAnsi="Arial" w:cs="Arial"/>
          <w:i/>
          <w:szCs w:val="24"/>
        </w:rPr>
        <w:t>Слика</w:t>
      </w:r>
      <w:r w:rsidR="007B6BE3" w:rsidRPr="0087376B">
        <w:rPr>
          <w:rFonts w:ascii="Arial" w:hAnsi="Arial" w:cs="Arial"/>
          <w:i/>
          <w:szCs w:val="24"/>
        </w:rPr>
        <w:t xml:space="preserve"> 13. </w:t>
      </w:r>
      <w:r>
        <w:rPr>
          <w:rFonts w:ascii="Arial" w:hAnsi="Arial" w:cs="Arial"/>
          <w:i/>
          <w:szCs w:val="24"/>
        </w:rPr>
        <w:t>Учешће</w:t>
      </w:r>
      <w:r w:rsidR="007B6BE3" w:rsidRPr="0087376B">
        <w:rPr>
          <w:rFonts w:ascii="Arial" w:hAnsi="Arial" w:cs="Arial"/>
          <w:i/>
          <w:szCs w:val="24"/>
        </w:rPr>
        <w:t xml:space="preserve"> </w:t>
      </w:r>
      <w:r>
        <w:rPr>
          <w:rFonts w:ascii="Arial" w:hAnsi="Arial" w:cs="Arial"/>
          <w:i/>
          <w:szCs w:val="24"/>
        </w:rPr>
        <w:t>дуга</w:t>
      </w:r>
      <w:r w:rsidR="007B6BE3" w:rsidRPr="0087376B">
        <w:rPr>
          <w:rFonts w:ascii="Arial" w:hAnsi="Arial" w:cs="Arial"/>
          <w:i/>
          <w:szCs w:val="24"/>
        </w:rPr>
        <w:t xml:space="preserve"> </w:t>
      </w:r>
      <w:r>
        <w:rPr>
          <w:rFonts w:ascii="Arial" w:hAnsi="Arial" w:cs="Arial"/>
          <w:i/>
          <w:szCs w:val="24"/>
        </w:rPr>
        <w:t>у</w:t>
      </w:r>
      <w:r w:rsidR="007B6BE3" w:rsidRPr="0087376B">
        <w:rPr>
          <w:rFonts w:ascii="Arial" w:hAnsi="Arial" w:cs="Arial"/>
          <w:i/>
          <w:szCs w:val="24"/>
        </w:rPr>
        <w:t xml:space="preserve"> </w:t>
      </w:r>
      <w:r>
        <w:rPr>
          <w:rFonts w:ascii="Arial" w:hAnsi="Arial" w:cs="Arial"/>
          <w:i/>
          <w:szCs w:val="24"/>
        </w:rPr>
        <w:t>БДП</w:t>
      </w:r>
      <w:r w:rsidR="007B6BE3" w:rsidRPr="0087376B">
        <w:rPr>
          <w:rFonts w:ascii="Arial" w:hAnsi="Arial" w:cs="Arial"/>
          <w:i/>
          <w:szCs w:val="24"/>
        </w:rPr>
        <w:t>-</w:t>
      </w:r>
      <w:r>
        <w:rPr>
          <w:rFonts w:ascii="Arial" w:hAnsi="Arial" w:cs="Arial"/>
          <w:i/>
          <w:szCs w:val="24"/>
        </w:rPr>
        <w:t>у</w:t>
      </w:r>
      <w:r w:rsidR="007B6BE3" w:rsidRPr="0087376B">
        <w:rPr>
          <w:rFonts w:ascii="Arial" w:hAnsi="Arial" w:cs="Arial"/>
          <w:i/>
          <w:sz w:val="20"/>
        </w:rPr>
        <w:t xml:space="preserve">  </w:t>
      </w:r>
      <w:r w:rsidR="007B6BE3" w:rsidRPr="0087376B">
        <w:rPr>
          <w:rFonts w:ascii="Arial" w:hAnsi="Arial" w:cs="Arial"/>
          <w:i/>
          <w:szCs w:val="24"/>
        </w:rPr>
        <w:t>(</w:t>
      </w:r>
      <w:r>
        <w:rPr>
          <w:rFonts w:ascii="Arial" w:hAnsi="Arial" w:cs="Arial"/>
          <w:i/>
          <w:szCs w:val="24"/>
        </w:rPr>
        <w:t>крај</w:t>
      </w:r>
      <w:r w:rsidR="007B6BE3" w:rsidRPr="0087376B">
        <w:rPr>
          <w:rFonts w:ascii="Arial" w:hAnsi="Arial" w:cs="Arial"/>
          <w:i/>
          <w:szCs w:val="24"/>
        </w:rPr>
        <w:t xml:space="preserve"> 2025. </w:t>
      </w:r>
      <w:r>
        <w:rPr>
          <w:rFonts w:ascii="Arial" w:hAnsi="Arial" w:cs="Arial"/>
          <w:i/>
          <w:szCs w:val="24"/>
        </w:rPr>
        <w:t>године</w:t>
      </w:r>
      <w:r w:rsidR="007B6BE3" w:rsidRPr="0087376B">
        <w:rPr>
          <w:rFonts w:ascii="Arial" w:hAnsi="Arial" w:cs="Arial"/>
          <w:i/>
          <w:szCs w:val="24"/>
        </w:rPr>
        <w:t>)</w:t>
      </w:r>
      <w:r w:rsidR="007B6BE3" w:rsidRPr="0087376B">
        <w:rPr>
          <w:rFonts w:ascii="Arial" w:hAnsi="Arial" w:cs="Arial"/>
          <w:i/>
          <w:color w:val="538135" w:themeColor="accent6" w:themeShade="BF"/>
          <w:sz w:val="20"/>
        </w:rPr>
        <w:t xml:space="preserve">      </w:t>
      </w:r>
    </w:p>
    <w:p w14:paraId="60179C34" w14:textId="77777777" w:rsidR="007B6BE3" w:rsidRPr="0087376B" w:rsidRDefault="007B6BE3" w:rsidP="007B6BE3">
      <w:pPr>
        <w:spacing w:after="0" w:line="240" w:lineRule="auto"/>
        <w:jc w:val="both"/>
        <w:rPr>
          <w:rFonts w:ascii="Arial" w:hAnsi="Arial" w:cs="Arial"/>
          <w:i/>
          <w:color w:val="538135" w:themeColor="accent6" w:themeShade="BF"/>
          <w:sz w:val="16"/>
          <w:szCs w:val="16"/>
        </w:rPr>
      </w:pPr>
      <w:r w:rsidRPr="0087376B">
        <w:rPr>
          <w:noProof/>
          <w:sz w:val="16"/>
          <w:szCs w:val="16"/>
          <w:lang w:eastAsia="hr-HR"/>
        </w:rPr>
        <w:drawing>
          <wp:inline distT="0" distB="0" distL="0" distR="0" wp14:anchorId="2ADB2B71" wp14:editId="351E4653">
            <wp:extent cx="5638800" cy="2486025"/>
            <wp:effectExtent l="0" t="0" r="0" b="9525"/>
            <wp:docPr id="12" name="Chart 12">
              <a:extLst xmlns:a="http://schemas.openxmlformats.org/drawingml/2006/main">
                <a:ext uri="{FF2B5EF4-FFF2-40B4-BE49-F238E27FC236}">
                  <a16:creationId xmlns:a16="http://schemas.microsoft.com/office/drawing/2014/main" id="{00000000-0008-0000-0A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85E03A9" w14:textId="77777777" w:rsidR="0092788C" w:rsidRDefault="007B6BE3" w:rsidP="007B6BE3">
      <w:pPr>
        <w:spacing w:after="0" w:line="240" w:lineRule="auto"/>
        <w:jc w:val="both"/>
        <w:rPr>
          <w:rFonts w:ascii="Arial" w:hAnsi="Arial" w:cs="Arial"/>
          <w:i/>
          <w:color w:val="538135" w:themeColor="accent6" w:themeShade="BF"/>
          <w:sz w:val="16"/>
          <w:szCs w:val="16"/>
        </w:rPr>
      </w:pPr>
      <w:r w:rsidRPr="0087376B">
        <w:rPr>
          <w:rFonts w:ascii="Arial" w:hAnsi="Arial" w:cs="Arial"/>
          <w:i/>
          <w:color w:val="538135" w:themeColor="accent6" w:themeShade="BF"/>
          <w:sz w:val="16"/>
          <w:szCs w:val="16"/>
        </w:rPr>
        <w:t xml:space="preserve">             </w:t>
      </w:r>
    </w:p>
    <w:p w14:paraId="51E45CF6" w14:textId="77777777" w:rsidR="0092788C" w:rsidRDefault="0092788C" w:rsidP="007B6BE3">
      <w:pPr>
        <w:spacing w:after="0" w:line="240" w:lineRule="auto"/>
        <w:jc w:val="both"/>
        <w:rPr>
          <w:rFonts w:ascii="Arial" w:hAnsi="Arial" w:cs="Arial"/>
          <w:i/>
          <w:color w:val="538135" w:themeColor="accent6" w:themeShade="BF"/>
          <w:sz w:val="16"/>
          <w:szCs w:val="16"/>
        </w:rPr>
      </w:pPr>
    </w:p>
    <w:p w14:paraId="6763A475" w14:textId="77777777" w:rsidR="0092788C" w:rsidRDefault="0092788C" w:rsidP="007B6BE3">
      <w:pPr>
        <w:spacing w:after="0" w:line="240" w:lineRule="auto"/>
        <w:jc w:val="both"/>
        <w:rPr>
          <w:rFonts w:ascii="Arial" w:hAnsi="Arial" w:cs="Arial"/>
          <w:i/>
          <w:color w:val="538135" w:themeColor="accent6" w:themeShade="BF"/>
          <w:sz w:val="16"/>
          <w:szCs w:val="16"/>
        </w:rPr>
      </w:pPr>
    </w:p>
    <w:p w14:paraId="04D05F7F" w14:textId="40CF2FA5" w:rsidR="007B6BE3" w:rsidRPr="0087376B" w:rsidRDefault="007B6BE3" w:rsidP="007B6BE3">
      <w:pPr>
        <w:spacing w:after="0" w:line="240" w:lineRule="auto"/>
        <w:jc w:val="both"/>
        <w:rPr>
          <w:rFonts w:ascii="Arial" w:hAnsi="Arial" w:cs="Arial"/>
          <w:i/>
          <w:color w:val="538135" w:themeColor="accent6" w:themeShade="BF"/>
          <w:sz w:val="16"/>
          <w:szCs w:val="16"/>
        </w:rPr>
      </w:pPr>
      <w:r w:rsidRPr="0087376B">
        <w:rPr>
          <w:rFonts w:ascii="Arial" w:hAnsi="Arial" w:cs="Arial"/>
          <w:i/>
          <w:color w:val="538135" w:themeColor="accent6" w:themeShade="BF"/>
          <w:sz w:val="16"/>
          <w:szCs w:val="16"/>
        </w:rPr>
        <w:t xml:space="preserve">         </w:t>
      </w:r>
    </w:p>
    <w:p w14:paraId="48EC2E21" w14:textId="77777777" w:rsidR="007B6BE3" w:rsidRPr="0087376B" w:rsidRDefault="007B6BE3" w:rsidP="00C7294F">
      <w:pPr>
        <w:pStyle w:val="Heading2"/>
        <w:spacing w:before="0"/>
        <w:rPr>
          <w:rFonts w:ascii="Arial" w:hAnsi="Arial" w:cs="Arial"/>
          <w:b w:val="0"/>
          <w:color w:val="auto"/>
          <w:sz w:val="22"/>
          <w:szCs w:val="22"/>
        </w:rPr>
      </w:pPr>
    </w:p>
    <w:p w14:paraId="27B27B29" w14:textId="77777777" w:rsidR="007B6BE3" w:rsidRPr="0092788C" w:rsidRDefault="005B20F8" w:rsidP="0092788C">
      <w:pPr>
        <w:pStyle w:val="Heading2"/>
        <w:numPr>
          <w:ilvl w:val="1"/>
          <w:numId w:val="25"/>
        </w:numPr>
        <w:spacing w:before="0"/>
        <w:rPr>
          <w:rFonts w:ascii="Arial" w:hAnsi="Arial" w:cs="Arial"/>
          <w:b w:val="0"/>
          <w:color w:val="auto"/>
          <w:sz w:val="22"/>
          <w:szCs w:val="22"/>
        </w:rPr>
      </w:pPr>
      <w:bookmarkStart w:id="145" w:name="_Toc149810624"/>
      <w:r w:rsidRPr="0092788C">
        <w:rPr>
          <w:rFonts w:ascii="Arial" w:hAnsi="Arial" w:cs="Arial"/>
          <w:b w:val="0"/>
          <w:color w:val="auto"/>
          <w:sz w:val="22"/>
          <w:szCs w:val="22"/>
        </w:rPr>
        <w:t>Индикатори</w:t>
      </w:r>
      <w:r w:rsidR="007B6BE3" w:rsidRPr="0092788C">
        <w:rPr>
          <w:rFonts w:ascii="Arial" w:hAnsi="Arial" w:cs="Arial"/>
          <w:b w:val="0"/>
          <w:color w:val="auto"/>
          <w:sz w:val="22"/>
          <w:szCs w:val="22"/>
        </w:rPr>
        <w:t xml:space="preserve"> </w:t>
      </w:r>
      <w:r w:rsidRPr="0092788C">
        <w:rPr>
          <w:rFonts w:ascii="Arial" w:hAnsi="Arial" w:cs="Arial"/>
          <w:b w:val="0"/>
          <w:color w:val="auto"/>
          <w:sz w:val="22"/>
          <w:szCs w:val="22"/>
        </w:rPr>
        <w:t>ризика</w:t>
      </w:r>
      <w:r w:rsidR="007B6BE3" w:rsidRPr="0092788C">
        <w:rPr>
          <w:rFonts w:ascii="Arial" w:hAnsi="Arial" w:cs="Arial"/>
          <w:b w:val="0"/>
          <w:color w:val="auto"/>
          <w:sz w:val="22"/>
          <w:szCs w:val="22"/>
        </w:rPr>
        <w:t xml:space="preserve"> </w:t>
      </w:r>
      <w:r w:rsidRPr="0092788C">
        <w:rPr>
          <w:rFonts w:ascii="Arial" w:hAnsi="Arial" w:cs="Arial"/>
          <w:b w:val="0"/>
          <w:color w:val="auto"/>
          <w:sz w:val="22"/>
          <w:szCs w:val="22"/>
        </w:rPr>
        <w:t>алтернативних</w:t>
      </w:r>
      <w:r w:rsidR="007B6BE3" w:rsidRPr="0092788C">
        <w:rPr>
          <w:rFonts w:ascii="Arial" w:hAnsi="Arial" w:cs="Arial"/>
          <w:b w:val="0"/>
          <w:color w:val="auto"/>
          <w:sz w:val="22"/>
          <w:szCs w:val="22"/>
        </w:rPr>
        <w:t xml:space="preserve"> </w:t>
      </w:r>
      <w:r w:rsidRPr="0092788C">
        <w:rPr>
          <w:rFonts w:ascii="Arial" w:hAnsi="Arial" w:cs="Arial"/>
          <w:b w:val="0"/>
          <w:color w:val="auto"/>
          <w:sz w:val="22"/>
          <w:szCs w:val="22"/>
        </w:rPr>
        <w:t>стратегија</w:t>
      </w:r>
      <w:bookmarkEnd w:id="145"/>
    </w:p>
    <w:p w14:paraId="052B9F34" w14:textId="77777777" w:rsidR="007B6BE3" w:rsidRPr="0087376B" w:rsidRDefault="007B6BE3" w:rsidP="007B6BE3">
      <w:pPr>
        <w:spacing w:after="0" w:line="240" w:lineRule="auto"/>
        <w:jc w:val="both"/>
        <w:rPr>
          <w:rFonts w:ascii="Arial" w:hAnsi="Arial" w:cs="Arial"/>
        </w:rPr>
      </w:pPr>
    </w:p>
    <w:p w14:paraId="7587300E" w14:textId="77777777" w:rsidR="007B6BE3" w:rsidRPr="0087376B" w:rsidRDefault="005B20F8" w:rsidP="007B6BE3">
      <w:pPr>
        <w:spacing w:after="0"/>
        <w:ind w:firstLine="284"/>
        <w:jc w:val="both"/>
        <w:rPr>
          <w:rFonts w:ascii="Arial" w:hAnsi="Arial" w:cs="Arial"/>
        </w:rPr>
      </w:pPr>
      <w:r>
        <w:rPr>
          <w:rFonts w:ascii="Arial" w:hAnsi="Arial" w:cs="Arial"/>
        </w:rPr>
        <w:t>Будући</w:t>
      </w:r>
      <w:r w:rsidR="007B6BE3" w:rsidRPr="0087376B">
        <w:rPr>
          <w:rFonts w:ascii="Arial" w:hAnsi="Arial" w:cs="Arial"/>
        </w:rPr>
        <w:t xml:space="preserve"> </w:t>
      </w:r>
      <w:r>
        <w:rPr>
          <w:rFonts w:ascii="Arial" w:hAnsi="Arial" w:cs="Arial"/>
        </w:rPr>
        <w:t>да</w:t>
      </w:r>
      <w:r w:rsidR="007B6BE3" w:rsidRPr="0087376B">
        <w:rPr>
          <w:rFonts w:ascii="Arial" w:hAnsi="Arial" w:cs="Arial"/>
        </w:rPr>
        <w:t xml:space="preserve"> </w:t>
      </w:r>
      <w:r>
        <w:rPr>
          <w:rFonts w:ascii="Arial" w:hAnsi="Arial" w:cs="Arial"/>
        </w:rPr>
        <w:t>односи</w:t>
      </w:r>
      <w:r w:rsidR="007B6BE3" w:rsidRPr="0087376B">
        <w:rPr>
          <w:rFonts w:ascii="Arial" w:hAnsi="Arial" w:cs="Arial"/>
        </w:rPr>
        <w:t xml:space="preserve"> </w:t>
      </w:r>
      <w:r>
        <w:rPr>
          <w:rFonts w:ascii="Arial" w:hAnsi="Arial" w:cs="Arial"/>
          <w:i/>
        </w:rPr>
        <w:t>дуг</w:t>
      </w:r>
      <w:r w:rsidR="007B6BE3" w:rsidRPr="0087376B">
        <w:rPr>
          <w:rFonts w:ascii="Arial" w:hAnsi="Arial" w:cs="Arial"/>
          <w:i/>
        </w:rPr>
        <w:t>/</w:t>
      </w:r>
      <w:r>
        <w:rPr>
          <w:rFonts w:ascii="Arial" w:hAnsi="Arial" w:cs="Arial"/>
          <w:i/>
        </w:rPr>
        <w:t>БДП</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i/>
        </w:rPr>
        <w:t>камата</w:t>
      </w:r>
      <w:r w:rsidR="007B6BE3" w:rsidRPr="0087376B">
        <w:rPr>
          <w:rFonts w:ascii="Arial" w:hAnsi="Arial" w:cs="Arial"/>
          <w:i/>
        </w:rPr>
        <w:t>/</w:t>
      </w:r>
      <w:r>
        <w:rPr>
          <w:rFonts w:ascii="Arial" w:hAnsi="Arial" w:cs="Arial"/>
          <w:i/>
        </w:rPr>
        <w:t>БДП</w:t>
      </w:r>
      <w:r w:rsidR="007B6BE3" w:rsidRPr="0087376B">
        <w:rPr>
          <w:rFonts w:ascii="Arial" w:hAnsi="Arial" w:cs="Arial"/>
        </w:rPr>
        <w:t xml:space="preserve"> </w:t>
      </w:r>
      <w:r>
        <w:rPr>
          <w:rFonts w:ascii="Arial" w:hAnsi="Arial" w:cs="Arial"/>
        </w:rPr>
        <w:t>нису</w:t>
      </w:r>
      <w:r w:rsidR="007B6BE3" w:rsidRPr="0087376B">
        <w:rPr>
          <w:rFonts w:ascii="Arial" w:hAnsi="Arial" w:cs="Arial"/>
        </w:rPr>
        <w:t xml:space="preserve"> </w:t>
      </w:r>
      <w:r>
        <w:rPr>
          <w:rFonts w:ascii="Arial" w:hAnsi="Arial" w:cs="Arial"/>
        </w:rPr>
        <w:t>довољни</w:t>
      </w:r>
      <w:r w:rsidR="007B6BE3" w:rsidRPr="0087376B">
        <w:rPr>
          <w:rFonts w:ascii="Arial" w:hAnsi="Arial" w:cs="Arial"/>
        </w:rPr>
        <w:t xml:space="preserve"> </w:t>
      </w:r>
      <w:r>
        <w:rPr>
          <w:rFonts w:ascii="Arial" w:hAnsi="Arial" w:cs="Arial"/>
        </w:rPr>
        <w:t>за</w:t>
      </w:r>
      <w:r w:rsidR="007B6BE3" w:rsidRPr="0087376B">
        <w:rPr>
          <w:rFonts w:ascii="Arial" w:hAnsi="Arial" w:cs="Arial"/>
        </w:rPr>
        <w:t xml:space="preserve"> </w:t>
      </w:r>
      <w:r>
        <w:rPr>
          <w:rFonts w:ascii="Arial" w:hAnsi="Arial" w:cs="Arial"/>
        </w:rPr>
        <w:t>процјену</w:t>
      </w:r>
      <w:r w:rsidR="007B6BE3" w:rsidRPr="0087376B">
        <w:rPr>
          <w:rFonts w:ascii="Arial" w:hAnsi="Arial" w:cs="Arial"/>
        </w:rPr>
        <w:t xml:space="preserve"> </w:t>
      </w:r>
      <w:r>
        <w:rPr>
          <w:rFonts w:ascii="Arial" w:hAnsi="Arial" w:cs="Arial"/>
        </w:rPr>
        <w:t>ризика</w:t>
      </w:r>
      <w:r w:rsidR="007B6BE3" w:rsidRPr="0087376B">
        <w:rPr>
          <w:rFonts w:ascii="Arial" w:hAnsi="Arial" w:cs="Arial"/>
        </w:rPr>
        <w:t xml:space="preserve"> </w:t>
      </w:r>
      <w:r>
        <w:rPr>
          <w:rFonts w:ascii="Arial" w:hAnsi="Arial" w:cs="Arial"/>
        </w:rPr>
        <w:t>анализирани</w:t>
      </w:r>
      <w:r w:rsidR="007B6BE3" w:rsidRPr="0087376B">
        <w:rPr>
          <w:rFonts w:ascii="Arial" w:hAnsi="Arial" w:cs="Arial"/>
        </w:rPr>
        <w:t xml:space="preserve"> </w:t>
      </w:r>
      <w:r>
        <w:rPr>
          <w:rFonts w:ascii="Arial" w:hAnsi="Arial" w:cs="Arial"/>
        </w:rPr>
        <w:t>су</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други</w:t>
      </w:r>
      <w:r w:rsidR="007B6BE3" w:rsidRPr="0087376B">
        <w:rPr>
          <w:rFonts w:ascii="Arial" w:hAnsi="Arial" w:cs="Arial"/>
        </w:rPr>
        <w:t xml:space="preserve"> </w:t>
      </w:r>
      <w:r>
        <w:rPr>
          <w:rFonts w:ascii="Arial" w:hAnsi="Arial" w:cs="Arial"/>
        </w:rPr>
        <w:t>индикатори</w:t>
      </w:r>
      <w:r w:rsidR="007B6BE3" w:rsidRPr="0087376B">
        <w:rPr>
          <w:rFonts w:ascii="Arial" w:hAnsi="Arial" w:cs="Arial"/>
        </w:rPr>
        <w:t xml:space="preserve">: </w:t>
      </w:r>
      <w:r>
        <w:rPr>
          <w:rFonts w:ascii="Arial" w:hAnsi="Arial" w:cs="Arial"/>
        </w:rPr>
        <w:t>ризик</w:t>
      </w:r>
      <w:r w:rsidR="007B6BE3" w:rsidRPr="0087376B">
        <w:rPr>
          <w:rFonts w:ascii="Arial" w:hAnsi="Arial" w:cs="Arial"/>
        </w:rPr>
        <w:t xml:space="preserve"> </w:t>
      </w:r>
      <w:r>
        <w:rPr>
          <w:rFonts w:ascii="Arial" w:hAnsi="Arial" w:cs="Arial"/>
        </w:rPr>
        <w:t>рефинансирања</w:t>
      </w:r>
      <w:r w:rsidR="007B6BE3" w:rsidRPr="0087376B">
        <w:rPr>
          <w:rFonts w:ascii="Arial" w:hAnsi="Arial" w:cs="Arial"/>
        </w:rPr>
        <w:t xml:space="preserve">, </w:t>
      </w:r>
      <w:r>
        <w:rPr>
          <w:rFonts w:ascii="Arial" w:hAnsi="Arial" w:cs="Arial"/>
        </w:rPr>
        <w:t>каматни</w:t>
      </w:r>
      <w:r w:rsidR="007B6BE3" w:rsidRPr="0087376B">
        <w:rPr>
          <w:rFonts w:ascii="Arial" w:hAnsi="Arial" w:cs="Arial"/>
        </w:rPr>
        <w:t xml:space="preserve"> </w:t>
      </w:r>
      <w:r>
        <w:rPr>
          <w:rFonts w:ascii="Arial" w:hAnsi="Arial" w:cs="Arial"/>
        </w:rPr>
        <w:t>ризик</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валутни</w:t>
      </w:r>
      <w:r w:rsidR="007B6BE3" w:rsidRPr="0087376B">
        <w:rPr>
          <w:rFonts w:ascii="Arial" w:hAnsi="Arial" w:cs="Arial"/>
        </w:rPr>
        <w:t xml:space="preserve"> </w:t>
      </w:r>
      <w:r>
        <w:rPr>
          <w:rFonts w:ascii="Arial" w:hAnsi="Arial" w:cs="Arial"/>
        </w:rPr>
        <w:t>ризик</w:t>
      </w:r>
      <w:r w:rsidR="007B6BE3" w:rsidRPr="0087376B">
        <w:rPr>
          <w:rFonts w:ascii="Arial" w:hAnsi="Arial" w:cs="Arial"/>
        </w:rPr>
        <w:t xml:space="preserve">. </w:t>
      </w:r>
    </w:p>
    <w:p w14:paraId="5E4B82B1" w14:textId="77777777" w:rsidR="007B6BE3" w:rsidRPr="0087376B" w:rsidRDefault="007B6BE3" w:rsidP="007B6BE3">
      <w:pPr>
        <w:spacing w:after="0"/>
        <w:ind w:firstLine="284"/>
        <w:jc w:val="both"/>
        <w:rPr>
          <w:rFonts w:ascii="Arial" w:hAnsi="Arial" w:cs="Arial"/>
        </w:rPr>
      </w:pPr>
    </w:p>
    <w:p w14:paraId="1B837378" w14:textId="74A8FC56" w:rsidR="007B6BE3" w:rsidRPr="0087376B" w:rsidRDefault="005B20F8" w:rsidP="007B6BE3">
      <w:pPr>
        <w:spacing w:after="0" w:line="240" w:lineRule="auto"/>
        <w:jc w:val="both"/>
        <w:rPr>
          <w:rFonts w:ascii="Arial" w:hAnsi="Arial" w:cs="Arial"/>
        </w:rPr>
      </w:pPr>
      <w:r>
        <w:rPr>
          <w:rFonts w:ascii="Arial" w:hAnsi="Arial" w:cs="Arial"/>
        </w:rPr>
        <w:t>Табела</w:t>
      </w:r>
      <w:r w:rsidR="007B6BE3" w:rsidRPr="0087376B">
        <w:rPr>
          <w:rFonts w:ascii="Arial" w:hAnsi="Arial" w:cs="Arial"/>
        </w:rPr>
        <w:t xml:space="preserve"> 15. </w:t>
      </w:r>
      <w:r>
        <w:rPr>
          <w:rFonts w:ascii="Arial" w:hAnsi="Arial" w:cs="Arial"/>
        </w:rPr>
        <w:t>Индикатори</w:t>
      </w:r>
      <w:r w:rsidR="007B6BE3" w:rsidRPr="0087376B">
        <w:rPr>
          <w:rFonts w:ascii="Arial" w:hAnsi="Arial" w:cs="Arial"/>
        </w:rPr>
        <w:t xml:space="preserve"> </w:t>
      </w:r>
      <w:r>
        <w:rPr>
          <w:rFonts w:ascii="Arial" w:hAnsi="Arial" w:cs="Arial"/>
        </w:rPr>
        <w:t>ризика</w:t>
      </w:r>
      <w:r w:rsidR="007B6BE3" w:rsidRPr="0087376B">
        <w:rPr>
          <w:rFonts w:ascii="Arial" w:hAnsi="Arial" w:cs="Arial"/>
        </w:rPr>
        <w:t xml:space="preserve"> </w:t>
      </w:r>
      <w:r>
        <w:rPr>
          <w:rFonts w:ascii="Arial" w:hAnsi="Arial" w:cs="Arial"/>
        </w:rPr>
        <w:t>по</w:t>
      </w:r>
      <w:r w:rsidR="007B6BE3" w:rsidRPr="0087376B">
        <w:rPr>
          <w:rFonts w:ascii="Arial" w:hAnsi="Arial" w:cs="Arial"/>
        </w:rPr>
        <w:t xml:space="preserve"> </w:t>
      </w:r>
      <w:r>
        <w:rPr>
          <w:rFonts w:ascii="Arial" w:hAnsi="Arial" w:cs="Arial"/>
        </w:rPr>
        <w:t>стратегијама</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крају</w:t>
      </w:r>
      <w:r w:rsidR="007B6BE3" w:rsidRPr="0087376B">
        <w:rPr>
          <w:rFonts w:ascii="Arial" w:hAnsi="Arial" w:cs="Arial"/>
        </w:rPr>
        <w:t xml:space="preserve"> 2025. </w:t>
      </w:r>
      <w:r>
        <w:rPr>
          <w:rFonts w:ascii="Arial" w:hAnsi="Arial" w:cs="Arial"/>
        </w:rPr>
        <w:t>године</w:t>
      </w:r>
    </w:p>
    <w:tbl>
      <w:tblPr>
        <w:tblW w:w="0" w:type="auto"/>
        <w:tblInd w:w="-10"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8" w:space="0" w:color="8496B0" w:themeColor="text2" w:themeTint="99"/>
          <w:insideV w:val="single" w:sz="8" w:space="0" w:color="8496B0" w:themeColor="text2" w:themeTint="99"/>
        </w:tblBorders>
        <w:tblLook w:val="04A0" w:firstRow="1" w:lastRow="0" w:firstColumn="1" w:lastColumn="0" w:noHBand="0" w:noVBand="1"/>
      </w:tblPr>
      <w:tblGrid>
        <w:gridCol w:w="1885"/>
        <w:gridCol w:w="3320"/>
        <w:gridCol w:w="1686"/>
        <w:gridCol w:w="608"/>
        <w:gridCol w:w="608"/>
        <w:gridCol w:w="608"/>
        <w:gridCol w:w="608"/>
      </w:tblGrid>
      <w:tr w:rsidR="007B6BE3" w:rsidRPr="0087376B" w14:paraId="0575C5DD" w14:textId="77777777" w:rsidTr="007B6BE3">
        <w:trPr>
          <w:trHeight w:val="315"/>
        </w:trPr>
        <w:tc>
          <w:tcPr>
            <w:tcW w:w="0" w:type="auto"/>
            <w:gridSpan w:val="2"/>
            <w:vMerge w:val="restart"/>
            <w:tcBorders>
              <w:right w:val="nil"/>
            </w:tcBorders>
            <w:shd w:val="clear" w:color="auto" w:fill="auto"/>
            <w:noWrap/>
            <w:vAlign w:val="center"/>
            <w:hideMark/>
          </w:tcPr>
          <w:p w14:paraId="1CF19218" w14:textId="77777777" w:rsidR="007B6BE3" w:rsidRPr="0087376B" w:rsidRDefault="005B20F8" w:rsidP="007B6BE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Индикатори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ризика</w:t>
            </w:r>
          </w:p>
        </w:tc>
        <w:tc>
          <w:tcPr>
            <w:tcW w:w="0" w:type="auto"/>
            <w:tcBorders>
              <w:top w:val="single" w:sz="8" w:space="0" w:color="8496B0" w:themeColor="text2" w:themeTint="99"/>
              <w:left w:val="nil"/>
              <w:bottom w:val="single" w:sz="8" w:space="0" w:color="8496B0" w:themeColor="text2" w:themeTint="99"/>
              <w:right w:val="nil"/>
            </w:tcBorders>
            <w:shd w:val="clear" w:color="auto" w:fill="auto"/>
            <w:noWrap/>
            <w:vAlign w:val="center"/>
            <w:hideMark/>
          </w:tcPr>
          <w:p w14:paraId="7A7E71D7" w14:textId="77777777" w:rsidR="007B6BE3" w:rsidRPr="0087376B" w:rsidRDefault="007B6BE3" w:rsidP="007B6BE3">
            <w:pPr>
              <w:spacing w:after="0" w:line="240" w:lineRule="auto"/>
              <w:jc w:val="center"/>
              <w:rPr>
                <w:rFonts w:ascii="Arial" w:eastAsia="Times New Roman" w:hAnsi="Arial" w:cs="Arial"/>
                <w:b/>
                <w:bCs/>
                <w:color w:val="FFFFFF"/>
                <w:sz w:val="16"/>
                <w:szCs w:val="16"/>
              </w:rPr>
            </w:pPr>
            <w:r w:rsidRPr="0087376B">
              <w:rPr>
                <w:rFonts w:ascii="Arial" w:eastAsia="Times New Roman" w:hAnsi="Arial" w:cs="Arial"/>
                <w:b/>
                <w:bCs/>
                <w:color w:val="FFFFFF"/>
                <w:sz w:val="16"/>
                <w:szCs w:val="16"/>
              </w:rPr>
              <w:t>2016</w:t>
            </w:r>
          </w:p>
        </w:tc>
        <w:tc>
          <w:tcPr>
            <w:tcW w:w="0" w:type="auto"/>
            <w:gridSpan w:val="4"/>
            <w:tcBorders>
              <w:top w:val="single" w:sz="8" w:space="0" w:color="8496B0" w:themeColor="text2" w:themeTint="99"/>
              <w:left w:val="nil"/>
              <w:bottom w:val="single" w:sz="8" w:space="0" w:color="8496B0" w:themeColor="text2" w:themeTint="99"/>
              <w:right w:val="single" w:sz="8" w:space="0" w:color="8496B0" w:themeColor="text2" w:themeTint="99"/>
            </w:tcBorders>
            <w:shd w:val="clear" w:color="auto" w:fill="auto"/>
            <w:noWrap/>
            <w:vAlign w:val="center"/>
            <w:hideMark/>
          </w:tcPr>
          <w:p w14:paraId="5FE23E1D" w14:textId="77777777" w:rsidR="007B6BE3" w:rsidRPr="0087376B" w:rsidRDefault="005B20F8" w:rsidP="007B6BE3">
            <w:pPr>
              <w:spacing w:after="0" w:line="240" w:lineRule="auto"/>
              <w:jc w:val="center"/>
              <w:rPr>
                <w:rFonts w:ascii="Arial" w:eastAsia="Times New Roman" w:hAnsi="Arial" w:cs="Arial"/>
                <w:b/>
                <w:bCs/>
                <w:color w:val="FFFFFF"/>
                <w:sz w:val="16"/>
                <w:szCs w:val="16"/>
              </w:rPr>
            </w:pPr>
            <w:r>
              <w:rPr>
                <w:rFonts w:ascii="Arial" w:eastAsia="Times New Roman" w:hAnsi="Arial" w:cs="Arial"/>
                <w:b/>
                <w:bCs/>
                <w:color w:val="FFFFFF"/>
                <w:sz w:val="16"/>
                <w:szCs w:val="16"/>
              </w:rPr>
              <w:t>На</w:t>
            </w:r>
            <w:r w:rsidR="007B6BE3" w:rsidRPr="0087376B">
              <w:rPr>
                <w:rFonts w:ascii="Arial" w:eastAsia="Times New Roman" w:hAnsi="Arial" w:cs="Arial"/>
                <w:b/>
                <w:bCs/>
                <w:color w:val="FFFFFF"/>
                <w:sz w:val="16"/>
                <w:szCs w:val="16"/>
              </w:rPr>
              <w:t xml:space="preserve"> </w:t>
            </w:r>
            <w:r>
              <w:rPr>
                <w:rFonts w:ascii="Arial" w:eastAsia="Times New Roman" w:hAnsi="Arial" w:cs="Arial"/>
                <w:b/>
                <w:bCs/>
                <w:color w:val="FFFFFF"/>
                <w:sz w:val="16"/>
                <w:szCs w:val="16"/>
              </w:rPr>
              <w:t>кра</w:t>
            </w:r>
            <w:r w:rsidR="007B6BE3" w:rsidRPr="0087376B">
              <w:rPr>
                <w:rFonts w:ascii="Arial" w:eastAsia="Times New Roman" w:hAnsi="Arial" w:cs="Arial"/>
                <w:b/>
                <w:bCs/>
                <w:color w:val="FFFFFF"/>
                <w:sz w:val="16"/>
                <w:szCs w:val="16"/>
              </w:rPr>
              <w:t>19</w:t>
            </w:r>
          </w:p>
        </w:tc>
      </w:tr>
      <w:tr w:rsidR="007B6BE3" w:rsidRPr="0087376B" w14:paraId="16BA91B9" w14:textId="77777777" w:rsidTr="007B6BE3">
        <w:trPr>
          <w:trHeight w:val="315"/>
        </w:trPr>
        <w:tc>
          <w:tcPr>
            <w:tcW w:w="0" w:type="auto"/>
            <w:gridSpan w:val="2"/>
            <w:vMerge/>
            <w:tcBorders>
              <w:bottom w:val="single" w:sz="8" w:space="0" w:color="8496B0" w:themeColor="text2" w:themeTint="99"/>
            </w:tcBorders>
            <w:vAlign w:val="center"/>
            <w:hideMark/>
          </w:tcPr>
          <w:p w14:paraId="12347545" w14:textId="77777777" w:rsidR="007B6BE3" w:rsidRPr="0087376B" w:rsidRDefault="007B6BE3" w:rsidP="007B6BE3">
            <w:pPr>
              <w:spacing w:after="0" w:line="240" w:lineRule="auto"/>
              <w:rPr>
                <w:rFonts w:ascii="Arial" w:eastAsia="Times New Roman" w:hAnsi="Arial" w:cs="Arial"/>
                <w:color w:val="000000"/>
                <w:sz w:val="16"/>
                <w:szCs w:val="16"/>
              </w:rPr>
            </w:pPr>
          </w:p>
        </w:tc>
        <w:tc>
          <w:tcPr>
            <w:tcW w:w="0" w:type="auto"/>
            <w:tcBorders>
              <w:top w:val="single" w:sz="8" w:space="0" w:color="8496B0" w:themeColor="text2" w:themeTint="99"/>
              <w:bottom w:val="single" w:sz="8" w:space="0" w:color="8496B0" w:themeColor="text2" w:themeTint="99"/>
            </w:tcBorders>
            <w:shd w:val="clear" w:color="auto" w:fill="auto"/>
            <w:noWrap/>
            <w:vAlign w:val="center"/>
            <w:hideMark/>
          </w:tcPr>
          <w:p w14:paraId="0183A493" w14:textId="77777777" w:rsidR="007B6BE3" w:rsidRPr="0087376B" w:rsidRDefault="005B20F8" w:rsidP="007B6BE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Почетни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портфолио</w:t>
            </w:r>
          </w:p>
        </w:tc>
        <w:tc>
          <w:tcPr>
            <w:tcW w:w="0" w:type="auto"/>
            <w:tcBorders>
              <w:top w:val="single" w:sz="8" w:space="0" w:color="8496B0" w:themeColor="text2" w:themeTint="99"/>
              <w:bottom w:val="single" w:sz="8" w:space="0" w:color="8496B0" w:themeColor="text2" w:themeTint="99"/>
            </w:tcBorders>
            <w:shd w:val="clear" w:color="auto" w:fill="auto"/>
            <w:noWrap/>
            <w:vAlign w:val="center"/>
            <w:hideMark/>
          </w:tcPr>
          <w:p w14:paraId="324D39F9" w14:textId="77777777" w:rsidR="007B6BE3" w:rsidRPr="0087376B" w:rsidRDefault="005B20F8" w:rsidP="007B6BE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С</w:t>
            </w:r>
            <w:r w:rsidR="007B6BE3" w:rsidRPr="0087376B">
              <w:rPr>
                <w:rFonts w:ascii="Arial" w:eastAsia="Times New Roman" w:hAnsi="Arial" w:cs="Arial"/>
                <w:color w:val="000000"/>
                <w:sz w:val="16"/>
                <w:szCs w:val="16"/>
              </w:rPr>
              <w:t>1</w:t>
            </w:r>
          </w:p>
        </w:tc>
        <w:tc>
          <w:tcPr>
            <w:tcW w:w="0" w:type="auto"/>
            <w:tcBorders>
              <w:top w:val="single" w:sz="8" w:space="0" w:color="8496B0" w:themeColor="text2" w:themeTint="99"/>
              <w:bottom w:val="single" w:sz="8" w:space="0" w:color="8496B0" w:themeColor="text2" w:themeTint="99"/>
            </w:tcBorders>
            <w:shd w:val="clear" w:color="auto" w:fill="auto"/>
            <w:noWrap/>
            <w:vAlign w:val="center"/>
            <w:hideMark/>
          </w:tcPr>
          <w:p w14:paraId="57B5E37E" w14:textId="77777777" w:rsidR="007B6BE3" w:rsidRPr="0087376B" w:rsidRDefault="005B20F8" w:rsidP="007B6BE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С</w:t>
            </w:r>
            <w:r w:rsidR="007B6BE3" w:rsidRPr="0087376B">
              <w:rPr>
                <w:rFonts w:ascii="Arial" w:eastAsia="Times New Roman" w:hAnsi="Arial" w:cs="Arial"/>
                <w:color w:val="000000"/>
                <w:sz w:val="16"/>
                <w:szCs w:val="16"/>
              </w:rPr>
              <w:t>2</w:t>
            </w:r>
          </w:p>
        </w:tc>
        <w:tc>
          <w:tcPr>
            <w:tcW w:w="0" w:type="auto"/>
            <w:tcBorders>
              <w:top w:val="single" w:sz="8" w:space="0" w:color="8496B0" w:themeColor="text2" w:themeTint="99"/>
              <w:bottom w:val="single" w:sz="8" w:space="0" w:color="8496B0" w:themeColor="text2" w:themeTint="99"/>
            </w:tcBorders>
            <w:shd w:val="clear" w:color="auto" w:fill="auto"/>
            <w:noWrap/>
            <w:vAlign w:val="center"/>
            <w:hideMark/>
          </w:tcPr>
          <w:p w14:paraId="77E53C8A" w14:textId="77777777" w:rsidR="007B6BE3" w:rsidRPr="0087376B" w:rsidRDefault="005B20F8" w:rsidP="007B6BE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С</w:t>
            </w:r>
            <w:r w:rsidR="007B6BE3" w:rsidRPr="0087376B">
              <w:rPr>
                <w:rFonts w:ascii="Arial" w:eastAsia="Times New Roman" w:hAnsi="Arial" w:cs="Arial"/>
                <w:color w:val="000000"/>
                <w:sz w:val="16"/>
                <w:szCs w:val="16"/>
              </w:rPr>
              <w:t>3</w:t>
            </w:r>
          </w:p>
        </w:tc>
        <w:tc>
          <w:tcPr>
            <w:tcW w:w="0" w:type="auto"/>
            <w:tcBorders>
              <w:top w:val="single" w:sz="8" w:space="0" w:color="8496B0" w:themeColor="text2" w:themeTint="99"/>
              <w:bottom w:val="single" w:sz="8" w:space="0" w:color="8496B0" w:themeColor="text2" w:themeTint="99"/>
            </w:tcBorders>
            <w:shd w:val="clear" w:color="auto" w:fill="auto"/>
            <w:noWrap/>
            <w:vAlign w:val="center"/>
            <w:hideMark/>
          </w:tcPr>
          <w:p w14:paraId="30506189" w14:textId="77777777" w:rsidR="007B6BE3" w:rsidRPr="0087376B" w:rsidRDefault="005B20F8" w:rsidP="007B6BE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С</w:t>
            </w:r>
            <w:r w:rsidR="007B6BE3" w:rsidRPr="0087376B">
              <w:rPr>
                <w:rFonts w:ascii="Arial" w:eastAsia="Times New Roman" w:hAnsi="Arial" w:cs="Arial"/>
                <w:color w:val="000000"/>
                <w:sz w:val="16"/>
                <w:szCs w:val="16"/>
              </w:rPr>
              <w:t>4</w:t>
            </w:r>
          </w:p>
        </w:tc>
      </w:tr>
      <w:tr w:rsidR="007B6BE3" w:rsidRPr="0087376B" w14:paraId="29A9256E" w14:textId="77777777" w:rsidTr="007B6BE3">
        <w:trPr>
          <w:trHeight w:val="300"/>
        </w:trPr>
        <w:tc>
          <w:tcPr>
            <w:tcW w:w="0" w:type="auto"/>
            <w:gridSpan w:val="2"/>
            <w:tcBorders>
              <w:top w:val="single" w:sz="8" w:space="0" w:color="8496B0" w:themeColor="text2" w:themeTint="99"/>
              <w:left w:val="single" w:sz="8" w:space="0" w:color="8496B0" w:themeColor="text2" w:themeTint="99"/>
              <w:bottom w:val="nil"/>
              <w:right w:val="nil"/>
            </w:tcBorders>
            <w:shd w:val="clear" w:color="auto" w:fill="auto"/>
            <w:noWrap/>
            <w:vAlign w:val="center"/>
            <w:hideMark/>
          </w:tcPr>
          <w:p w14:paraId="0E752E97"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Номинални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дуг</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у</w:t>
            </w:r>
            <w:r w:rsidR="007B6BE3" w:rsidRPr="0087376B">
              <w:rPr>
                <w:rFonts w:ascii="Arial" w:eastAsia="Times New Roman" w:hAnsi="Arial" w:cs="Arial"/>
                <w:color w:val="000000"/>
                <w:sz w:val="16"/>
                <w:szCs w:val="16"/>
              </w:rPr>
              <w:t xml:space="preserve"> % </w:t>
            </w:r>
            <w:r>
              <w:rPr>
                <w:rFonts w:ascii="Arial" w:eastAsia="Times New Roman" w:hAnsi="Arial" w:cs="Arial"/>
                <w:color w:val="000000"/>
                <w:sz w:val="16"/>
                <w:szCs w:val="16"/>
              </w:rPr>
              <w:t>БДП</w:t>
            </w:r>
          </w:p>
        </w:tc>
        <w:tc>
          <w:tcPr>
            <w:tcW w:w="0" w:type="auto"/>
            <w:tcBorders>
              <w:top w:val="single" w:sz="8" w:space="0" w:color="8496B0" w:themeColor="text2" w:themeTint="99"/>
              <w:left w:val="nil"/>
              <w:bottom w:val="nil"/>
              <w:right w:val="nil"/>
            </w:tcBorders>
            <w:shd w:val="clear" w:color="auto" w:fill="auto"/>
            <w:noWrap/>
            <w:vAlign w:val="center"/>
            <w:hideMark/>
          </w:tcPr>
          <w:p w14:paraId="40891C2A"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15,38</w:t>
            </w:r>
          </w:p>
        </w:tc>
        <w:tc>
          <w:tcPr>
            <w:tcW w:w="0" w:type="auto"/>
            <w:tcBorders>
              <w:top w:val="single" w:sz="8" w:space="0" w:color="8496B0" w:themeColor="text2" w:themeTint="99"/>
              <w:left w:val="nil"/>
              <w:bottom w:val="nil"/>
              <w:right w:val="nil"/>
            </w:tcBorders>
            <w:shd w:val="clear" w:color="auto" w:fill="auto"/>
            <w:noWrap/>
            <w:vAlign w:val="center"/>
            <w:hideMark/>
          </w:tcPr>
          <w:p w14:paraId="670A51C5"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15,93</w:t>
            </w:r>
          </w:p>
        </w:tc>
        <w:tc>
          <w:tcPr>
            <w:tcW w:w="0" w:type="auto"/>
            <w:tcBorders>
              <w:top w:val="single" w:sz="8" w:space="0" w:color="8496B0" w:themeColor="text2" w:themeTint="99"/>
              <w:left w:val="nil"/>
              <w:bottom w:val="nil"/>
              <w:right w:val="nil"/>
            </w:tcBorders>
            <w:shd w:val="clear" w:color="auto" w:fill="auto"/>
            <w:noWrap/>
            <w:vAlign w:val="center"/>
            <w:hideMark/>
          </w:tcPr>
          <w:p w14:paraId="11EFDC98"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15,93</w:t>
            </w:r>
          </w:p>
        </w:tc>
        <w:tc>
          <w:tcPr>
            <w:tcW w:w="0" w:type="auto"/>
            <w:tcBorders>
              <w:top w:val="single" w:sz="8" w:space="0" w:color="8496B0" w:themeColor="text2" w:themeTint="99"/>
              <w:left w:val="nil"/>
              <w:bottom w:val="nil"/>
              <w:right w:val="nil"/>
            </w:tcBorders>
            <w:shd w:val="clear" w:color="auto" w:fill="auto"/>
            <w:noWrap/>
            <w:vAlign w:val="center"/>
            <w:hideMark/>
          </w:tcPr>
          <w:p w14:paraId="39EE6785"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15,93</w:t>
            </w:r>
          </w:p>
        </w:tc>
        <w:tc>
          <w:tcPr>
            <w:tcW w:w="0" w:type="auto"/>
            <w:tcBorders>
              <w:top w:val="single" w:sz="8" w:space="0" w:color="8496B0" w:themeColor="text2" w:themeTint="99"/>
              <w:left w:val="nil"/>
              <w:bottom w:val="nil"/>
              <w:right w:val="single" w:sz="8" w:space="0" w:color="8496B0" w:themeColor="text2" w:themeTint="99"/>
            </w:tcBorders>
            <w:shd w:val="clear" w:color="auto" w:fill="auto"/>
            <w:noWrap/>
            <w:vAlign w:val="center"/>
            <w:hideMark/>
          </w:tcPr>
          <w:p w14:paraId="0A062AEB"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16,04</w:t>
            </w:r>
          </w:p>
        </w:tc>
      </w:tr>
      <w:tr w:rsidR="007B6BE3" w:rsidRPr="0087376B" w14:paraId="23644306" w14:textId="77777777" w:rsidTr="007B6BE3">
        <w:trPr>
          <w:trHeight w:val="300"/>
        </w:trPr>
        <w:tc>
          <w:tcPr>
            <w:tcW w:w="0" w:type="auto"/>
            <w:gridSpan w:val="2"/>
            <w:tcBorders>
              <w:top w:val="nil"/>
              <w:left w:val="single" w:sz="8" w:space="0" w:color="8496B0" w:themeColor="text2" w:themeTint="99"/>
              <w:bottom w:val="nil"/>
              <w:right w:val="nil"/>
            </w:tcBorders>
            <w:shd w:val="clear" w:color="auto" w:fill="auto"/>
            <w:noWrap/>
            <w:vAlign w:val="center"/>
            <w:hideMark/>
          </w:tcPr>
          <w:p w14:paraId="590DBF4E"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Садашња</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вриједност</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дуга</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у</w:t>
            </w:r>
            <w:r w:rsidR="007B6BE3" w:rsidRPr="0087376B">
              <w:rPr>
                <w:rFonts w:ascii="Arial" w:eastAsia="Times New Roman" w:hAnsi="Arial" w:cs="Arial"/>
                <w:color w:val="000000"/>
                <w:sz w:val="16"/>
                <w:szCs w:val="16"/>
              </w:rPr>
              <w:t xml:space="preserve"> % </w:t>
            </w:r>
            <w:r>
              <w:rPr>
                <w:rFonts w:ascii="Arial" w:eastAsia="Times New Roman" w:hAnsi="Arial" w:cs="Arial"/>
                <w:color w:val="000000"/>
                <w:sz w:val="16"/>
                <w:szCs w:val="16"/>
              </w:rPr>
              <w:t>БДП</w:t>
            </w:r>
          </w:p>
        </w:tc>
        <w:tc>
          <w:tcPr>
            <w:tcW w:w="0" w:type="auto"/>
            <w:tcBorders>
              <w:top w:val="nil"/>
              <w:left w:val="nil"/>
              <w:bottom w:val="nil"/>
              <w:right w:val="nil"/>
            </w:tcBorders>
            <w:shd w:val="clear" w:color="auto" w:fill="auto"/>
            <w:noWrap/>
            <w:vAlign w:val="center"/>
            <w:hideMark/>
          </w:tcPr>
          <w:p w14:paraId="7F710513"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13,16</w:t>
            </w:r>
          </w:p>
        </w:tc>
        <w:tc>
          <w:tcPr>
            <w:tcW w:w="0" w:type="auto"/>
            <w:tcBorders>
              <w:top w:val="nil"/>
              <w:left w:val="nil"/>
              <w:bottom w:val="nil"/>
              <w:right w:val="nil"/>
            </w:tcBorders>
            <w:shd w:val="clear" w:color="auto" w:fill="auto"/>
            <w:noWrap/>
            <w:vAlign w:val="center"/>
            <w:hideMark/>
          </w:tcPr>
          <w:p w14:paraId="2DDC9FC4"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14,31</w:t>
            </w:r>
          </w:p>
        </w:tc>
        <w:tc>
          <w:tcPr>
            <w:tcW w:w="0" w:type="auto"/>
            <w:tcBorders>
              <w:top w:val="nil"/>
              <w:left w:val="nil"/>
              <w:bottom w:val="nil"/>
              <w:right w:val="nil"/>
            </w:tcBorders>
            <w:shd w:val="clear" w:color="auto" w:fill="auto"/>
            <w:noWrap/>
            <w:vAlign w:val="center"/>
            <w:hideMark/>
          </w:tcPr>
          <w:p w14:paraId="03E9F168"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14,04</w:t>
            </w:r>
          </w:p>
        </w:tc>
        <w:tc>
          <w:tcPr>
            <w:tcW w:w="0" w:type="auto"/>
            <w:tcBorders>
              <w:top w:val="nil"/>
              <w:left w:val="nil"/>
              <w:bottom w:val="nil"/>
              <w:right w:val="nil"/>
            </w:tcBorders>
            <w:shd w:val="clear" w:color="auto" w:fill="auto"/>
            <w:noWrap/>
            <w:vAlign w:val="center"/>
            <w:hideMark/>
          </w:tcPr>
          <w:p w14:paraId="40DED608"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14,31</w:t>
            </w:r>
          </w:p>
        </w:tc>
        <w:tc>
          <w:tcPr>
            <w:tcW w:w="0" w:type="auto"/>
            <w:tcBorders>
              <w:top w:val="nil"/>
              <w:left w:val="nil"/>
              <w:bottom w:val="nil"/>
              <w:right w:val="single" w:sz="8" w:space="0" w:color="8496B0" w:themeColor="text2" w:themeTint="99"/>
            </w:tcBorders>
            <w:shd w:val="clear" w:color="auto" w:fill="auto"/>
            <w:noWrap/>
            <w:vAlign w:val="center"/>
            <w:hideMark/>
          </w:tcPr>
          <w:p w14:paraId="3FC5D409"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14,39</w:t>
            </w:r>
          </w:p>
        </w:tc>
      </w:tr>
      <w:tr w:rsidR="007B6BE3" w:rsidRPr="0087376B" w14:paraId="56E6BD7A" w14:textId="77777777" w:rsidTr="007B6BE3">
        <w:trPr>
          <w:trHeight w:val="300"/>
        </w:trPr>
        <w:tc>
          <w:tcPr>
            <w:tcW w:w="0" w:type="auto"/>
            <w:gridSpan w:val="2"/>
            <w:tcBorders>
              <w:top w:val="nil"/>
              <w:left w:val="single" w:sz="8" w:space="0" w:color="8496B0" w:themeColor="text2" w:themeTint="99"/>
              <w:bottom w:val="nil"/>
              <w:right w:val="nil"/>
            </w:tcBorders>
            <w:shd w:val="clear" w:color="auto" w:fill="auto"/>
            <w:noWrap/>
            <w:vAlign w:val="center"/>
            <w:hideMark/>
          </w:tcPr>
          <w:p w14:paraId="586C0A48"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Трошкови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камата</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у</w:t>
            </w:r>
            <w:r w:rsidR="007B6BE3" w:rsidRPr="0087376B">
              <w:rPr>
                <w:rFonts w:ascii="Arial" w:eastAsia="Times New Roman" w:hAnsi="Arial" w:cs="Arial"/>
                <w:color w:val="000000"/>
                <w:sz w:val="16"/>
                <w:szCs w:val="16"/>
              </w:rPr>
              <w:t xml:space="preserve"> % </w:t>
            </w:r>
            <w:r>
              <w:rPr>
                <w:rFonts w:ascii="Arial" w:eastAsia="Times New Roman" w:hAnsi="Arial" w:cs="Arial"/>
                <w:color w:val="000000"/>
                <w:sz w:val="16"/>
                <w:szCs w:val="16"/>
              </w:rPr>
              <w:t>БДП</w:t>
            </w:r>
          </w:p>
        </w:tc>
        <w:tc>
          <w:tcPr>
            <w:tcW w:w="0" w:type="auto"/>
            <w:tcBorders>
              <w:top w:val="nil"/>
              <w:left w:val="nil"/>
              <w:bottom w:val="nil"/>
              <w:right w:val="nil"/>
            </w:tcBorders>
            <w:shd w:val="clear" w:color="auto" w:fill="auto"/>
            <w:noWrap/>
            <w:vAlign w:val="center"/>
            <w:hideMark/>
          </w:tcPr>
          <w:p w14:paraId="43D34279"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0,27</w:t>
            </w:r>
          </w:p>
        </w:tc>
        <w:tc>
          <w:tcPr>
            <w:tcW w:w="0" w:type="auto"/>
            <w:tcBorders>
              <w:top w:val="nil"/>
              <w:left w:val="nil"/>
              <w:bottom w:val="nil"/>
              <w:right w:val="nil"/>
            </w:tcBorders>
            <w:shd w:val="clear" w:color="auto" w:fill="auto"/>
            <w:noWrap/>
            <w:vAlign w:val="center"/>
            <w:hideMark/>
          </w:tcPr>
          <w:p w14:paraId="1AA9FF64"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0,41</w:t>
            </w:r>
          </w:p>
        </w:tc>
        <w:tc>
          <w:tcPr>
            <w:tcW w:w="0" w:type="auto"/>
            <w:tcBorders>
              <w:top w:val="nil"/>
              <w:left w:val="nil"/>
              <w:bottom w:val="nil"/>
              <w:right w:val="nil"/>
            </w:tcBorders>
            <w:shd w:val="clear" w:color="auto" w:fill="auto"/>
            <w:noWrap/>
            <w:vAlign w:val="center"/>
            <w:hideMark/>
          </w:tcPr>
          <w:p w14:paraId="06B7543B"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0,40</w:t>
            </w:r>
          </w:p>
        </w:tc>
        <w:tc>
          <w:tcPr>
            <w:tcW w:w="0" w:type="auto"/>
            <w:tcBorders>
              <w:top w:val="nil"/>
              <w:left w:val="nil"/>
              <w:bottom w:val="nil"/>
              <w:right w:val="nil"/>
            </w:tcBorders>
            <w:shd w:val="clear" w:color="auto" w:fill="auto"/>
            <w:noWrap/>
            <w:vAlign w:val="center"/>
            <w:hideMark/>
          </w:tcPr>
          <w:p w14:paraId="4227180D"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0,41</w:t>
            </w:r>
          </w:p>
        </w:tc>
        <w:tc>
          <w:tcPr>
            <w:tcW w:w="0" w:type="auto"/>
            <w:tcBorders>
              <w:top w:val="nil"/>
              <w:left w:val="nil"/>
              <w:bottom w:val="nil"/>
              <w:right w:val="single" w:sz="8" w:space="0" w:color="8496B0" w:themeColor="text2" w:themeTint="99"/>
            </w:tcBorders>
            <w:shd w:val="clear" w:color="auto" w:fill="auto"/>
            <w:noWrap/>
            <w:vAlign w:val="center"/>
            <w:hideMark/>
          </w:tcPr>
          <w:p w14:paraId="70D28289"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0,47</w:t>
            </w:r>
          </w:p>
        </w:tc>
      </w:tr>
      <w:tr w:rsidR="007B6BE3" w:rsidRPr="0087376B" w14:paraId="7EE6B534" w14:textId="77777777" w:rsidTr="007B6BE3">
        <w:trPr>
          <w:trHeight w:val="315"/>
        </w:trPr>
        <w:tc>
          <w:tcPr>
            <w:tcW w:w="0" w:type="auto"/>
            <w:gridSpan w:val="2"/>
            <w:tcBorders>
              <w:top w:val="nil"/>
              <w:left w:val="single" w:sz="8" w:space="0" w:color="8496B0" w:themeColor="text2" w:themeTint="99"/>
              <w:bottom w:val="single" w:sz="8" w:space="0" w:color="8496B0" w:themeColor="text2" w:themeTint="99"/>
              <w:right w:val="nil"/>
            </w:tcBorders>
            <w:shd w:val="clear" w:color="auto" w:fill="auto"/>
            <w:noWrap/>
            <w:vAlign w:val="center"/>
            <w:hideMark/>
          </w:tcPr>
          <w:p w14:paraId="6CFFC6F6"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Имплицитна</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каматна</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стопа</w:t>
            </w:r>
            <w:r w:rsidR="007B6BE3" w:rsidRPr="0087376B">
              <w:rPr>
                <w:rFonts w:ascii="Arial" w:eastAsia="Times New Roman" w:hAnsi="Arial" w:cs="Arial"/>
                <w:color w:val="000000"/>
                <w:sz w:val="16"/>
                <w:szCs w:val="16"/>
              </w:rPr>
              <w:t xml:space="preserve"> (%)</w:t>
            </w:r>
          </w:p>
        </w:tc>
        <w:tc>
          <w:tcPr>
            <w:tcW w:w="0" w:type="auto"/>
            <w:tcBorders>
              <w:top w:val="nil"/>
              <w:left w:val="nil"/>
              <w:bottom w:val="single" w:sz="8" w:space="0" w:color="8496B0" w:themeColor="text2" w:themeTint="99"/>
              <w:right w:val="nil"/>
            </w:tcBorders>
            <w:shd w:val="clear" w:color="auto" w:fill="auto"/>
            <w:noWrap/>
            <w:vAlign w:val="center"/>
            <w:hideMark/>
          </w:tcPr>
          <w:p w14:paraId="2B80BCCF"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1,78</w:t>
            </w:r>
          </w:p>
        </w:tc>
        <w:tc>
          <w:tcPr>
            <w:tcW w:w="0" w:type="auto"/>
            <w:tcBorders>
              <w:top w:val="nil"/>
              <w:left w:val="nil"/>
              <w:bottom w:val="single" w:sz="8" w:space="0" w:color="8496B0" w:themeColor="text2" w:themeTint="99"/>
              <w:right w:val="nil"/>
            </w:tcBorders>
            <w:shd w:val="clear" w:color="auto" w:fill="auto"/>
            <w:noWrap/>
            <w:vAlign w:val="center"/>
            <w:hideMark/>
          </w:tcPr>
          <w:p w14:paraId="04D82B58"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3,02</w:t>
            </w:r>
          </w:p>
        </w:tc>
        <w:tc>
          <w:tcPr>
            <w:tcW w:w="0" w:type="auto"/>
            <w:tcBorders>
              <w:top w:val="nil"/>
              <w:left w:val="nil"/>
              <w:bottom w:val="single" w:sz="8" w:space="0" w:color="8496B0" w:themeColor="text2" w:themeTint="99"/>
              <w:right w:val="nil"/>
            </w:tcBorders>
            <w:shd w:val="clear" w:color="auto" w:fill="auto"/>
            <w:noWrap/>
            <w:vAlign w:val="center"/>
            <w:hideMark/>
          </w:tcPr>
          <w:p w14:paraId="74036FC9"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2,99</w:t>
            </w:r>
          </w:p>
        </w:tc>
        <w:tc>
          <w:tcPr>
            <w:tcW w:w="0" w:type="auto"/>
            <w:tcBorders>
              <w:top w:val="nil"/>
              <w:left w:val="nil"/>
              <w:bottom w:val="single" w:sz="8" w:space="0" w:color="8496B0" w:themeColor="text2" w:themeTint="99"/>
              <w:right w:val="nil"/>
            </w:tcBorders>
            <w:shd w:val="clear" w:color="auto" w:fill="auto"/>
            <w:noWrap/>
            <w:vAlign w:val="center"/>
            <w:hideMark/>
          </w:tcPr>
          <w:p w14:paraId="42E4614A"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3,02</w:t>
            </w:r>
          </w:p>
        </w:tc>
        <w:tc>
          <w:tcPr>
            <w:tcW w:w="0" w:type="auto"/>
            <w:tcBorders>
              <w:top w:val="nil"/>
              <w:left w:val="nil"/>
              <w:bottom w:val="single" w:sz="8" w:space="0" w:color="8496B0" w:themeColor="text2" w:themeTint="99"/>
              <w:right w:val="single" w:sz="8" w:space="0" w:color="8496B0" w:themeColor="text2" w:themeTint="99"/>
            </w:tcBorders>
            <w:shd w:val="clear" w:color="auto" w:fill="auto"/>
            <w:noWrap/>
            <w:vAlign w:val="center"/>
            <w:hideMark/>
          </w:tcPr>
          <w:p w14:paraId="4E7523AE"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3,56</w:t>
            </w:r>
          </w:p>
        </w:tc>
      </w:tr>
      <w:tr w:rsidR="007B6BE3" w:rsidRPr="0087376B" w14:paraId="019C7B5E" w14:textId="77777777" w:rsidTr="007B6BE3">
        <w:trPr>
          <w:trHeight w:val="300"/>
        </w:trPr>
        <w:tc>
          <w:tcPr>
            <w:tcW w:w="0" w:type="auto"/>
            <w:vMerge w:val="restart"/>
            <w:tcBorders>
              <w:top w:val="single" w:sz="8" w:space="0" w:color="8496B0" w:themeColor="text2" w:themeTint="99"/>
              <w:left w:val="single" w:sz="8" w:space="0" w:color="8496B0" w:themeColor="text2" w:themeTint="99"/>
              <w:bottom w:val="nil"/>
              <w:right w:val="nil"/>
            </w:tcBorders>
            <w:shd w:val="clear" w:color="auto" w:fill="auto"/>
            <w:noWrap/>
            <w:vAlign w:val="center"/>
            <w:hideMark/>
          </w:tcPr>
          <w:p w14:paraId="73C29AC7" w14:textId="77777777" w:rsidR="007B6BE3" w:rsidRPr="0087376B" w:rsidRDefault="005B20F8" w:rsidP="007B6BE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Ризик</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рефинансирања</w:t>
            </w:r>
          </w:p>
        </w:tc>
        <w:tc>
          <w:tcPr>
            <w:tcW w:w="0" w:type="auto"/>
            <w:tcBorders>
              <w:top w:val="single" w:sz="8" w:space="0" w:color="8496B0" w:themeColor="text2" w:themeTint="99"/>
              <w:left w:val="nil"/>
              <w:bottom w:val="nil"/>
              <w:right w:val="nil"/>
            </w:tcBorders>
            <w:shd w:val="clear" w:color="auto" w:fill="auto"/>
            <w:noWrap/>
            <w:vAlign w:val="center"/>
            <w:hideMark/>
          </w:tcPr>
          <w:p w14:paraId="0BB8AD1F"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Дуг</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који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доспијева</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у</w:t>
            </w:r>
            <w:r w:rsidR="007B6BE3" w:rsidRPr="0087376B">
              <w:rPr>
                <w:rFonts w:ascii="Arial" w:eastAsia="Times New Roman" w:hAnsi="Arial" w:cs="Arial"/>
                <w:color w:val="000000"/>
                <w:sz w:val="16"/>
                <w:szCs w:val="16"/>
              </w:rPr>
              <w:t xml:space="preserve"> 1. </w:t>
            </w:r>
            <w:r>
              <w:rPr>
                <w:rFonts w:ascii="Arial" w:eastAsia="Times New Roman" w:hAnsi="Arial" w:cs="Arial"/>
                <w:color w:val="000000"/>
                <w:sz w:val="16"/>
                <w:szCs w:val="16"/>
              </w:rPr>
              <w:t>години</w:t>
            </w:r>
            <w:r w:rsidR="007B6BE3" w:rsidRPr="0087376B">
              <w:rPr>
                <w:rFonts w:ascii="Arial" w:eastAsia="Times New Roman" w:hAnsi="Arial" w:cs="Arial"/>
                <w:color w:val="000000"/>
                <w:sz w:val="16"/>
                <w:szCs w:val="16"/>
              </w:rPr>
              <w:t xml:space="preserve"> (% </w:t>
            </w:r>
            <w:r>
              <w:rPr>
                <w:rFonts w:ascii="Arial" w:eastAsia="Times New Roman" w:hAnsi="Arial" w:cs="Arial"/>
                <w:color w:val="000000"/>
                <w:sz w:val="16"/>
                <w:szCs w:val="16"/>
              </w:rPr>
              <w:t>укупног</w:t>
            </w:r>
            <w:r w:rsidR="007B6BE3" w:rsidRPr="0087376B">
              <w:rPr>
                <w:rFonts w:ascii="Arial" w:eastAsia="Times New Roman" w:hAnsi="Arial" w:cs="Arial"/>
                <w:color w:val="000000"/>
                <w:sz w:val="16"/>
                <w:szCs w:val="16"/>
              </w:rPr>
              <w:t>)</w:t>
            </w:r>
          </w:p>
        </w:tc>
        <w:tc>
          <w:tcPr>
            <w:tcW w:w="0" w:type="auto"/>
            <w:tcBorders>
              <w:top w:val="single" w:sz="8" w:space="0" w:color="8496B0" w:themeColor="text2" w:themeTint="99"/>
              <w:left w:val="nil"/>
              <w:bottom w:val="nil"/>
              <w:right w:val="nil"/>
            </w:tcBorders>
            <w:shd w:val="clear" w:color="auto" w:fill="auto"/>
            <w:noWrap/>
            <w:vAlign w:val="center"/>
            <w:hideMark/>
          </w:tcPr>
          <w:p w14:paraId="46D6363C"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12,75</w:t>
            </w:r>
          </w:p>
        </w:tc>
        <w:tc>
          <w:tcPr>
            <w:tcW w:w="0" w:type="auto"/>
            <w:tcBorders>
              <w:top w:val="single" w:sz="8" w:space="0" w:color="8496B0" w:themeColor="text2" w:themeTint="99"/>
              <w:left w:val="nil"/>
              <w:bottom w:val="nil"/>
              <w:right w:val="nil"/>
            </w:tcBorders>
            <w:shd w:val="clear" w:color="auto" w:fill="auto"/>
            <w:noWrap/>
            <w:vAlign w:val="center"/>
            <w:hideMark/>
          </w:tcPr>
          <w:p w14:paraId="22EB6993"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13,34</w:t>
            </w:r>
          </w:p>
        </w:tc>
        <w:tc>
          <w:tcPr>
            <w:tcW w:w="0" w:type="auto"/>
            <w:tcBorders>
              <w:top w:val="single" w:sz="8" w:space="0" w:color="8496B0" w:themeColor="text2" w:themeTint="99"/>
              <w:left w:val="nil"/>
              <w:bottom w:val="nil"/>
              <w:right w:val="nil"/>
            </w:tcBorders>
            <w:shd w:val="clear" w:color="auto" w:fill="auto"/>
            <w:noWrap/>
            <w:vAlign w:val="center"/>
            <w:hideMark/>
          </w:tcPr>
          <w:p w14:paraId="3C3DF4B5"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13,33</w:t>
            </w:r>
          </w:p>
        </w:tc>
        <w:tc>
          <w:tcPr>
            <w:tcW w:w="0" w:type="auto"/>
            <w:tcBorders>
              <w:top w:val="single" w:sz="8" w:space="0" w:color="8496B0" w:themeColor="text2" w:themeTint="99"/>
              <w:left w:val="nil"/>
              <w:bottom w:val="nil"/>
              <w:right w:val="nil"/>
            </w:tcBorders>
            <w:shd w:val="clear" w:color="auto" w:fill="auto"/>
            <w:noWrap/>
            <w:vAlign w:val="center"/>
            <w:hideMark/>
          </w:tcPr>
          <w:p w14:paraId="2FE1A875"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13,37</w:t>
            </w:r>
          </w:p>
        </w:tc>
        <w:tc>
          <w:tcPr>
            <w:tcW w:w="0" w:type="auto"/>
            <w:tcBorders>
              <w:top w:val="single" w:sz="8" w:space="0" w:color="8496B0" w:themeColor="text2" w:themeTint="99"/>
              <w:left w:val="nil"/>
              <w:bottom w:val="nil"/>
              <w:right w:val="single" w:sz="8" w:space="0" w:color="8496B0" w:themeColor="text2" w:themeTint="99"/>
            </w:tcBorders>
            <w:shd w:val="clear" w:color="auto" w:fill="auto"/>
            <w:noWrap/>
            <w:vAlign w:val="center"/>
            <w:hideMark/>
          </w:tcPr>
          <w:p w14:paraId="7F086F23"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7,81</w:t>
            </w:r>
          </w:p>
        </w:tc>
      </w:tr>
      <w:tr w:rsidR="007B6BE3" w:rsidRPr="0087376B" w14:paraId="44B020D2" w14:textId="77777777" w:rsidTr="007B6BE3">
        <w:trPr>
          <w:trHeight w:val="300"/>
        </w:trPr>
        <w:tc>
          <w:tcPr>
            <w:tcW w:w="0" w:type="auto"/>
            <w:vMerge/>
            <w:tcBorders>
              <w:top w:val="nil"/>
              <w:left w:val="single" w:sz="8" w:space="0" w:color="8496B0" w:themeColor="text2" w:themeTint="99"/>
              <w:bottom w:val="nil"/>
              <w:right w:val="nil"/>
            </w:tcBorders>
            <w:vAlign w:val="center"/>
            <w:hideMark/>
          </w:tcPr>
          <w:p w14:paraId="6B357D1E" w14:textId="77777777" w:rsidR="007B6BE3" w:rsidRPr="0087376B" w:rsidRDefault="007B6BE3" w:rsidP="007B6BE3">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7E0DDC09"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Дуг</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који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доспијева</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у</w:t>
            </w:r>
            <w:r w:rsidR="007B6BE3" w:rsidRPr="0087376B">
              <w:rPr>
                <w:rFonts w:ascii="Arial" w:eastAsia="Times New Roman" w:hAnsi="Arial" w:cs="Arial"/>
                <w:color w:val="000000"/>
                <w:sz w:val="16"/>
                <w:szCs w:val="16"/>
              </w:rPr>
              <w:t xml:space="preserve"> 1. </w:t>
            </w:r>
            <w:r>
              <w:rPr>
                <w:rFonts w:ascii="Arial" w:eastAsia="Times New Roman" w:hAnsi="Arial" w:cs="Arial"/>
                <w:color w:val="000000"/>
                <w:sz w:val="16"/>
                <w:szCs w:val="16"/>
              </w:rPr>
              <w:t>години</w:t>
            </w:r>
            <w:r w:rsidR="007B6BE3" w:rsidRPr="0087376B">
              <w:rPr>
                <w:rFonts w:ascii="Arial" w:eastAsia="Times New Roman" w:hAnsi="Arial" w:cs="Arial"/>
                <w:color w:val="000000"/>
                <w:sz w:val="16"/>
                <w:szCs w:val="16"/>
              </w:rPr>
              <w:t xml:space="preserve"> (% </w:t>
            </w:r>
            <w:r>
              <w:rPr>
                <w:rFonts w:ascii="Arial" w:eastAsia="Times New Roman" w:hAnsi="Arial" w:cs="Arial"/>
                <w:color w:val="000000"/>
                <w:sz w:val="16"/>
                <w:szCs w:val="16"/>
              </w:rPr>
              <w:t>БДП</w:t>
            </w:r>
            <w:r w:rsidR="007B6BE3" w:rsidRPr="0087376B">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center"/>
            <w:hideMark/>
          </w:tcPr>
          <w:p w14:paraId="74BF3F7A"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2,03</w:t>
            </w:r>
          </w:p>
        </w:tc>
        <w:tc>
          <w:tcPr>
            <w:tcW w:w="0" w:type="auto"/>
            <w:tcBorders>
              <w:top w:val="nil"/>
              <w:left w:val="nil"/>
              <w:bottom w:val="nil"/>
              <w:right w:val="nil"/>
            </w:tcBorders>
            <w:shd w:val="clear" w:color="auto" w:fill="auto"/>
            <w:noWrap/>
            <w:vAlign w:val="center"/>
            <w:hideMark/>
          </w:tcPr>
          <w:p w14:paraId="67F30F0C"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2,12</w:t>
            </w:r>
          </w:p>
        </w:tc>
        <w:tc>
          <w:tcPr>
            <w:tcW w:w="0" w:type="auto"/>
            <w:tcBorders>
              <w:top w:val="nil"/>
              <w:left w:val="nil"/>
              <w:bottom w:val="nil"/>
              <w:right w:val="nil"/>
            </w:tcBorders>
            <w:shd w:val="clear" w:color="auto" w:fill="auto"/>
            <w:noWrap/>
            <w:vAlign w:val="center"/>
            <w:hideMark/>
          </w:tcPr>
          <w:p w14:paraId="72953691"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2,12</w:t>
            </w:r>
          </w:p>
        </w:tc>
        <w:tc>
          <w:tcPr>
            <w:tcW w:w="0" w:type="auto"/>
            <w:tcBorders>
              <w:top w:val="nil"/>
              <w:left w:val="nil"/>
              <w:bottom w:val="nil"/>
              <w:right w:val="nil"/>
            </w:tcBorders>
            <w:shd w:val="clear" w:color="auto" w:fill="auto"/>
            <w:noWrap/>
            <w:vAlign w:val="center"/>
            <w:hideMark/>
          </w:tcPr>
          <w:p w14:paraId="615B5880"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2,13</w:t>
            </w:r>
          </w:p>
        </w:tc>
        <w:tc>
          <w:tcPr>
            <w:tcW w:w="0" w:type="auto"/>
            <w:tcBorders>
              <w:top w:val="nil"/>
              <w:left w:val="nil"/>
              <w:bottom w:val="nil"/>
              <w:right w:val="single" w:sz="8" w:space="0" w:color="8496B0" w:themeColor="text2" w:themeTint="99"/>
            </w:tcBorders>
            <w:shd w:val="clear" w:color="auto" w:fill="auto"/>
            <w:noWrap/>
            <w:vAlign w:val="center"/>
            <w:hideMark/>
          </w:tcPr>
          <w:p w14:paraId="085F2236"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1,25</w:t>
            </w:r>
          </w:p>
        </w:tc>
      </w:tr>
      <w:tr w:rsidR="007B6BE3" w:rsidRPr="0087376B" w14:paraId="20C72E1E" w14:textId="77777777" w:rsidTr="007B6BE3">
        <w:trPr>
          <w:trHeight w:val="300"/>
        </w:trPr>
        <w:tc>
          <w:tcPr>
            <w:tcW w:w="0" w:type="auto"/>
            <w:vMerge/>
            <w:tcBorders>
              <w:top w:val="nil"/>
              <w:left w:val="single" w:sz="8" w:space="0" w:color="8496B0" w:themeColor="text2" w:themeTint="99"/>
              <w:bottom w:val="nil"/>
              <w:right w:val="nil"/>
            </w:tcBorders>
            <w:vAlign w:val="center"/>
            <w:hideMark/>
          </w:tcPr>
          <w:p w14:paraId="33E802C3" w14:textId="77777777" w:rsidR="007B6BE3" w:rsidRPr="0087376B" w:rsidRDefault="007B6BE3" w:rsidP="007B6BE3">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66BED0F3"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Просјечно</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доспијеће</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портфолија</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године</w:t>
            </w:r>
            <w:r w:rsidR="007B6BE3" w:rsidRPr="0087376B">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center"/>
            <w:hideMark/>
          </w:tcPr>
          <w:p w14:paraId="4162D983"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6,18</w:t>
            </w:r>
          </w:p>
        </w:tc>
        <w:tc>
          <w:tcPr>
            <w:tcW w:w="0" w:type="auto"/>
            <w:tcBorders>
              <w:top w:val="nil"/>
              <w:left w:val="nil"/>
              <w:bottom w:val="nil"/>
              <w:right w:val="nil"/>
            </w:tcBorders>
            <w:shd w:val="clear" w:color="auto" w:fill="auto"/>
            <w:noWrap/>
            <w:vAlign w:val="center"/>
            <w:hideMark/>
          </w:tcPr>
          <w:p w14:paraId="083F4B43"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6,44</w:t>
            </w:r>
          </w:p>
        </w:tc>
        <w:tc>
          <w:tcPr>
            <w:tcW w:w="0" w:type="auto"/>
            <w:tcBorders>
              <w:top w:val="nil"/>
              <w:left w:val="nil"/>
              <w:bottom w:val="nil"/>
              <w:right w:val="nil"/>
            </w:tcBorders>
            <w:shd w:val="clear" w:color="auto" w:fill="auto"/>
            <w:noWrap/>
            <w:vAlign w:val="center"/>
            <w:hideMark/>
          </w:tcPr>
          <w:p w14:paraId="7F37068D"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6,28</w:t>
            </w:r>
          </w:p>
        </w:tc>
        <w:tc>
          <w:tcPr>
            <w:tcW w:w="0" w:type="auto"/>
            <w:tcBorders>
              <w:top w:val="nil"/>
              <w:left w:val="nil"/>
              <w:bottom w:val="nil"/>
              <w:right w:val="nil"/>
            </w:tcBorders>
            <w:shd w:val="clear" w:color="auto" w:fill="auto"/>
            <w:noWrap/>
            <w:vAlign w:val="center"/>
            <w:hideMark/>
          </w:tcPr>
          <w:p w14:paraId="7D035EC8"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6,52</w:t>
            </w:r>
          </w:p>
        </w:tc>
        <w:tc>
          <w:tcPr>
            <w:tcW w:w="0" w:type="auto"/>
            <w:tcBorders>
              <w:top w:val="nil"/>
              <w:left w:val="nil"/>
              <w:bottom w:val="nil"/>
              <w:right w:val="single" w:sz="8" w:space="0" w:color="8496B0" w:themeColor="text2" w:themeTint="99"/>
            </w:tcBorders>
            <w:shd w:val="clear" w:color="auto" w:fill="auto"/>
            <w:noWrap/>
            <w:vAlign w:val="center"/>
            <w:hideMark/>
          </w:tcPr>
          <w:p w14:paraId="05581FC3"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7,94</w:t>
            </w:r>
          </w:p>
        </w:tc>
      </w:tr>
      <w:tr w:rsidR="007B6BE3" w:rsidRPr="0087376B" w14:paraId="57968199" w14:textId="77777777" w:rsidTr="007B6BE3">
        <w:trPr>
          <w:trHeight w:val="300"/>
        </w:trPr>
        <w:tc>
          <w:tcPr>
            <w:tcW w:w="0" w:type="auto"/>
            <w:vMerge/>
            <w:tcBorders>
              <w:top w:val="nil"/>
              <w:left w:val="single" w:sz="8" w:space="0" w:color="8496B0" w:themeColor="text2" w:themeTint="99"/>
              <w:bottom w:val="nil"/>
              <w:right w:val="nil"/>
            </w:tcBorders>
            <w:vAlign w:val="center"/>
            <w:hideMark/>
          </w:tcPr>
          <w:p w14:paraId="14410A2B" w14:textId="77777777" w:rsidR="007B6BE3" w:rsidRPr="0087376B" w:rsidRDefault="007B6BE3" w:rsidP="007B6BE3">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1E2FE239"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Просјечно</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доспијеће</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домаћи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дуг</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године</w:t>
            </w:r>
            <w:r w:rsidR="007B6BE3" w:rsidRPr="0087376B">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center"/>
            <w:hideMark/>
          </w:tcPr>
          <w:p w14:paraId="2E066CF0"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4,19</w:t>
            </w:r>
          </w:p>
        </w:tc>
        <w:tc>
          <w:tcPr>
            <w:tcW w:w="0" w:type="auto"/>
            <w:tcBorders>
              <w:top w:val="nil"/>
              <w:left w:val="nil"/>
              <w:bottom w:val="nil"/>
              <w:right w:val="nil"/>
            </w:tcBorders>
            <w:shd w:val="clear" w:color="auto" w:fill="auto"/>
            <w:noWrap/>
            <w:vAlign w:val="center"/>
            <w:hideMark/>
          </w:tcPr>
          <w:p w14:paraId="478E10EC"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2,70</w:t>
            </w:r>
          </w:p>
        </w:tc>
        <w:tc>
          <w:tcPr>
            <w:tcW w:w="0" w:type="auto"/>
            <w:tcBorders>
              <w:top w:val="nil"/>
              <w:left w:val="nil"/>
              <w:bottom w:val="nil"/>
              <w:right w:val="nil"/>
            </w:tcBorders>
            <w:shd w:val="clear" w:color="auto" w:fill="auto"/>
            <w:noWrap/>
            <w:vAlign w:val="center"/>
            <w:hideMark/>
          </w:tcPr>
          <w:p w14:paraId="302C107E"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2,70</w:t>
            </w:r>
          </w:p>
        </w:tc>
        <w:tc>
          <w:tcPr>
            <w:tcW w:w="0" w:type="auto"/>
            <w:tcBorders>
              <w:top w:val="nil"/>
              <w:left w:val="nil"/>
              <w:bottom w:val="nil"/>
              <w:right w:val="nil"/>
            </w:tcBorders>
            <w:shd w:val="clear" w:color="auto" w:fill="auto"/>
            <w:noWrap/>
            <w:vAlign w:val="center"/>
            <w:hideMark/>
          </w:tcPr>
          <w:p w14:paraId="258174B0"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2,70</w:t>
            </w:r>
          </w:p>
        </w:tc>
        <w:tc>
          <w:tcPr>
            <w:tcW w:w="0" w:type="auto"/>
            <w:tcBorders>
              <w:top w:val="nil"/>
              <w:left w:val="nil"/>
              <w:bottom w:val="nil"/>
              <w:right w:val="single" w:sz="8" w:space="0" w:color="8496B0" w:themeColor="text2" w:themeTint="99"/>
            </w:tcBorders>
            <w:shd w:val="clear" w:color="auto" w:fill="auto"/>
            <w:noWrap/>
            <w:vAlign w:val="center"/>
            <w:hideMark/>
          </w:tcPr>
          <w:p w14:paraId="72663F47"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2,82</w:t>
            </w:r>
          </w:p>
        </w:tc>
      </w:tr>
      <w:tr w:rsidR="007B6BE3" w:rsidRPr="0087376B" w14:paraId="4CD3B5CB" w14:textId="77777777" w:rsidTr="007B6BE3">
        <w:trPr>
          <w:trHeight w:val="315"/>
        </w:trPr>
        <w:tc>
          <w:tcPr>
            <w:tcW w:w="0" w:type="auto"/>
            <w:vMerge/>
            <w:tcBorders>
              <w:top w:val="nil"/>
              <w:left w:val="single" w:sz="8" w:space="0" w:color="8496B0" w:themeColor="text2" w:themeTint="99"/>
              <w:bottom w:val="single" w:sz="8" w:space="0" w:color="8496B0" w:themeColor="text2" w:themeTint="99"/>
              <w:right w:val="nil"/>
            </w:tcBorders>
            <w:vAlign w:val="center"/>
            <w:hideMark/>
          </w:tcPr>
          <w:p w14:paraId="43F6BFB2" w14:textId="77777777" w:rsidR="007B6BE3" w:rsidRPr="0087376B" w:rsidRDefault="007B6BE3" w:rsidP="007B6BE3">
            <w:pPr>
              <w:spacing w:after="0" w:line="240" w:lineRule="auto"/>
              <w:rPr>
                <w:rFonts w:ascii="Arial" w:eastAsia="Times New Roman" w:hAnsi="Arial" w:cs="Arial"/>
                <w:color w:val="000000"/>
                <w:sz w:val="16"/>
                <w:szCs w:val="16"/>
              </w:rPr>
            </w:pPr>
          </w:p>
        </w:tc>
        <w:tc>
          <w:tcPr>
            <w:tcW w:w="0" w:type="auto"/>
            <w:tcBorders>
              <w:top w:val="nil"/>
              <w:left w:val="nil"/>
              <w:bottom w:val="single" w:sz="8" w:space="0" w:color="8496B0" w:themeColor="text2" w:themeTint="99"/>
              <w:right w:val="nil"/>
            </w:tcBorders>
            <w:shd w:val="clear" w:color="auto" w:fill="auto"/>
            <w:noWrap/>
            <w:vAlign w:val="center"/>
            <w:hideMark/>
          </w:tcPr>
          <w:p w14:paraId="6C24E5D4"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Просјечно</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доспијеће</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спољни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дуг</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године</w:t>
            </w:r>
            <w:r w:rsidR="007B6BE3" w:rsidRPr="0087376B">
              <w:rPr>
                <w:rFonts w:ascii="Arial" w:eastAsia="Times New Roman" w:hAnsi="Arial" w:cs="Arial"/>
                <w:color w:val="000000"/>
                <w:sz w:val="16"/>
                <w:szCs w:val="16"/>
              </w:rPr>
              <w:t>)</w:t>
            </w:r>
          </w:p>
        </w:tc>
        <w:tc>
          <w:tcPr>
            <w:tcW w:w="0" w:type="auto"/>
            <w:tcBorders>
              <w:top w:val="nil"/>
              <w:left w:val="nil"/>
              <w:bottom w:val="single" w:sz="8" w:space="0" w:color="8496B0" w:themeColor="text2" w:themeTint="99"/>
              <w:right w:val="nil"/>
            </w:tcBorders>
            <w:shd w:val="clear" w:color="auto" w:fill="auto"/>
            <w:noWrap/>
            <w:vAlign w:val="center"/>
            <w:hideMark/>
          </w:tcPr>
          <w:p w14:paraId="5E91F1DF"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6,42</w:t>
            </w:r>
          </w:p>
        </w:tc>
        <w:tc>
          <w:tcPr>
            <w:tcW w:w="0" w:type="auto"/>
            <w:tcBorders>
              <w:top w:val="nil"/>
              <w:left w:val="nil"/>
              <w:bottom w:val="single" w:sz="8" w:space="0" w:color="8496B0" w:themeColor="text2" w:themeTint="99"/>
              <w:right w:val="nil"/>
            </w:tcBorders>
            <w:shd w:val="clear" w:color="auto" w:fill="auto"/>
            <w:noWrap/>
            <w:vAlign w:val="center"/>
            <w:hideMark/>
          </w:tcPr>
          <w:p w14:paraId="1FF8DB98"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7,54</w:t>
            </w:r>
          </w:p>
        </w:tc>
        <w:tc>
          <w:tcPr>
            <w:tcW w:w="0" w:type="auto"/>
            <w:tcBorders>
              <w:top w:val="nil"/>
              <w:left w:val="nil"/>
              <w:bottom w:val="single" w:sz="8" w:space="0" w:color="8496B0" w:themeColor="text2" w:themeTint="99"/>
              <w:right w:val="nil"/>
            </w:tcBorders>
            <w:shd w:val="clear" w:color="auto" w:fill="auto"/>
            <w:noWrap/>
            <w:vAlign w:val="center"/>
            <w:hideMark/>
          </w:tcPr>
          <w:p w14:paraId="290D190E"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7,33</w:t>
            </w:r>
          </w:p>
        </w:tc>
        <w:tc>
          <w:tcPr>
            <w:tcW w:w="0" w:type="auto"/>
            <w:tcBorders>
              <w:top w:val="nil"/>
              <w:left w:val="nil"/>
              <w:bottom w:val="single" w:sz="8" w:space="0" w:color="8496B0" w:themeColor="text2" w:themeTint="99"/>
              <w:right w:val="nil"/>
            </w:tcBorders>
            <w:shd w:val="clear" w:color="auto" w:fill="auto"/>
            <w:noWrap/>
            <w:vAlign w:val="center"/>
            <w:hideMark/>
          </w:tcPr>
          <w:p w14:paraId="768708D2"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7,65</w:t>
            </w:r>
          </w:p>
        </w:tc>
        <w:tc>
          <w:tcPr>
            <w:tcW w:w="0" w:type="auto"/>
            <w:tcBorders>
              <w:top w:val="nil"/>
              <w:left w:val="nil"/>
              <w:bottom w:val="single" w:sz="8" w:space="0" w:color="8496B0" w:themeColor="text2" w:themeTint="99"/>
              <w:right w:val="single" w:sz="8" w:space="0" w:color="8496B0" w:themeColor="text2" w:themeTint="99"/>
            </w:tcBorders>
            <w:shd w:val="clear" w:color="auto" w:fill="auto"/>
            <w:noWrap/>
            <w:vAlign w:val="center"/>
            <w:hideMark/>
          </w:tcPr>
          <w:p w14:paraId="356A5F38"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8,26</w:t>
            </w:r>
          </w:p>
        </w:tc>
      </w:tr>
      <w:tr w:rsidR="007B6BE3" w:rsidRPr="0087376B" w14:paraId="15CBBCB2" w14:textId="77777777" w:rsidTr="007B6BE3">
        <w:trPr>
          <w:trHeight w:val="300"/>
        </w:trPr>
        <w:tc>
          <w:tcPr>
            <w:tcW w:w="0" w:type="auto"/>
            <w:vMerge w:val="restart"/>
            <w:tcBorders>
              <w:top w:val="single" w:sz="8" w:space="0" w:color="8496B0" w:themeColor="text2" w:themeTint="99"/>
              <w:left w:val="single" w:sz="8" w:space="0" w:color="8496B0" w:themeColor="text2" w:themeTint="99"/>
              <w:bottom w:val="nil"/>
              <w:right w:val="nil"/>
            </w:tcBorders>
            <w:shd w:val="clear" w:color="auto" w:fill="auto"/>
            <w:noWrap/>
            <w:vAlign w:val="center"/>
            <w:hideMark/>
          </w:tcPr>
          <w:p w14:paraId="70F20D67"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Каматни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ризик</w:t>
            </w:r>
          </w:p>
        </w:tc>
        <w:tc>
          <w:tcPr>
            <w:tcW w:w="0" w:type="auto"/>
            <w:tcBorders>
              <w:top w:val="single" w:sz="8" w:space="0" w:color="8496B0" w:themeColor="text2" w:themeTint="99"/>
              <w:left w:val="nil"/>
              <w:bottom w:val="nil"/>
              <w:right w:val="nil"/>
            </w:tcBorders>
            <w:shd w:val="clear" w:color="auto" w:fill="auto"/>
            <w:noWrap/>
            <w:vAlign w:val="center"/>
            <w:hideMark/>
          </w:tcPr>
          <w:p w14:paraId="10F90E66"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Просјечно</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вријеме</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рефиксирања</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године</w:t>
            </w:r>
            <w:r w:rsidR="007B6BE3" w:rsidRPr="0087376B">
              <w:rPr>
                <w:rFonts w:ascii="Arial" w:eastAsia="Times New Roman" w:hAnsi="Arial" w:cs="Arial"/>
                <w:color w:val="000000"/>
                <w:sz w:val="16"/>
                <w:szCs w:val="16"/>
              </w:rPr>
              <w:t>)</w:t>
            </w:r>
          </w:p>
        </w:tc>
        <w:tc>
          <w:tcPr>
            <w:tcW w:w="0" w:type="auto"/>
            <w:tcBorders>
              <w:top w:val="single" w:sz="8" w:space="0" w:color="8496B0" w:themeColor="text2" w:themeTint="99"/>
              <w:left w:val="nil"/>
              <w:bottom w:val="nil"/>
              <w:right w:val="nil"/>
            </w:tcBorders>
            <w:shd w:val="clear" w:color="auto" w:fill="auto"/>
            <w:noWrap/>
            <w:vAlign w:val="center"/>
            <w:hideMark/>
          </w:tcPr>
          <w:p w14:paraId="3DAA1AC6"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4,24</w:t>
            </w:r>
          </w:p>
        </w:tc>
        <w:tc>
          <w:tcPr>
            <w:tcW w:w="0" w:type="auto"/>
            <w:tcBorders>
              <w:top w:val="single" w:sz="8" w:space="0" w:color="8496B0" w:themeColor="text2" w:themeTint="99"/>
              <w:left w:val="nil"/>
              <w:bottom w:val="nil"/>
              <w:right w:val="nil"/>
            </w:tcBorders>
            <w:shd w:val="clear" w:color="auto" w:fill="auto"/>
            <w:noWrap/>
            <w:vAlign w:val="center"/>
            <w:hideMark/>
          </w:tcPr>
          <w:p w14:paraId="41D1EEDA"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4,75</w:t>
            </w:r>
          </w:p>
        </w:tc>
        <w:tc>
          <w:tcPr>
            <w:tcW w:w="0" w:type="auto"/>
            <w:tcBorders>
              <w:top w:val="single" w:sz="8" w:space="0" w:color="8496B0" w:themeColor="text2" w:themeTint="99"/>
              <w:left w:val="nil"/>
              <w:bottom w:val="nil"/>
              <w:right w:val="nil"/>
            </w:tcBorders>
            <w:shd w:val="clear" w:color="auto" w:fill="auto"/>
            <w:noWrap/>
            <w:vAlign w:val="center"/>
            <w:hideMark/>
          </w:tcPr>
          <w:p w14:paraId="2DC501A1"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3,99</w:t>
            </w:r>
          </w:p>
        </w:tc>
        <w:tc>
          <w:tcPr>
            <w:tcW w:w="0" w:type="auto"/>
            <w:tcBorders>
              <w:top w:val="single" w:sz="8" w:space="0" w:color="8496B0" w:themeColor="text2" w:themeTint="99"/>
              <w:left w:val="nil"/>
              <w:bottom w:val="nil"/>
              <w:right w:val="nil"/>
            </w:tcBorders>
            <w:shd w:val="clear" w:color="auto" w:fill="auto"/>
            <w:noWrap/>
            <w:vAlign w:val="center"/>
            <w:hideMark/>
          </w:tcPr>
          <w:p w14:paraId="79DC4E8F"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4,90</w:t>
            </w:r>
          </w:p>
        </w:tc>
        <w:tc>
          <w:tcPr>
            <w:tcW w:w="0" w:type="auto"/>
            <w:tcBorders>
              <w:top w:val="single" w:sz="8" w:space="0" w:color="8496B0" w:themeColor="text2" w:themeTint="99"/>
              <w:left w:val="nil"/>
              <w:bottom w:val="nil"/>
              <w:right w:val="single" w:sz="8" w:space="0" w:color="8496B0" w:themeColor="text2" w:themeTint="99"/>
            </w:tcBorders>
            <w:shd w:val="clear" w:color="auto" w:fill="auto"/>
            <w:noWrap/>
            <w:vAlign w:val="center"/>
            <w:hideMark/>
          </w:tcPr>
          <w:p w14:paraId="13BEB252"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6,32</w:t>
            </w:r>
          </w:p>
        </w:tc>
      </w:tr>
      <w:tr w:rsidR="007B6BE3" w:rsidRPr="0087376B" w14:paraId="12AFF03E" w14:textId="77777777" w:rsidTr="007B6BE3">
        <w:trPr>
          <w:trHeight w:val="300"/>
        </w:trPr>
        <w:tc>
          <w:tcPr>
            <w:tcW w:w="0" w:type="auto"/>
            <w:vMerge/>
            <w:tcBorders>
              <w:top w:val="nil"/>
              <w:left w:val="single" w:sz="8" w:space="0" w:color="8496B0" w:themeColor="text2" w:themeTint="99"/>
              <w:bottom w:val="nil"/>
              <w:right w:val="nil"/>
            </w:tcBorders>
            <w:vAlign w:val="center"/>
            <w:hideMark/>
          </w:tcPr>
          <w:p w14:paraId="4412C863" w14:textId="77777777" w:rsidR="007B6BE3" w:rsidRPr="0087376B" w:rsidRDefault="007B6BE3" w:rsidP="007B6BE3">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1F9E61FF"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Рефиксирање</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дуга</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у</w:t>
            </w:r>
            <w:r w:rsidR="007B6BE3" w:rsidRPr="0087376B">
              <w:rPr>
                <w:rFonts w:ascii="Arial" w:eastAsia="Times New Roman" w:hAnsi="Arial" w:cs="Arial"/>
                <w:color w:val="000000"/>
                <w:sz w:val="16"/>
                <w:szCs w:val="16"/>
              </w:rPr>
              <w:t xml:space="preserve"> 1. </w:t>
            </w:r>
            <w:r>
              <w:rPr>
                <w:rFonts w:ascii="Arial" w:eastAsia="Times New Roman" w:hAnsi="Arial" w:cs="Arial"/>
                <w:color w:val="000000"/>
                <w:sz w:val="16"/>
                <w:szCs w:val="16"/>
              </w:rPr>
              <w:t>години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године</w:t>
            </w:r>
            <w:r w:rsidR="007B6BE3" w:rsidRPr="0087376B">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center"/>
            <w:hideMark/>
          </w:tcPr>
          <w:p w14:paraId="1A2239EC"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45,23</w:t>
            </w:r>
          </w:p>
        </w:tc>
        <w:tc>
          <w:tcPr>
            <w:tcW w:w="0" w:type="auto"/>
            <w:tcBorders>
              <w:top w:val="nil"/>
              <w:left w:val="nil"/>
              <w:bottom w:val="nil"/>
              <w:right w:val="nil"/>
            </w:tcBorders>
            <w:shd w:val="clear" w:color="auto" w:fill="auto"/>
            <w:noWrap/>
            <w:vAlign w:val="center"/>
            <w:hideMark/>
          </w:tcPr>
          <w:p w14:paraId="2E14D4BF"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38,79</w:t>
            </w:r>
          </w:p>
        </w:tc>
        <w:tc>
          <w:tcPr>
            <w:tcW w:w="0" w:type="auto"/>
            <w:tcBorders>
              <w:top w:val="nil"/>
              <w:left w:val="nil"/>
              <w:bottom w:val="nil"/>
              <w:right w:val="nil"/>
            </w:tcBorders>
            <w:shd w:val="clear" w:color="auto" w:fill="auto"/>
            <w:noWrap/>
            <w:vAlign w:val="center"/>
            <w:hideMark/>
          </w:tcPr>
          <w:p w14:paraId="70327E32"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45,49</w:t>
            </w:r>
          </w:p>
        </w:tc>
        <w:tc>
          <w:tcPr>
            <w:tcW w:w="0" w:type="auto"/>
            <w:tcBorders>
              <w:top w:val="nil"/>
              <w:left w:val="nil"/>
              <w:bottom w:val="nil"/>
              <w:right w:val="nil"/>
            </w:tcBorders>
            <w:shd w:val="clear" w:color="auto" w:fill="auto"/>
            <w:noWrap/>
            <w:vAlign w:val="center"/>
            <w:hideMark/>
          </w:tcPr>
          <w:p w14:paraId="5C204A0F"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37,43</w:t>
            </w:r>
          </w:p>
        </w:tc>
        <w:tc>
          <w:tcPr>
            <w:tcW w:w="0" w:type="auto"/>
            <w:tcBorders>
              <w:top w:val="nil"/>
              <w:left w:val="nil"/>
              <w:bottom w:val="nil"/>
              <w:right w:val="single" w:sz="8" w:space="0" w:color="8496B0" w:themeColor="text2" w:themeTint="99"/>
            </w:tcBorders>
            <w:shd w:val="clear" w:color="auto" w:fill="auto"/>
            <w:noWrap/>
            <w:vAlign w:val="center"/>
            <w:hideMark/>
          </w:tcPr>
          <w:p w14:paraId="5DC61211"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31,81</w:t>
            </w:r>
          </w:p>
        </w:tc>
      </w:tr>
      <w:tr w:rsidR="007B6BE3" w:rsidRPr="0087376B" w14:paraId="4A910E9D" w14:textId="77777777" w:rsidTr="007B6BE3">
        <w:trPr>
          <w:trHeight w:val="300"/>
        </w:trPr>
        <w:tc>
          <w:tcPr>
            <w:tcW w:w="0" w:type="auto"/>
            <w:vMerge/>
            <w:tcBorders>
              <w:top w:val="nil"/>
              <w:left w:val="single" w:sz="8" w:space="0" w:color="8496B0" w:themeColor="text2" w:themeTint="99"/>
              <w:bottom w:val="nil"/>
              <w:right w:val="nil"/>
            </w:tcBorders>
            <w:vAlign w:val="center"/>
            <w:hideMark/>
          </w:tcPr>
          <w:p w14:paraId="02A03ABE" w14:textId="77777777" w:rsidR="007B6BE3" w:rsidRPr="0087376B" w:rsidRDefault="007B6BE3" w:rsidP="007B6BE3">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57FA31AF"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Дуг</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са</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фиксном</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каматом</w:t>
            </w:r>
            <w:r w:rsidR="007B6BE3" w:rsidRPr="0087376B">
              <w:rPr>
                <w:rFonts w:ascii="Arial" w:eastAsia="Times New Roman" w:hAnsi="Arial" w:cs="Arial"/>
                <w:color w:val="000000"/>
                <w:sz w:val="16"/>
                <w:szCs w:val="16"/>
              </w:rPr>
              <w:t xml:space="preserve"> (% </w:t>
            </w:r>
            <w:r>
              <w:rPr>
                <w:rFonts w:ascii="Arial" w:eastAsia="Times New Roman" w:hAnsi="Arial" w:cs="Arial"/>
                <w:color w:val="000000"/>
                <w:sz w:val="16"/>
                <w:szCs w:val="16"/>
              </w:rPr>
              <w:t>укупног</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дуга</w:t>
            </w:r>
            <w:r w:rsidR="007B6BE3" w:rsidRPr="0087376B">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center"/>
            <w:hideMark/>
          </w:tcPr>
          <w:p w14:paraId="3450FC4A"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62,17</w:t>
            </w:r>
          </w:p>
        </w:tc>
        <w:tc>
          <w:tcPr>
            <w:tcW w:w="0" w:type="auto"/>
            <w:tcBorders>
              <w:top w:val="nil"/>
              <w:left w:val="nil"/>
              <w:bottom w:val="nil"/>
              <w:right w:val="nil"/>
            </w:tcBorders>
            <w:shd w:val="clear" w:color="auto" w:fill="auto"/>
            <w:noWrap/>
            <w:vAlign w:val="center"/>
            <w:hideMark/>
          </w:tcPr>
          <w:p w14:paraId="21EB7B13"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72,00</w:t>
            </w:r>
          </w:p>
        </w:tc>
        <w:tc>
          <w:tcPr>
            <w:tcW w:w="0" w:type="auto"/>
            <w:tcBorders>
              <w:top w:val="nil"/>
              <w:left w:val="nil"/>
              <w:bottom w:val="nil"/>
              <w:right w:val="nil"/>
            </w:tcBorders>
            <w:shd w:val="clear" w:color="auto" w:fill="auto"/>
            <w:noWrap/>
            <w:vAlign w:val="center"/>
            <w:hideMark/>
          </w:tcPr>
          <w:p w14:paraId="61DD59B9"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65,29</w:t>
            </w:r>
          </w:p>
        </w:tc>
        <w:tc>
          <w:tcPr>
            <w:tcW w:w="0" w:type="auto"/>
            <w:tcBorders>
              <w:top w:val="nil"/>
              <w:left w:val="nil"/>
              <w:bottom w:val="nil"/>
              <w:right w:val="nil"/>
            </w:tcBorders>
            <w:shd w:val="clear" w:color="auto" w:fill="auto"/>
            <w:noWrap/>
            <w:vAlign w:val="center"/>
            <w:hideMark/>
          </w:tcPr>
          <w:p w14:paraId="03C7F58A"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73,39</w:t>
            </w:r>
          </w:p>
        </w:tc>
        <w:tc>
          <w:tcPr>
            <w:tcW w:w="0" w:type="auto"/>
            <w:tcBorders>
              <w:top w:val="nil"/>
              <w:left w:val="nil"/>
              <w:bottom w:val="nil"/>
              <w:right w:val="single" w:sz="8" w:space="0" w:color="8496B0" w:themeColor="text2" w:themeTint="99"/>
            </w:tcBorders>
            <w:shd w:val="clear" w:color="auto" w:fill="auto"/>
            <w:noWrap/>
            <w:vAlign w:val="center"/>
            <w:hideMark/>
          </w:tcPr>
          <w:p w14:paraId="29234EC1"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73,47</w:t>
            </w:r>
          </w:p>
        </w:tc>
      </w:tr>
      <w:tr w:rsidR="007B6BE3" w:rsidRPr="0087376B" w14:paraId="23611F9B" w14:textId="77777777" w:rsidTr="007B6BE3">
        <w:trPr>
          <w:trHeight w:val="315"/>
        </w:trPr>
        <w:tc>
          <w:tcPr>
            <w:tcW w:w="0" w:type="auto"/>
            <w:tcBorders>
              <w:top w:val="nil"/>
              <w:left w:val="single" w:sz="8" w:space="0" w:color="8496B0" w:themeColor="text2" w:themeTint="99"/>
              <w:bottom w:val="single" w:sz="8" w:space="0" w:color="8496B0" w:themeColor="text2" w:themeTint="99"/>
              <w:right w:val="nil"/>
            </w:tcBorders>
            <w:shd w:val="clear" w:color="auto" w:fill="auto"/>
            <w:noWrap/>
            <w:vAlign w:val="center"/>
            <w:hideMark/>
          </w:tcPr>
          <w:p w14:paraId="39EA8855" w14:textId="77777777" w:rsidR="007B6BE3" w:rsidRPr="0087376B" w:rsidRDefault="007B6BE3" w:rsidP="007B6BE3">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 </w:t>
            </w:r>
          </w:p>
        </w:tc>
        <w:tc>
          <w:tcPr>
            <w:tcW w:w="0" w:type="auto"/>
            <w:tcBorders>
              <w:top w:val="nil"/>
              <w:left w:val="nil"/>
              <w:bottom w:val="single" w:sz="8" w:space="0" w:color="8496B0" w:themeColor="text2" w:themeTint="99"/>
              <w:right w:val="nil"/>
            </w:tcBorders>
            <w:shd w:val="clear" w:color="auto" w:fill="auto"/>
            <w:noWrap/>
            <w:vAlign w:val="center"/>
            <w:hideMark/>
          </w:tcPr>
          <w:p w14:paraId="757D02E9"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Трезорски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записи</w:t>
            </w:r>
            <w:r w:rsidR="007B6BE3" w:rsidRPr="0087376B">
              <w:rPr>
                <w:rFonts w:ascii="Arial" w:eastAsia="Times New Roman" w:hAnsi="Arial" w:cs="Arial"/>
                <w:color w:val="000000"/>
                <w:sz w:val="16"/>
                <w:szCs w:val="16"/>
              </w:rPr>
              <w:t xml:space="preserve"> (% </w:t>
            </w:r>
            <w:r>
              <w:rPr>
                <w:rFonts w:ascii="Arial" w:eastAsia="Times New Roman" w:hAnsi="Arial" w:cs="Arial"/>
                <w:color w:val="000000"/>
                <w:sz w:val="16"/>
                <w:szCs w:val="16"/>
              </w:rPr>
              <w:t>укупног</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дуга</w:t>
            </w:r>
            <w:r w:rsidR="007B6BE3" w:rsidRPr="0087376B">
              <w:rPr>
                <w:rFonts w:ascii="Arial" w:eastAsia="Times New Roman" w:hAnsi="Arial" w:cs="Arial"/>
                <w:color w:val="000000"/>
                <w:sz w:val="16"/>
                <w:szCs w:val="16"/>
              </w:rPr>
              <w:t>)</w:t>
            </w:r>
          </w:p>
        </w:tc>
        <w:tc>
          <w:tcPr>
            <w:tcW w:w="0" w:type="auto"/>
            <w:tcBorders>
              <w:top w:val="nil"/>
              <w:left w:val="nil"/>
              <w:bottom w:val="single" w:sz="8" w:space="0" w:color="8496B0" w:themeColor="text2" w:themeTint="99"/>
              <w:right w:val="nil"/>
            </w:tcBorders>
            <w:shd w:val="clear" w:color="auto" w:fill="auto"/>
            <w:noWrap/>
            <w:vAlign w:val="center"/>
            <w:hideMark/>
          </w:tcPr>
          <w:p w14:paraId="57E5A346"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0,79</w:t>
            </w:r>
          </w:p>
        </w:tc>
        <w:tc>
          <w:tcPr>
            <w:tcW w:w="0" w:type="auto"/>
            <w:tcBorders>
              <w:top w:val="nil"/>
              <w:left w:val="nil"/>
              <w:bottom w:val="single" w:sz="8" w:space="0" w:color="8496B0" w:themeColor="text2" w:themeTint="99"/>
              <w:right w:val="nil"/>
            </w:tcBorders>
            <w:shd w:val="clear" w:color="auto" w:fill="auto"/>
            <w:noWrap/>
            <w:vAlign w:val="center"/>
            <w:hideMark/>
          </w:tcPr>
          <w:p w14:paraId="1FB58D5F"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4,33</w:t>
            </w:r>
          </w:p>
        </w:tc>
        <w:tc>
          <w:tcPr>
            <w:tcW w:w="0" w:type="auto"/>
            <w:tcBorders>
              <w:top w:val="nil"/>
              <w:left w:val="nil"/>
              <w:bottom w:val="single" w:sz="8" w:space="0" w:color="8496B0" w:themeColor="text2" w:themeTint="99"/>
              <w:right w:val="nil"/>
            </w:tcBorders>
            <w:shd w:val="clear" w:color="auto" w:fill="auto"/>
            <w:noWrap/>
            <w:vAlign w:val="center"/>
            <w:hideMark/>
          </w:tcPr>
          <w:p w14:paraId="12FD404B"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4,32</w:t>
            </w:r>
          </w:p>
        </w:tc>
        <w:tc>
          <w:tcPr>
            <w:tcW w:w="0" w:type="auto"/>
            <w:tcBorders>
              <w:top w:val="nil"/>
              <w:left w:val="nil"/>
              <w:bottom w:val="single" w:sz="8" w:space="0" w:color="8496B0" w:themeColor="text2" w:themeTint="99"/>
              <w:right w:val="nil"/>
            </w:tcBorders>
            <w:shd w:val="clear" w:color="auto" w:fill="auto"/>
            <w:noWrap/>
            <w:vAlign w:val="center"/>
            <w:hideMark/>
          </w:tcPr>
          <w:p w14:paraId="18983B5D"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4,36</w:t>
            </w:r>
          </w:p>
        </w:tc>
        <w:tc>
          <w:tcPr>
            <w:tcW w:w="0" w:type="auto"/>
            <w:tcBorders>
              <w:top w:val="nil"/>
              <w:left w:val="nil"/>
              <w:bottom w:val="single" w:sz="8" w:space="0" w:color="8496B0" w:themeColor="text2" w:themeTint="99"/>
              <w:right w:val="single" w:sz="8" w:space="0" w:color="8496B0" w:themeColor="text2" w:themeTint="99"/>
            </w:tcBorders>
            <w:shd w:val="clear" w:color="auto" w:fill="auto"/>
            <w:noWrap/>
            <w:vAlign w:val="center"/>
            <w:hideMark/>
          </w:tcPr>
          <w:p w14:paraId="232A2884"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0,00</w:t>
            </w:r>
          </w:p>
        </w:tc>
      </w:tr>
      <w:tr w:rsidR="007B6BE3" w:rsidRPr="0087376B" w14:paraId="54A52075" w14:textId="77777777" w:rsidTr="007B6BE3">
        <w:trPr>
          <w:trHeight w:val="300"/>
        </w:trPr>
        <w:tc>
          <w:tcPr>
            <w:tcW w:w="0" w:type="auto"/>
            <w:vMerge w:val="restart"/>
            <w:tcBorders>
              <w:top w:val="single" w:sz="8" w:space="0" w:color="8496B0" w:themeColor="text2" w:themeTint="99"/>
              <w:left w:val="single" w:sz="8" w:space="0" w:color="8496B0" w:themeColor="text2" w:themeTint="99"/>
              <w:bottom w:val="nil"/>
              <w:right w:val="nil"/>
            </w:tcBorders>
            <w:shd w:val="clear" w:color="auto" w:fill="auto"/>
            <w:noWrap/>
            <w:vAlign w:val="center"/>
            <w:hideMark/>
          </w:tcPr>
          <w:p w14:paraId="60063401"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Девизни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ризик</w:t>
            </w:r>
          </w:p>
        </w:tc>
        <w:tc>
          <w:tcPr>
            <w:tcW w:w="0" w:type="auto"/>
            <w:tcBorders>
              <w:top w:val="single" w:sz="8" w:space="0" w:color="8496B0" w:themeColor="text2" w:themeTint="99"/>
              <w:left w:val="nil"/>
              <w:bottom w:val="nil"/>
              <w:right w:val="nil"/>
            </w:tcBorders>
            <w:shd w:val="clear" w:color="auto" w:fill="auto"/>
            <w:noWrap/>
            <w:vAlign w:val="center"/>
            <w:hideMark/>
          </w:tcPr>
          <w:p w14:paraId="6905FB21"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Девизни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дуг</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у</w:t>
            </w:r>
            <w:r w:rsidR="007B6BE3" w:rsidRPr="0087376B">
              <w:rPr>
                <w:rFonts w:ascii="Arial" w:eastAsia="Times New Roman" w:hAnsi="Arial" w:cs="Arial"/>
                <w:color w:val="000000"/>
                <w:sz w:val="16"/>
                <w:szCs w:val="16"/>
              </w:rPr>
              <w:t xml:space="preserve"> % </w:t>
            </w:r>
            <w:r>
              <w:rPr>
                <w:rFonts w:ascii="Arial" w:eastAsia="Times New Roman" w:hAnsi="Arial" w:cs="Arial"/>
                <w:color w:val="000000"/>
                <w:sz w:val="16"/>
                <w:szCs w:val="16"/>
              </w:rPr>
              <w:t>укупног</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дуга</w:t>
            </w:r>
          </w:p>
        </w:tc>
        <w:tc>
          <w:tcPr>
            <w:tcW w:w="0" w:type="auto"/>
            <w:tcBorders>
              <w:top w:val="single" w:sz="8" w:space="0" w:color="8496B0" w:themeColor="text2" w:themeTint="99"/>
              <w:left w:val="nil"/>
              <w:bottom w:val="nil"/>
              <w:right w:val="nil"/>
            </w:tcBorders>
            <w:shd w:val="clear" w:color="auto" w:fill="auto"/>
            <w:noWrap/>
            <w:vAlign w:val="center"/>
            <w:hideMark/>
          </w:tcPr>
          <w:p w14:paraId="258008FE"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88,85</w:t>
            </w:r>
          </w:p>
        </w:tc>
        <w:tc>
          <w:tcPr>
            <w:tcW w:w="0" w:type="auto"/>
            <w:tcBorders>
              <w:top w:val="single" w:sz="8" w:space="0" w:color="8496B0" w:themeColor="text2" w:themeTint="99"/>
              <w:left w:val="nil"/>
              <w:bottom w:val="nil"/>
              <w:right w:val="nil"/>
            </w:tcBorders>
            <w:shd w:val="clear" w:color="auto" w:fill="auto"/>
            <w:noWrap/>
            <w:vAlign w:val="center"/>
            <w:hideMark/>
          </w:tcPr>
          <w:p w14:paraId="3BE5B03F"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77,29</w:t>
            </w:r>
          </w:p>
        </w:tc>
        <w:tc>
          <w:tcPr>
            <w:tcW w:w="0" w:type="auto"/>
            <w:tcBorders>
              <w:top w:val="single" w:sz="8" w:space="0" w:color="8496B0" w:themeColor="text2" w:themeTint="99"/>
              <w:left w:val="nil"/>
              <w:bottom w:val="nil"/>
              <w:right w:val="nil"/>
            </w:tcBorders>
            <w:shd w:val="clear" w:color="auto" w:fill="auto"/>
            <w:noWrap/>
            <w:vAlign w:val="center"/>
            <w:hideMark/>
          </w:tcPr>
          <w:p w14:paraId="75A72EA9"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77,31</w:t>
            </w:r>
          </w:p>
        </w:tc>
        <w:tc>
          <w:tcPr>
            <w:tcW w:w="0" w:type="auto"/>
            <w:tcBorders>
              <w:top w:val="single" w:sz="8" w:space="0" w:color="8496B0" w:themeColor="text2" w:themeTint="99"/>
              <w:left w:val="nil"/>
              <w:bottom w:val="nil"/>
              <w:right w:val="nil"/>
            </w:tcBorders>
            <w:shd w:val="clear" w:color="auto" w:fill="auto"/>
            <w:noWrap/>
            <w:vAlign w:val="center"/>
            <w:hideMark/>
          </w:tcPr>
          <w:p w14:paraId="29B5F811"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77,21</w:t>
            </w:r>
          </w:p>
        </w:tc>
        <w:tc>
          <w:tcPr>
            <w:tcW w:w="0" w:type="auto"/>
            <w:tcBorders>
              <w:top w:val="single" w:sz="8" w:space="0" w:color="8496B0" w:themeColor="text2" w:themeTint="99"/>
              <w:left w:val="nil"/>
              <w:bottom w:val="nil"/>
              <w:right w:val="single" w:sz="8" w:space="0" w:color="8496B0" w:themeColor="text2" w:themeTint="99"/>
            </w:tcBorders>
            <w:shd w:val="clear" w:color="auto" w:fill="auto"/>
            <w:noWrap/>
            <w:vAlign w:val="center"/>
            <w:hideMark/>
          </w:tcPr>
          <w:p w14:paraId="44FA6297"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94,09</w:t>
            </w:r>
          </w:p>
        </w:tc>
      </w:tr>
      <w:tr w:rsidR="007B6BE3" w:rsidRPr="0087376B" w14:paraId="242DE6A1" w14:textId="77777777" w:rsidTr="007B6BE3">
        <w:trPr>
          <w:trHeight w:val="315"/>
        </w:trPr>
        <w:tc>
          <w:tcPr>
            <w:tcW w:w="0" w:type="auto"/>
            <w:vMerge/>
            <w:tcBorders>
              <w:top w:val="nil"/>
              <w:left w:val="single" w:sz="8" w:space="0" w:color="8496B0" w:themeColor="text2" w:themeTint="99"/>
              <w:bottom w:val="single" w:sz="8" w:space="0" w:color="8496B0" w:themeColor="text2" w:themeTint="99"/>
              <w:right w:val="nil"/>
            </w:tcBorders>
            <w:vAlign w:val="center"/>
            <w:hideMark/>
          </w:tcPr>
          <w:p w14:paraId="5DDB0E08" w14:textId="77777777" w:rsidR="007B6BE3" w:rsidRPr="0087376B" w:rsidRDefault="007B6BE3" w:rsidP="007B6BE3">
            <w:pPr>
              <w:spacing w:after="0" w:line="240" w:lineRule="auto"/>
              <w:rPr>
                <w:rFonts w:ascii="Arial" w:eastAsia="Times New Roman" w:hAnsi="Arial" w:cs="Arial"/>
                <w:color w:val="000000"/>
                <w:sz w:val="16"/>
                <w:szCs w:val="16"/>
              </w:rPr>
            </w:pPr>
          </w:p>
        </w:tc>
        <w:tc>
          <w:tcPr>
            <w:tcW w:w="0" w:type="auto"/>
            <w:tcBorders>
              <w:top w:val="nil"/>
              <w:left w:val="nil"/>
              <w:bottom w:val="single" w:sz="8" w:space="0" w:color="8496B0" w:themeColor="text2" w:themeTint="99"/>
              <w:right w:val="nil"/>
            </w:tcBorders>
            <w:shd w:val="clear" w:color="auto" w:fill="auto"/>
            <w:noWrap/>
            <w:vAlign w:val="center"/>
            <w:hideMark/>
          </w:tcPr>
          <w:p w14:paraId="37B62777" w14:textId="77777777" w:rsidR="007B6BE3" w:rsidRPr="0087376B" w:rsidRDefault="005B20F8" w:rsidP="007B6BE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Краткорочни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девизни</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дуг</w:t>
            </w:r>
            <w:r w:rsidR="007B6BE3" w:rsidRPr="0087376B">
              <w:rPr>
                <w:rFonts w:ascii="Arial" w:eastAsia="Times New Roman" w:hAnsi="Arial" w:cs="Arial"/>
                <w:color w:val="000000"/>
                <w:sz w:val="16"/>
                <w:szCs w:val="16"/>
              </w:rPr>
              <w:t xml:space="preserve"> </w:t>
            </w:r>
            <w:r>
              <w:rPr>
                <w:rFonts w:ascii="Arial" w:eastAsia="Times New Roman" w:hAnsi="Arial" w:cs="Arial"/>
                <w:color w:val="000000"/>
                <w:sz w:val="16"/>
                <w:szCs w:val="16"/>
              </w:rPr>
              <w:t>у</w:t>
            </w:r>
            <w:r w:rsidR="007B6BE3" w:rsidRPr="0087376B">
              <w:rPr>
                <w:rFonts w:ascii="Arial" w:eastAsia="Times New Roman" w:hAnsi="Arial" w:cs="Arial"/>
                <w:color w:val="000000"/>
                <w:sz w:val="16"/>
                <w:szCs w:val="16"/>
              </w:rPr>
              <w:t xml:space="preserve"> % </w:t>
            </w:r>
            <w:r>
              <w:rPr>
                <w:rFonts w:ascii="Arial" w:eastAsia="Times New Roman" w:hAnsi="Arial" w:cs="Arial"/>
                <w:color w:val="000000"/>
                <w:sz w:val="16"/>
                <w:szCs w:val="16"/>
              </w:rPr>
              <w:t>резерви</w:t>
            </w:r>
          </w:p>
        </w:tc>
        <w:tc>
          <w:tcPr>
            <w:tcW w:w="0" w:type="auto"/>
            <w:tcBorders>
              <w:top w:val="nil"/>
              <w:left w:val="nil"/>
              <w:bottom w:val="single" w:sz="8" w:space="0" w:color="8496B0" w:themeColor="text2" w:themeTint="99"/>
              <w:right w:val="nil"/>
            </w:tcBorders>
            <w:shd w:val="clear" w:color="auto" w:fill="auto"/>
            <w:noWrap/>
            <w:vAlign w:val="center"/>
            <w:hideMark/>
          </w:tcPr>
          <w:p w14:paraId="6214E2E9"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4,09</w:t>
            </w:r>
          </w:p>
        </w:tc>
        <w:tc>
          <w:tcPr>
            <w:tcW w:w="0" w:type="auto"/>
            <w:tcBorders>
              <w:top w:val="nil"/>
              <w:left w:val="nil"/>
              <w:bottom w:val="single" w:sz="8" w:space="0" w:color="8496B0" w:themeColor="text2" w:themeTint="99"/>
              <w:right w:val="nil"/>
            </w:tcBorders>
            <w:shd w:val="clear" w:color="auto" w:fill="auto"/>
            <w:noWrap/>
            <w:vAlign w:val="center"/>
            <w:hideMark/>
          </w:tcPr>
          <w:p w14:paraId="5651E6F3" w14:textId="77777777" w:rsidR="007B6BE3" w:rsidRPr="0087376B" w:rsidRDefault="007B6BE3" w:rsidP="007B6BE3">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2,47</w:t>
            </w:r>
          </w:p>
        </w:tc>
        <w:tc>
          <w:tcPr>
            <w:tcW w:w="0" w:type="auto"/>
            <w:tcBorders>
              <w:top w:val="nil"/>
              <w:left w:val="nil"/>
              <w:bottom w:val="single" w:sz="8" w:space="0" w:color="8496B0" w:themeColor="text2" w:themeTint="99"/>
              <w:right w:val="nil"/>
            </w:tcBorders>
            <w:shd w:val="clear" w:color="auto" w:fill="auto"/>
            <w:noWrap/>
            <w:vAlign w:val="center"/>
            <w:hideMark/>
          </w:tcPr>
          <w:p w14:paraId="1F15DE1B"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2,47</w:t>
            </w:r>
          </w:p>
        </w:tc>
        <w:tc>
          <w:tcPr>
            <w:tcW w:w="0" w:type="auto"/>
            <w:tcBorders>
              <w:top w:val="nil"/>
              <w:left w:val="nil"/>
              <w:bottom w:val="single" w:sz="8" w:space="0" w:color="8496B0" w:themeColor="text2" w:themeTint="99"/>
              <w:right w:val="nil"/>
            </w:tcBorders>
            <w:shd w:val="clear" w:color="auto" w:fill="auto"/>
            <w:noWrap/>
            <w:vAlign w:val="center"/>
            <w:hideMark/>
          </w:tcPr>
          <w:p w14:paraId="24F685E1"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2,47</w:t>
            </w:r>
          </w:p>
        </w:tc>
        <w:tc>
          <w:tcPr>
            <w:tcW w:w="0" w:type="auto"/>
            <w:tcBorders>
              <w:top w:val="nil"/>
              <w:left w:val="nil"/>
              <w:bottom w:val="single" w:sz="8" w:space="0" w:color="8496B0" w:themeColor="text2" w:themeTint="99"/>
              <w:right w:val="single" w:sz="8" w:space="0" w:color="8496B0" w:themeColor="text2" w:themeTint="99"/>
            </w:tcBorders>
            <w:shd w:val="clear" w:color="auto" w:fill="auto"/>
            <w:noWrap/>
            <w:vAlign w:val="center"/>
            <w:hideMark/>
          </w:tcPr>
          <w:p w14:paraId="207ADAF0" w14:textId="77777777" w:rsidR="007B6BE3" w:rsidRPr="0087376B" w:rsidRDefault="007B6BE3" w:rsidP="007B6BE3">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2,47</w:t>
            </w:r>
          </w:p>
        </w:tc>
      </w:tr>
    </w:tbl>
    <w:p w14:paraId="0FF5863C" w14:textId="77777777" w:rsidR="007B6BE3" w:rsidRPr="0087376B" w:rsidRDefault="007B6BE3" w:rsidP="007B6BE3">
      <w:pPr>
        <w:spacing w:after="0" w:line="240" w:lineRule="auto"/>
        <w:jc w:val="both"/>
        <w:rPr>
          <w:rFonts w:ascii="Arial" w:hAnsi="Arial" w:cs="Arial"/>
        </w:rPr>
      </w:pPr>
    </w:p>
    <w:p w14:paraId="592B53CF" w14:textId="77777777" w:rsidR="007B6BE3" w:rsidRPr="0087376B" w:rsidRDefault="005B20F8" w:rsidP="007B6BE3">
      <w:pPr>
        <w:spacing w:after="0"/>
        <w:ind w:firstLine="426"/>
        <w:jc w:val="both"/>
        <w:rPr>
          <w:rFonts w:ascii="Arial" w:hAnsi="Arial" w:cs="Arial"/>
          <w:szCs w:val="24"/>
        </w:rPr>
      </w:pPr>
      <w:r>
        <w:rPr>
          <w:rFonts w:ascii="Arial" w:hAnsi="Arial" w:cs="Arial"/>
          <w:szCs w:val="24"/>
        </w:rPr>
        <w:t>Упоређујући</w:t>
      </w:r>
      <w:r w:rsidR="007B6BE3" w:rsidRPr="0087376B">
        <w:rPr>
          <w:rFonts w:ascii="Arial" w:hAnsi="Arial" w:cs="Arial"/>
          <w:szCs w:val="24"/>
        </w:rPr>
        <w:t xml:space="preserve"> </w:t>
      </w:r>
      <w:r>
        <w:rPr>
          <w:rFonts w:ascii="Arial" w:hAnsi="Arial" w:cs="Arial"/>
          <w:szCs w:val="24"/>
        </w:rPr>
        <w:t>индикаторе</w:t>
      </w:r>
      <w:r w:rsidR="007B6BE3" w:rsidRPr="0087376B">
        <w:rPr>
          <w:rFonts w:ascii="Arial" w:hAnsi="Arial" w:cs="Arial"/>
          <w:szCs w:val="24"/>
        </w:rPr>
        <w:t xml:space="preserve"> </w:t>
      </w:r>
      <w:r>
        <w:rPr>
          <w:rFonts w:ascii="Arial" w:hAnsi="Arial" w:cs="Arial"/>
          <w:szCs w:val="24"/>
        </w:rPr>
        <w:t>ризика</w:t>
      </w:r>
      <w:r w:rsidR="007B6BE3" w:rsidRPr="0087376B">
        <w:rPr>
          <w:rFonts w:ascii="Arial" w:hAnsi="Arial" w:cs="Arial"/>
          <w:szCs w:val="24"/>
        </w:rPr>
        <w:t xml:space="preserve"> </w:t>
      </w:r>
      <w:r>
        <w:rPr>
          <w:rFonts w:ascii="Arial" w:hAnsi="Arial" w:cs="Arial"/>
          <w:szCs w:val="24"/>
        </w:rPr>
        <w:t>предложених</w:t>
      </w:r>
      <w:r w:rsidR="007B6BE3" w:rsidRPr="0087376B">
        <w:rPr>
          <w:rFonts w:ascii="Arial" w:hAnsi="Arial" w:cs="Arial"/>
          <w:szCs w:val="24"/>
        </w:rPr>
        <w:t xml:space="preserve"> </w:t>
      </w:r>
      <w:r>
        <w:rPr>
          <w:rFonts w:ascii="Arial" w:hAnsi="Arial" w:cs="Arial"/>
          <w:szCs w:val="24"/>
        </w:rPr>
        <w:t>стратегија</w:t>
      </w:r>
      <w:r w:rsidR="007B6BE3" w:rsidRPr="0087376B">
        <w:rPr>
          <w:rFonts w:ascii="Arial" w:hAnsi="Arial" w:cs="Arial"/>
          <w:szCs w:val="24"/>
        </w:rPr>
        <w:t xml:space="preserve"> </w:t>
      </w:r>
      <w:r>
        <w:rPr>
          <w:rFonts w:ascii="Arial" w:hAnsi="Arial" w:cs="Arial"/>
          <w:szCs w:val="24"/>
        </w:rPr>
        <w:t>са</w:t>
      </w:r>
      <w:r w:rsidR="007B6BE3" w:rsidRPr="0087376B">
        <w:rPr>
          <w:rFonts w:ascii="Arial" w:hAnsi="Arial" w:cs="Arial"/>
          <w:szCs w:val="24"/>
        </w:rPr>
        <w:t xml:space="preserve"> </w:t>
      </w:r>
      <w:r>
        <w:rPr>
          <w:rFonts w:ascii="Arial" w:hAnsi="Arial" w:cs="Arial"/>
          <w:szCs w:val="24"/>
        </w:rPr>
        <w:t>ризицима</w:t>
      </w:r>
      <w:r w:rsidR="007B6BE3" w:rsidRPr="0087376B">
        <w:rPr>
          <w:rFonts w:ascii="Arial" w:hAnsi="Arial" w:cs="Arial"/>
          <w:szCs w:val="24"/>
        </w:rPr>
        <w:t xml:space="preserve"> </w:t>
      </w:r>
      <w:r>
        <w:rPr>
          <w:rFonts w:ascii="Arial" w:hAnsi="Arial" w:cs="Arial"/>
          <w:szCs w:val="24"/>
        </w:rPr>
        <w:t>тренутног</w:t>
      </w:r>
      <w:r w:rsidR="007B6BE3" w:rsidRPr="0087376B">
        <w:rPr>
          <w:rFonts w:ascii="Arial" w:hAnsi="Arial" w:cs="Arial"/>
          <w:szCs w:val="24"/>
        </w:rPr>
        <w:t xml:space="preserve"> </w:t>
      </w:r>
      <w:r>
        <w:rPr>
          <w:rFonts w:ascii="Arial" w:hAnsi="Arial" w:cs="Arial"/>
          <w:szCs w:val="24"/>
        </w:rPr>
        <w:t>портфолија</w:t>
      </w:r>
      <w:r w:rsidR="007B6BE3" w:rsidRPr="0087376B">
        <w:rPr>
          <w:rFonts w:ascii="Arial" w:hAnsi="Arial" w:cs="Arial"/>
          <w:szCs w:val="24"/>
        </w:rPr>
        <w:t xml:space="preserve"> </w:t>
      </w:r>
      <w:r>
        <w:rPr>
          <w:rFonts w:ascii="Arial" w:hAnsi="Arial" w:cs="Arial"/>
          <w:szCs w:val="24"/>
        </w:rPr>
        <w:t>дуга</w:t>
      </w:r>
      <w:r w:rsidR="007B6BE3" w:rsidRPr="0087376B">
        <w:rPr>
          <w:rFonts w:ascii="Arial" w:hAnsi="Arial" w:cs="Arial"/>
          <w:szCs w:val="24"/>
        </w:rPr>
        <w:t xml:space="preserve">, </w:t>
      </w:r>
      <w:r>
        <w:rPr>
          <w:rFonts w:ascii="Arial" w:hAnsi="Arial" w:cs="Arial"/>
          <w:szCs w:val="24"/>
        </w:rPr>
        <w:t>можемо</w:t>
      </w:r>
      <w:r w:rsidR="007B6BE3" w:rsidRPr="0087376B">
        <w:rPr>
          <w:rFonts w:ascii="Arial" w:hAnsi="Arial" w:cs="Arial"/>
          <w:szCs w:val="24"/>
        </w:rPr>
        <w:t xml:space="preserve"> </w:t>
      </w:r>
      <w:r>
        <w:rPr>
          <w:rFonts w:ascii="Arial" w:hAnsi="Arial" w:cs="Arial"/>
          <w:szCs w:val="24"/>
        </w:rPr>
        <w:t>закључити</w:t>
      </w:r>
      <w:r w:rsidR="007B6BE3" w:rsidRPr="0087376B">
        <w:rPr>
          <w:rFonts w:ascii="Arial" w:hAnsi="Arial" w:cs="Arial"/>
          <w:szCs w:val="24"/>
        </w:rPr>
        <w:t xml:space="preserve"> </w:t>
      </w:r>
      <w:r>
        <w:rPr>
          <w:rFonts w:ascii="Arial" w:hAnsi="Arial" w:cs="Arial"/>
          <w:szCs w:val="24"/>
        </w:rPr>
        <w:t>сљедеће</w:t>
      </w:r>
      <w:r w:rsidR="007B6BE3" w:rsidRPr="0087376B">
        <w:rPr>
          <w:rFonts w:ascii="Arial" w:hAnsi="Arial" w:cs="Arial"/>
          <w:szCs w:val="24"/>
        </w:rPr>
        <w:t>:</w:t>
      </w:r>
    </w:p>
    <w:p w14:paraId="6E3B05E3" w14:textId="77777777" w:rsidR="007B6BE3" w:rsidRPr="0087376B" w:rsidRDefault="007B6BE3" w:rsidP="007B6BE3">
      <w:pPr>
        <w:spacing w:after="0"/>
        <w:ind w:firstLine="426"/>
        <w:jc w:val="both"/>
        <w:rPr>
          <w:rFonts w:ascii="Arial" w:hAnsi="Arial" w:cs="Arial"/>
          <w:sz w:val="24"/>
          <w:szCs w:val="24"/>
        </w:rPr>
      </w:pPr>
    </w:p>
    <w:p w14:paraId="695DBF90" w14:textId="2C517F66" w:rsidR="007B6BE3" w:rsidRPr="0087376B" w:rsidRDefault="005B20F8" w:rsidP="007B6BE3">
      <w:pPr>
        <w:spacing w:after="0"/>
        <w:ind w:firstLine="426"/>
        <w:jc w:val="both"/>
        <w:rPr>
          <w:rFonts w:ascii="Arial" w:hAnsi="Arial" w:cs="Arial"/>
        </w:rPr>
      </w:pPr>
      <w:r>
        <w:rPr>
          <w:rFonts w:ascii="Arial" w:hAnsi="Arial" w:cs="Arial"/>
          <w:b/>
          <w:i/>
        </w:rPr>
        <w:t>Трошкови</w:t>
      </w:r>
      <w:r w:rsidR="007B6BE3" w:rsidRPr="0087376B">
        <w:rPr>
          <w:rFonts w:ascii="Arial" w:hAnsi="Arial" w:cs="Arial"/>
          <w:b/>
          <w:i/>
        </w:rPr>
        <w:t xml:space="preserve"> </w:t>
      </w:r>
      <w:r>
        <w:rPr>
          <w:rFonts w:ascii="Arial" w:hAnsi="Arial" w:cs="Arial"/>
          <w:b/>
          <w:i/>
        </w:rPr>
        <w:t>дуга</w:t>
      </w:r>
      <w:r w:rsidR="007B6BE3" w:rsidRPr="0087376B">
        <w:rPr>
          <w:rFonts w:ascii="Arial" w:hAnsi="Arial" w:cs="Arial"/>
        </w:rPr>
        <w:t xml:space="preserve"> – </w:t>
      </w:r>
      <w:r>
        <w:rPr>
          <w:rFonts w:ascii="Arial" w:hAnsi="Arial" w:cs="Arial"/>
        </w:rPr>
        <w:t>Просјечна</w:t>
      </w:r>
      <w:r w:rsidR="007B6BE3" w:rsidRPr="0087376B">
        <w:rPr>
          <w:rFonts w:ascii="Arial" w:hAnsi="Arial" w:cs="Arial"/>
        </w:rPr>
        <w:t xml:space="preserve"> </w:t>
      </w:r>
      <w:r>
        <w:rPr>
          <w:rFonts w:ascii="Arial" w:hAnsi="Arial" w:cs="Arial"/>
        </w:rPr>
        <w:t>пондерисана</w:t>
      </w:r>
      <w:r w:rsidR="007B6BE3" w:rsidRPr="0087376B">
        <w:rPr>
          <w:rFonts w:ascii="Arial" w:hAnsi="Arial" w:cs="Arial"/>
        </w:rPr>
        <w:t xml:space="preserve"> </w:t>
      </w:r>
      <w:r>
        <w:rPr>
          <w:rFonts w:ascii="Arial" w:hAnsi="Arial" w:cs="Arial"/>
        </w:rPr>
        <w:t>каматна</w:t>
      </w:r>
      <w:r w:rsidR="007B6BE3" w:rsidRPr="0087376B">
        <w:rPr>
          <w:rFonts w:ascii="Arial" w:hAnsi="Arial" w:cs="Arial"/>
        </w:rPr>
        <w:t xml:space="preserve"> </w:t>
      </w:r>
      <w:r>
        <w:rPr>
          <w:rFonts w:ascii="Arial" w:hAnsi="Arial" w:cs="Arial"/>
        </w:rPr>
        <w:t>стопа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свим</w:t>
      </w:r>
      <w:r w:rsidR="007B6BE3" w:rsidRPr="0087376B">
        <w:rPr>
          <w:rFonts w:ascii="Arial" w:hAnsi="Arial" w:cs="Arial"/>
        </w:rPr>
        <w:t xml:space="preserve"> </w:t>
      </w:r>
      <w:r>
        <w:rPr>
          <w:rFonts w:ascii="Arial" w:hAnsi="Arial" w:cs="Arial"/>
        </w:rPr>
        <w:t>анализираним</w:t>
      </w:r>
      <w:r w:rsidR="007B6BE3" w:rsidRPr="0087376B">
        <w:rPr>
          <w:rFonts w:ascii="Arial" w:hAnsi="Arial" w:cs="Arial"/>
        </w:rPr>
        <w:t xml:space="preserve"> </w:t>
      </w:r>
      <w:r>
        <w:rPr>
          <w:rFonts w:ascii="Arial" w:hAnsi="Arial" w:cs="Arial"/>
        </w:rPr>
        <w:t>стратегијама</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повећава</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креће</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распону</w:t>
      </w:r>
      <w:r w:rsidR="007B6BE3" w:rsidRPr="0087376B">
        <w:rPr>
          <w:rFonts w:ascii="Arial" w:hAnsi="Arial" w:cs="Arial"/>
        </w:rPr>
        <w:t xml:space="preserve"> </w:t>
      </w:r>
      <w:r>
        <w:rPr>
          <w:rFonts w:ascii="Arial" w:hAnsi="Arial" w:cs="Arial"/>
        </w:rPr>
        <w:t>од</w:t>
      </w:r>
      <w:r w:rsidR="007B6BE3" w:rsidRPr="0087376B">
        <w:rPr>
          <w:rFonts w:ascii="Arial" w:hAnsi="Arial" w:cs="Arial"/>
        </w:rPr>
        <w:t xml:space="preserve"> 1,78% - 3,56%, </w:t>
      </w:r>
      <w:r>
        <w:rPr>
          <w:rFonts w:ascii="Arial" w:hAnsi="Arial" w:cs="Arial"/>
        </w:rPr>
        <w:t>с</w:t>
      </w:r>
      <w:r w:rsidR="007B6BE3" w:rsidRPr="0087376B">
        <w:rPr>
          <w:rFonts w:ascii="Arial" w:hAnsi="Arial" w:cs="Arial"/>
        </w:rPr>
        <w:t xml:space="preserve"> </w:t>
      </w:r>
      <w:r>
        <w:rPr>
          <w:rFonts w:ascii="Arial" w:hAnsi="Arial" w:cs="Arial"/>
        </w:rPr>
        <w:t>тим</w:t>
      </w:r>
      <w:r w:rsidR="007B6BE3" w:rsidRPr="0087376B">
        <w:rPr>
          <w:rFonts w:ascii="Arial" w:hAnsi="Arial" w:cs="Arial"/>
        </w:rPr>
        <w:t xml:space="preserve"> </w:t>
      </w:r>
      <w:r>
        <w:rPr>
          <w:rFonts w:ascii="Arial" w:hAnsi="Arial" w:cs="Arial"/>
        </w:rPr>
        <w:t>да</w:t>
      </w:r>
      <w:r w:rsidR="007B6BE3" w:rsidRPr="0087376B">
        <w:rPr>
          <w:rFonts w:ascii="Arial" w:hAnsi="Arial" w:cs="Arial"/>
        </w:rPr>
        <w:t xml:space="preserve"> </w:t>
      </w:r>
      <w:r>
        <w:rPr>
          <w:rFonts w:ascii="Arial" w:hAnsi="Arial" w:cs="Arial"/>
        </w:rPr>
        <w:t>код</w:t>
      </w:r>
      <w:r w:rsidR="007B6BE3" w:rsidRPr="0087376B">
        <w:rPr>
          <w:rFonts w:ascii="Arial" w:hAnsi="Arial" w:cs="Arial"/>
        </w:rPr>
        <w:t xml:space="preserve"> </w:t>
      </w:r>
      <w:r>
        <w:rPr>
          <w:rFonts w:ascii="Arial" w:hAnsi="Arial" w:cs="Arial"/>
        </w:rPr>
        <w:t>префериране</w:t>
      </w:r>
      <w:r w:rsidR="007B6BE3" w:rsidRPr="0087376B">
        <w:rPr>
          <w:rFonts w:ascii="Arial" w:hAnsi="Arial" w:cs="Arial"/>
        </w:rPr>
        <w:t xml:space="preserve"> </w:t>
      </w:r>
      <w:r>
        <w:rPr>
          <w:rFonts w:ascii="Arial" w:hAnsi="Arial" w:cs="Arial"/>
        </w:rPr>
        <w:t>стратегије</w:t>
      </w:r>
      <w:r w:rsidR="007B6BE3" w:rsidRPr="0087376B">
        <w:rPr>
          <w:rFonts w:ascii="Arial" w:hAnsi="Arial" w:cs="Arial"/>
        </w:rPr>
        <w:t xml:space="preserve"> </w:t>
      </w:r>
      <w:r>
        <w:rPr>
          <w:rFonts w:ascii="Arial" w:hAnsi="Arial" w:cs="Arial"/>
        </w:rPr>
        <w:t>С</w:t>
      </w:r>
      <w:r w:rsidR="007B6BE3" w:rsidRPr="0087376B">
        <w:rPr>
          <w:rFonts w:ascii="Arial" w:hAnsi="Arial" w:cs="Arial"/>
        </w:rPr>
        <w:t xml:space="preserve">1 </w:t>
      </w:r>
      <w:r>
        <w:rPr>
          <w:rFonts w:ascii="Arial" w:hAnsi="Arial" w:cs="Arial"/>
        </w:rPr>
        <w:t>на</w:t>
      </w:r>
      <w:r w:rsidR="007B6BE3" w:rsidRPr="0087376B">
        <w:rPr>
          <w:rFonts w:ascii="Arial" w:hAnsi="Arial" w:cs="Arial"/>
        </w:rPr>
        <w:t xml:space="preserve"> </w:t>
      </w:r>
      <w:r>
        <w:rPr>
          <w:rFonts w:ascii="Arial" w:hAnsi="Arial" w:cs="Arial"/>
        </w:rPr>
        <w:t>крају</w:t>
      </w:r>
      <w:r w:rsidR="007B6BE3" w:rsidRPr="0087376B">
        <w:rPr>
          <w:rFonts w:ascii="Arial" w:hAnsi="Arial" w:cs="Arial"/>
        </w:rPr>
        <w:t xml:space="preserve"> 2025. </w:t>
      </w:r>
      <w:r>
        <w:rPr>
          <w:rFonts w:ascii="Arial" w:hAnsi="Arial" w:cs="Arial"/>
        </w:rPr>
        <w:t>године</w:t>
      </w:r>
      <w:r w:rsidR="007B6BE3" w:rsidRPr="0087376B">
        <w:rPr>
          <w:rFonts w:ascii="Arial" w:hAnsi="Arial" w:cs="Arial"/>
        </w:rPr>
        <w:t xml:space="preserve"> </w:t>
      </w:r>
      <w:r>
        <w:rPr>
          <w:rFonts w:ascii="Arial" w:hAnsi="Arial" w:cs="Arial"/>
        </w:rPr>
        <w:t>износи</w:t>
      </w:r>
      <w:r w:rsidR="007B6BE3" w:rsidRPr="0087376B">
        <w:rPr>
          <w:rFonts w:ascii="Arial" w:hAnsi="Arial" w:cs="Arial"/>
        </w:rPr>
        <w:t xml:space="preserve"> 3,02%. </w:t>
      </w:r>
    </w:p>
    <w:p w14:paraId="4C8AD8F2" w14:textId="77777777" w:rsidR="007B6BE3" w:rsidRPr="0087376B" w:rsidRDefault="007B6BE3" w:rsidP="007B6BE3">
      <w:pPr>
        <w:spacing w:after="0"/>
        <w:ind w:firstLine="426"/>
        <w:jc w:val="both"/>
        <w:rPr>
          <w:rFonts w:ascii="Arial" w:hAnsi="Arial" w:cs="Arial"/>
          <w:highlight w:val="yellow"/>
        </w:rPr>
      </w:pPr>
    </w:p>
    <w:p w14:paraId="05B18965" w14:textId="77777777" w:rsidR="007B6BE3" w:rsidRPr="0087376B" w:rsidRDefault="005B20F8" w:rsidP="007B6BE3">
      <w:pPr>
        <w:spacing w:after="0"/>
        <w:ind w:firstLine="426"/>
        <w:jc w:val="both"/>
        <w:rPr>
          <w:rFonts w:ascii="Arial" w:hAnsi="Arial" w:cs="Arial"/>
        </w:rPr>
      </w:pPr>
      <w:r>
        <w:rPr>
          <w:rFonts w:ascii="Arial" w:hAnsi="Arial" w:cs="Arial"/>
          <w:b/>
          <w:i/>
        </w:rPr>
        <w:t>Ризик</w:t>
      </w:r>
      <w:r w:rsidR="007B6BE3" w:rsidRPr="0087376B">
        <w:rPr>
          <w:rFonts w:ascii="Arial" w:hAnsi="Arial" w:cs="Arial"/>
          <w:b/>
          <w:i/>
        </w:rPr>
        <w:t xml:space="preserve"> </w:t>
      </w:r>
      <w:r>
        <w:rPr>
          <w:rFonts w:ascii="Arial" w:hAnsi="Arial" w:cs="Arial"/>
          <w:b/>
          <w:i/>
        </w:rPr>
        <w:t>рефинансирања</w:t>
      </w:r>
      <w:r w:rsidR="007B6BE3" w:rsidRPr="0087376B">
        <w:rPr>
          <w:rFonts w:ascii="Arial" w:hAnsi="Arial" w:cs="Arial"/>
        </w:rPr>
        <w:t xml:space="preserve"> – </w:t>
      </w:r>
      <w:r>
        <w:rPr>
          <w:rFonts w:ascii="Arial" w:hAnsi="Arial" w:cs="Arial"/>
        </w:rPr>
        <w:t>Износ</w:t>
      </w:r>
      <w:r w:rsidR="007B6BE3" w:rsidRPr="0087376B">
        <w:rPr>
          <w:rFonts w:ascii="Arial" w:hAnsi="Arial" w:cs="Arial"/>
        </w:rPr>
        <w:t xml:space="preserve"> </w:t>
      </w:r>
      <w:r>
        <w:rPr>
          <w:rFonts w:ascii="Arial" w:hAnsi="Arial" w:cs="Arial"/>
        </w:rPr>
        <w:t>дуга</w:t>
      </w:r>
      <w:r w:rsidR="007B6BE3" w:rsidRPr="0087376B">
        <w:rPr>
          <w:rFonts w:ascii="Arial" w:hAnsi="Arial" w:cs="Arial"/>
        </w:rPr>
        <w:t xml:space="preserve"> </w:t>
      </w:r>
      <w:r>
        <w:rPr>
          <w:rFonts w:ascii="Arial" w:hAnsi="Arial" w:cs="Arial"/>
        </w:rPr>
        <w:t>који</w:t>
      </w:r>
      <w:r w:rsidR="007B6BE3" w:rsidRPr="0087376B">
        <w:rPr>
          <w:rFonts w:ascii="Arial" w:hAnsi="Arial" w:cs="Arial"/>
        </w:rPr>
        <w:t xml:space="preserve"> </w:t>
      </w:r>
      <w:r>
        <w:rPr>
          <w:rFonts w:ascii="Arial" w:hAnsi="Arial" w:cs="Arial"/>
        </w:rPr>
        <w:t>доспијева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2025</w:t>
      </w:r>
      <w:r w:rsidR="007B6BE3">
        <w:rPr>
          <w:rFonts w:ascii="Arial" w:hAnsi="Arial" w:cs="Arial"/>
        </w:rPr>
        <w:t xml:space="preserve">. </w:t>
      </w:r>
      <w:r>
        <w:rPr>
          <w:rFonts w:ascii="Arial" w:hAnsi="Arial" w:cs="Arial"/>
        </w:rPr>
        <w:t>години</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приближно</w:t>
      </w:r>
      <w:r w:rsidR="007B6BE3" w:rsidRPr="0087376B">
        <w:rPr>
          <w:rFonts w:ascii="Arial" w:hAnsi="Arial" w:cs="Arial"/>
        </w:rPr>
        <w:t xml:space="preserve"> </w:t>
      </w:r>
      <w:r>
        <w:rPr>
          <w:rFonts w:ascii="Arial" w:hAnsi="Arial" w:cs="Arial"/>
        </w:rPr>
        <w:t>исти</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свим</w:t>
      </w:r>
      <w:r w:rsidR="007B6BE3" w:rsidRPr="0087376B">
        <w:rPr>
          <w:rFonts w:ascii="Arial" w:hAnsi="Arial" w:cs="Arial"/>
        </w:rPr>
        <w:t xml:space="preserve"> </w:t>
      </w:r>
      <w:r>
        <w:rPr>
          <w:rFonts w:ascii="Arial" w:hAnsi="Arial" w:cs="Arial"/>
        </w:rPr>
        <w:t>стратегијама</w:t>
      </w:r>
      <w:r w:rsidR="007B6BE3">
        <w:rPr>
          <w:rFonts w:ascii="Arial" w:hAnsi="Arial" w:cs="Arial"/>
        </w:rPr>
        <w:t>,</w:t>
      </w:r>
      <w:r w:rsidR="007B6BE3" w:rsidRPr="0087376B">
        <w:rPr>
          <w:rFonts w:ascii="Arial" w:hAnsi="Arial" w:cs="Arial"/>
        </w:rPr>
        <w:t xml:space="preserve"> </w:t>
      </w:r>
      <w:r>
        <w:rPr>
          <w:rFonts w:ascii="Arial" w:hAnsi="Arial" w:cs="Arial"/>
        </w:rPr>
        <w:t>али</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већи</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релативном</w:t>
      </w:r>
      <w:r w:rsidR="007B6BE3" w:rsidRPr="0087376B">
        <w:rPr>
          <w:rFonts w:ascii="Arial" w:hAnsi="Arial" w:cs="Arial"/>
        </w:rPr>
        <w:t xml:space="preserve"> </w:t>
      </w:r>
      <w:r>
        <w:rPr>
          <w:rFonts w:ascii="Arial" w:hAnsi="Arial" w:cs="Arial"/>
        </w:rPr>
        <w:t>износу</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односу</w:t>
      </w:r>
      <w:r w:rsidR="007B6BE3" w:rsidRPr="0087376B">
        <w:rPr>
          <w:rFonts w:ascii="Arial" w:hAnsi="Arial" w:cs="Arial"/>
        </w:rPr>
        <w:t xml:space="preserve"> </w:t>
      </w:r>
      <w:r>
        <w:rPr>
          <w:rFonts w:ascii="Arial" w:hAnsi="Arial" w:cs="Arial"/>
        </w:rPr>
        <w:t>почетни</w:t>
      </w:r>
      <w:r w:rsidR="007B6BE3" w:rsidRPr="0087376B">
        <w:rPr>
          <w:rFonts w:ascii="Arial" w:hAnsi="Arial" w:cs="Arial"/>
        </w:rPr>
        <w:t xml:space="preserve"> </w:t>
      </w:r>
      <w:r>
        <w:rPr>
          <w:rFonts w:ascii="Arial" w:hAnsi="Arial" w:cs="Arial"/>
        </w:rPr>
        <w:t>портфолио</w:t>
      </w:r>
      <w:r w:rsidR="007B6BE3" w:rsidRPr="0087376B">
        <w:rPr>
          <w:rFonts w:ascii="Arial" w:hAnsi="Arial" w:cs="Arial"/>
        </w:rPr>
        <w:t xml:space="preserve"> </w:t>
      </w:r>
      <w:r>
        <w:rPr>
          <w:rFonts w:ascii="Arial" w:hAnsi="Arial" w:cs="Arial"/>
        </w:rPr>
        <w:t>дуга</w:t>
      </w:r>
      <w:r w:rsidR="007B6BE3" w:rsidRPr="0087376B">
        <w:rPr>
          <w:rFonts w:ascii="Arial" w:hAnsi="Arial" w:cs="Arial"/>
        </w:rPr>
        <w:t xml:space="preserve"> </w:t>
      </w:r>
      <w:r>
        <w:rPr>
          <w:rFonts w:ascii="Arial" w:hAnsi="Arial" w:cs="Arial"/>
        </w:rPr>
        <w:t>из</w:t>
      </w:r>
      <w:r w:rsidR="007B6BE3" w:rsidRPr="0087376B">
        <w:rPr>
          <w:rFonts w:ascii="Arial" w:hAnsi="Arial" w:cs="Arial"/>
        </w:rPr>
        <w:t xml:space="preserve"> 2022. </w:t>
      </w:r>
      <w:r>
        <w:rPr>
          <w:rFonts w:ascii="Arial" w:hAnsi="Arial" w:cs="Arial"/>
        </w:rPr>
        <w:t>године</w:t>
      </w:r>
      <w:r w:rsidR="007B6BE3" w:rsidRPr="0087376B">
        <w:rPr>
          <w:rFonts w:ascii="Arial" w:hAnsi="Arial" w:cs="Arial"/>
        </w:rPr>
        <w:t xml:space="preserve"> </w:t>
      </w:r>
      <w:r>
        <w:rPr>
          <w:rFonts w:ascii="Arial" w:hAnsi="Arial" w:cs="Arial"/>
        </w:rPr>
        <w:t>када</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износио</w:t>
      </w:r>
      <w:r w:rsidR="007B6BE3" w:rsidRPr="0087376B">
        <w:rPr>
          <w:rFonts w:ascii="Arial" w:hAnsi="Arial" w:cs="Arial"/>
        </w:rPr>
        <w:t xml:space="preserve"> 12,75% </w:t>
      </w:r>
      <w:r>
        <w:rPr>
          <w:rFonts w:ascii="Arial" w:hAnsi="Arial" w:cs="Arial"/>
        </w:rPr>
        <w:t>и</w:t>
      </w:r>
      <w:r w:rsidR="007B6BE3" w:rsidRPr="0087376B">
        <w:rPr>
          <w:rFonts w:ascii="Arial" w:hAnsi="Arial" w:cs="Arial"/>
        </w:rPr>
        <w:t xml:space="preserve"> </w:t>
      </w:r>
      <w:r>
        <w:rPr>
          <w:rFonts w:ascii="Arial" w:hAnsi="Arial" w:cs="Arial"/>
        </w:rPr>
        <w:t>испод</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износа</w:t>
      </w:r>
      <w:r w:rsidR="007B6BE3" w:rsidRPr="0087376B">
        <w:rPr>
          <w:rFonts w:ascii="Arial" w:hAnsi="Arial" w:cs="Arial"/>
        </w:rPr>
        <w:t xml:space="preserve"> </w:t>
      </w:r>
      <w:r>
        <w:rPr>
          <w:rFonts w:ascii="Arial" w:hAnsi="Arial" w:cs="Arial"/>
        </w:rPr>
        <w:t>који</w:t>
      </w:r>
      <w:r w:rsidR="007B6BE3" w:rsidRPr="0087376B">
        <w:rPr>
          <w:rFonts w:ascii="Arial" w:hAnsi="Arial" w:cs="Arial"/>
        </w:rPr>
        <w:t xml:space="preserve"> </w:t>
      </w:r>
      <w:r>
        <w:rPr>
          <w:rFonts w:ascii="Arial" w:hAnsi="Arial" w:cs="Arial"/>
        </w:rPr>
        <w:t>је</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смјерницама</w:t>
      </w:r>
      <w:r w:rsidR="007B6BE3" w:rsidRPr="0087376B">
        <w:rPr>
          <w:rFonts w:ascii="Arial" w:hAnsi="Arial" w:cs="Arial"/>
        </w:rPr>
        <w:t xml:space="preserve"> </w:t>
      </w:r>
      <w:r>
        <w:rPr>
          <w:rFonts w:ascii="Arial" w:hAnsi="Arial" w:cs="Arial"/>
        </w:rPr>
        <w:t>о</w:t>
      </w:r>
      <w:r w:rsidR="007B6BE3" w:rsidRPr="0087376B">
        <w:rPr>
          <w:rFonts w:ascii="Arial" w:hAnsi="Arial" w:cs="Arial"/>
        </w:rPr>
        <w:t xml:space="preserve"> </w:t>
      </w:r>
      <w:r>
        <w:rPr>
          <w:rFonts w:ascii="Arial" w:hAnsi="Arial" w:cs="Arial"/>
        </w:rPr>
        <w:t>задуживању</w:t>
      </w:r>
      <w:r w:rsidR="007B6BE3" w:rsidRPr="0087376B">
        <w:rPr>
          <w:rFonts w:ascii="Arial" w:hAnsi="Arial" w:cs="Arial"/>
        </w:rPr>
        <w:t xml:space="preserve"> </w:t>
      </w:r>
      <w:r>
        <w:rPr>
          <w:rFonts w:ascii="Arial" w:hAnsi="Arial" w:cs="Arial"/>
        </w:rPr>
        <w:t>наведен</w:t>
      </w:r>
      <w:r w:rsidR="007B6BE3" w:rsidRPr="0087376B">
        <w:rPr>
          <w:rFonts w:ascii="Arial" w:hAnsi="Arial" w:cs="Arial"/>
        </w:rPr>
        <w:t xml:space="preserve"> </w:t>
      </w:r>
      <w:r>
        <w:rPr>
          <w:rFonts w:ascii="Arial" w:hAnsi="Arial" w:cs="Arial"/>
        </w:rPr>
        <w:t>као</w:t>
      </w:r>
      <w:r w:rsidR="007B6BE3" w:rsidRPr="0087376B">
        <w:rPr>
          <w:rFonts w:ascii="Arial" w:hAnsi="Arial" w:cs="Arial"/>
        </w:rPr>
        <w:t xml:space="preserve"> </w:t>
      </w:r>
      <w:r>
        <w:rPr>
          <w:rFonts w:ascii="Arial" w:hAnsi="Arial" w:cs="Arial"/>
        </w:rPr>
        <w:t>горња</w:t>
      </w:r>
      <w:r w:rsidR="007B6BE3" w:rsidRPr="0087376B">
        <w:rPr>
          <w:rFonts w:ascii="Arial" w:hAnsi="Arial" w:cs="Arial"/>
        </w:rPr>
        <w:t xml:space="preserve"> </w:t>
      </w:r>
      <w:r>
        <w:rPr>
          <w:rFonts w:ascii="Arial" w:hAnsi="Arial" w:cs="Arial"/>
        </w:rPr>
        <w:t>граница</w:t>
      </w:r>
      <w:r w:rsidR="007B6BE3" w:rsidRPr="0087376B">
        <w:rPr>
          <w:rFonts w:ascii="Arial" w:hAnsi="Arial" w:cs="Arial"/>
        </w:rPr>
        <w:t xml:space="preserve"> (15% </w:t>
      </w:r>
      <w:r>
        <w:rPr>
          <w:rFonts w:ascii="Arial" w:hAnsi="Arial" w:cs="Arial"/>
        </w:rPr>
        <w:t>укупног</w:t>
      </w:r>
      <w:r w:rsidR="007B6BE3" w:rsidRPr="0087376B">
        <w:rPr>
          <w:rFonts w:ascii="Arial" w:hAnsi="Arial" w:cs="Arial"/>
        </w:rPr>
        <w:t xml:space="preserve"> </w:t>
      </w:r>
      <w:r>
        <w:rPr>
          <w:rFonts w:ascii="Arial" w:hAnsi="Arial" w:cs="Arial"/>
        </w:rPr>
        <w:t>портфолија</w:t>
      </w:r>
      <w:r w:rsidR="007B6BE3" w:rsidRPr="0087376B">
        <w:rPr>
          <w:rFonts w:ascii="Arial" w:hAnsi="Arial" w:cs="Arial"/>
        </w:rPr>
        <w:t xml:space="preserve"> </w:t>
      </w:r>
      <w:r>
        <w:rPr>
          <w:rFonts w:ascii="Arial" w:hAnsi="Arial" w:cs="Arial"/>
        </w:rPr>
        <w:t>дуга</w:t>
      </w:r>
      <w:r w:rsidR="007B6BE3" w:rsidRPr="0087376B">
        <w:rPr>
          <w:rFonts w:ascii="Arial" w:hAnsi="Arial" w:cs="Arial"/>
        </w:rPr>
        <w:t xml:space="preserve">). </w:t>
      </w:r>
    </w:p>
    <w:p w14:paraId="06F09421" w14:textId="77777777" w:rsidR="007B6BE3" w:rsidRPr="0087376B" w:rsidRDefault="007B6BE3" w:rsidP="007B6BE3">
      <w:pPr>
        <w:spacing w:after="0"/>
        <w:ind w:firstLine="426"/>
        <w:jc w:val="both"/>
        <w:rPr>
          <w:rFonts w:ascii="Arial" w:hAnsi="Arial" w:cs="Arial"/>
        </w:rPr>
      </w:pPr>
    </w:p>
    <w:p w14:paraId="566F5E73" w14:textId="77777777" w:rsidR="007B6BE3" w:rsidRPr="0087376B" w:rsidRDefault="005B20F8" w:rsidP="007B6BE3">
      <w:pPr>
        <w:spacing w:after="0"/>
        <w:ind w:firstLine="426"/>
        <w:jc w:val="both"/>
        <w:rPr>
          <w:rFonts w:ascii="Arial" w:hAnsi="Arial" w:cs="Arial"/>
        </w:rPr>
      </w:pPr>
      <w:r>
        <w:rPr>
          <w:rFonts w:ascii="Arial" w:hAnsi="Arial" w:cs="Arial"/>
          <w:b/>
          <w:bCs/>
        </w:rPr>
        <w:t>Просјечно</w:t>
      </w:r>
      <w:r w:rsidR="007B6BE3" w:rsidRPr="0087376B">
        <w:rPr>
          <w:rFonts w:ascii="Arial" w:hAnsi="Arial" w:cs="Arial"/>
          <w:b/>
          <w:bCs/>
        </w:rPr>
        <w:t xml:space="preserve"> </w:t>
      </w:r>
      <w:r>
        <w:rPr>
          <w:rFonts w:ascii="Arial" w:hAnsi="Arial" w:cs="Arial"/>
          <w:b/>
          <w:bCs/>
        </w:rPr>
        <w:t>вријеме</w:t>
      </w:r>
      <w:r w:rsidR="007B6BE3" w:rsidRPr="0087376B">
        <w:rPr>
          <w:rFonts w:ascii="Arial" w:hAnsi="Arial" w:cs="Arial"/>
          <w:b/>
          <w:bCs/>
        </w:rPr>
        <w:t xml:space="preserve"> </w:t>
      </w:r>
      <w:r>
        <w:rPr>
          <w:rFonts w:ascii="Arial" w:hAnsi="Arial" w:cs="Arial"/>
          <w:b/>
          <w:bCs/>
        </w:rPr>
        <w:t>до</w:t>
      </w:r>
      <w:r w:rsidR="007B6BE3" w:rsidRPr="0087376B">
        <w:rPr>
          <w:rFonts w:ascii="Arial" w:hAnsi="Arial" w:cs="Arial"/>
          <w:b/>
          <w:bCs/>
        </w:rPr>
        <w:t xml:space="preserve"> </w:t>
      </w:r>
      <w:r w:rsidRPr="00C7294F">
        <w:rPr>
          <w:rFonts w:ascii="Arial" w:hAnsi="Arial" w:cs="Arial"/>
          <w:b/>
          <w:bCs/>
        </w:rPr>
        <w:t>доспијећа</w:t>
      </w:r>
      <w:r w:rsidR="007B6BE3" w:rsidRPr="00C7294F">
        <w:rPr>
          <w:rFonts w:ascii="Arial" w:hAnsi="Arial" w:cs="Arial"/>
          <w:b/>
          <w:bCs/>
        </w:rPr>
        <w:t xml:space="preserve"> (</w:t>
      </w:r>
      <w:r w:rsidRPr="00C7294F">
        <w:rPr>
          <w:rFonts w:ascii="Arial" w:hAnsi="Arial" w:cs="Arial"/>
          <w:b/>
          <w:bCs/>
        </w:rPr>
        <w:t>АТМ</w:t>
      </w:r>
      <w:r w:rsidR="007B6BE3" w:rsidRPr="00C7294F">
        <w:rPr>
          <w:rFonts w:ascii="Arial" w:hAnsi="Arial" w:cs="Arial"/>
          <w:b/>
          <w:bCs/>
        </w:rPr>
        <w:t>)</w:t>
      </w:r>
      <w:r w:rsidR="007B6BE3" w:rsidRPr="00C7294F">
        <w:rPr>
          <w:rFonts w:ascii="Arial" w:hAnsi="Arial" w:cs="Arial"/>
        </w:rPr>
        <w:t xml:space="preserve"> </w:t>
      </w:r>
      <w:r>
        <w:rPr>
          <w:rFonts w:ascii="Arial" w:hAnsi="Arial" w:cs="Arial"/>
        </w:rPr>
        <w:t>би</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повећало</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свим</w:t>
      </w:r>
      <w:r w:rsidR="007B6BE3" w:rsidRPr="0087376B">
        <w:rPr>
          <w:rFonts w:ascii="Arial" w:hAnsi="Arial" w:cs="Arial"/>
        </w:rPr>
        <w:t xml:space="preserve"> </w:t>
      </w:r>
      <w:r>
        <w:rPr>
          <w:rFonts w:ascii="Arial" w:hAnsi="Arial" w:cs="Arial"/>
        </w:rPr>
        <w:t>анализираним</w:t>
      </w:r>
      <w:r w:rsidR="007B6BE3" w:rsidRPr="0087376B">
        <w:rPr>
          <w:rFonts w:ascii="Arial" w:hAnsi="Arial" w:cs="Arial"/>
        </w:rPr>
        <w:t xml:space="preserve"> </w:t>
      </w:r>
      <w:r>
        <w:rPr>
          <w:rFonts w:ascii="Arial" w:hAnsi="Arial" w:cs="Arial"/>
        </w:rPr>
        <w:t>стратегијама</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било</w:t>
      </w:r>
      <w:r w:rsidR="007B6BE3" w:rsidRPr="0087376B">
        <w:rPr>
          <w:rFonts w:ascii="Arial" w:hAnsi="Arial" w:cs="Arial"/>
        </w:rPr>
        <w:t xml:space="preserve"> </w:t>
      </w:r>
      <w:r>
        <w:rPr>
          <w:rFonts w:ascii="Arial" w:hAnsi="Arial" w:cs="Arial"/>
        </w:rPr>
        <w:t>би</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складу</w:t>
      </w:r>
      <w:r w:rsidR="007B6BE3" w:rsidRPr="0087376B">
        <w:rPr>
          <w:rFonts w:ascii="Arial" w:hAnsi="Arial" w:cs="Arial"/>
        </w:rPr>
        <w:t xml:space="preserve"> </w:t>
      </w:r>
      <w:r>
        <w:rPr>
          <w:rFonts w:ascii="Arial" w:hAnsi="Arial" w:cs="Arial"/>
        </w:rPr>
        <w:t>са</w:t>
      </w:r>
      <w:r w:rsidR="007B6BE3" w:rsidRPr="0087376B">
        <w:rPr>
          <w:rFonts w:ascii="Arial" w:hAnsi="Arial" w:cs="Arial"/>
        </w:rPr>
        <w:t xml:space="preserve"> </w:t>
      </w:r>
      <w:r>
        <w:rPr>
          <w:rFonts w:ascii="Arial" w:hAnsi="Arial" w:cs="Arial"/>
        </w:rPr>
        <w:t>дефинисаним</w:t>
      </w:r>
      <w:r w:rsidR="007B6BE3" w:rsidRPr="0087376B">
        <w:rPr>
          <w:rFonts w:ascii="Arial" w:hAnsi="Arial" w:cs="Arial"/>
        </w:rPr>
        <w:t xml:space="preserve"> </w:t>
      </w:r>
      <w:r>
        <w:rPr>
          <w:rFonts w:ascii="Arial" w:hAnsi="Arial" w:cs="Arial"/>
        </w:rPr>
        <w:t>стратешким</w:t>
      </w:r>
      <w:r w:rsidR="007B6BE3" w:rsidRPr="0087376B">
        <w:rPr>
          <w:rFonts w:ascii="Arial" w:hAnsi="Arial" w:cs="Arial"/>
        </w:rPr>
        <w:t xml:space="preserve"> </w:t>
      </w:r>
      <w:r>
        <w:rPr>
          <w:rFonts w:ascii="Arial" w:hAnsi="Arial" w:cs="Arial"/>
        </w:rPr>
        <w:t>циљевима</w:t>
      </w:r>
      <w:r w:rsidR="007B6BE3" w:rsidRPr="0087376B">
        <w:rPr>
          <w:rFonts w:ascii="Arial" w:hAnsi="Arial" w:cs="Arial"/>
        </w:rPr>
        <w:t xml:space="preserve">. </w:t>
      </w:r>
      <w:r>
        <w:rPr>
          <w:rFonts w:ascii="Arial" w:hAnsi="Arial" w:cs="Arial"/>
        </w:rPr>
        <w:t>Најдуже</w:t>
      </w:r>
      <w:r w:rsidR="007B6BE3" w:rsidRPr="0087376B">
        <w:rPr>
          <w:rFonts w:ascii="Arial" w:hAnsi="Arial" w:cs="Arial"/>
        </w:rPr>
        <w:t xml:space="preserve"> </w:t>
      </w:r>
      <w:r>
        <w:rPr>
          <w:rFonts w:ascii="Arial" w:hAnsi="Arial" w:cs="Arial"/>
        </w:rPr>
        <w:t>просјечно</w:t>
      </w:r>
      <w:r w:rsidR="007B6BE3" w:rsidRPr="0087376B">
        <w:rPr>
          <w:rFonts w:ascii="Arial" w:hAnsi="Arial" w:cs="Arial"/>
        </w:rPr>
        <w:t xml:space="preserve"> </w:t>
      </w:r>
      <w:r>
        <w:rPr>
          <w:rFonts w:ascii="Arial" w:hAnsi="Arial" w:cs="Arial"/>
        </w:rPr>
        <w:t>вријеме</w:t>
      </w:r>
      <w:r w:rsidR="007B6BE3" w:rsidRPr="0087376B">
        <w:rPr>
          <w:rFonts w:ascii="Arial" w:hAnsi="Arial" w:cs="Arial"/>
        </w:rPr>
        <w:t xml:space="preserve"> </w:t>
      </w:r>
      <w:r>
        <w:rPr>
          <w:rFonts w:ascii="Arial" w:hAnsi="Arial" w:cs="Arial"/>
        </w:rPr>
        <w:t>до</w:t>
      </w:r>
      <w:r w:rsidR="007B6BE3" w:rsidRPr="0087376B">
        <w:rPr>
          <w:rFonts w:ascii="Arial" w:hAnsi="Arial" w:cs="Arial"/>
        </w:rPr>
        <w:t xml:space="preserve"> </w:t>
      </w:r>
      <w:r>
        <w:rPr>
          <w:rFonts w:ascii="Arial" w:hAnsi="Arial" w:cs="Arial"/>
        </w:rPr>
        <w:t>доспијећа</w:t>
      </w:r>
      <w:r w:rsidR="007B6BE3">
        <w:rPr>
          <w:rFonts w:ascii="Arial" w:hAnsi="Arial" w:cs="Arial"/>
        </w:rPr>
        <w:t xml:space="preserve"> </w:t>
      </w:r>
      <w:r>
        <w:rPr>
          <w:rFonts w:ascii="Arial" w:hAnsi="Arial" w:cs="Arial"/>
        </w:rPr>
        <w:t>би</w:t>
      </w:r>
      <w:r w:rsidR="007B6BE3">
        <w:rPr>
          <w:rFonts w:ascii="Arial" w:hAnsi="Arial" w:cs="Arial"/>
        </w:rPr>
        <w:t xml:space="preserve"> </w:t>
      </w:r>
      <w:r>
        <w:rPr>
          <w:rFonts w:ascii="Arial" w:hAnsi="Arial" w:cs="Arial"/>
        </w:rPr>
        <w:t>било</w:t>
      </w:r>
      <w:r w:rsidR="007B6BE3">
        <w:rPr>
          <w:rFonts w:ascii="Arial" w:hAnsi="Arial" w:cs="Arial"/>
        </w:rPr>
        <w:t xml:space="preserve"> </w:t>
      </w:r>
      <w:r>
        <w:rPr>
          <w:rFonts w:ascii="Arial" w:hAnsi="Arial" w:cs="Arial"/>
        </w:rPr>
        <w:t>у</w:t>
      </w:r>
      <w:r w:rsidR="007B6BE3">
        <w:rPr>
          <w:rFonts w:ascii="Arial" w:hAnsi="Arial" w:cs="Arial"/>
        </w:rPr>
        <w:t xml:space="preserve"> </w:t>
      </w:r>
      <w:r>
        <w:rPr>
          <w:rFonts w:ascii="Arial" w:hAnsi="Arial" w:cs="Arial"/>
        </w:rPr>
        <w:t>стратегији</w:t>
      </w:r>
      <w:r w:rsidR="007B6BE3">
        <w:rPr>
          <w:rFonts w:ascii="Arial" w:hAnsi="Arial" w:cs="Arial"/>
        </w:rPr>
        <w:t xml:space="preserve"> </w:t>
      </w:r>
      <w:r>
        <w:rPr>
          <w:rFonts w:ascii="Arial" w:hAnsi="Arial" w:cs="Arial"/>
        </w:rPr>
        <w:t>С</w:t>
      </w:r>
      <w:r w:rsidR="007B6BE3" w:rsidRPr="0087376B">
        <w:rPr>
          <w:rFonts w:ascii="Arial" w:hAnsi="Arial" w:cs="Arial"/>
        </w:rPr>
        <w:t xml:space="preserve">4 </w:t>
      </w:r>
      <w:r>
        <w:rPr>
          <w:rFonts w:ascii="Arial" w:hAnsi="Arial" w:cs="Arial"/>
        </w:rPr>
        <w:t>узимајући</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обзир</w:t>
      </w:r>
      <w:r w:rsidR="007B6BE3" w:rsidRPr="0087376B">
        <w:rPr>
          <w:rFonts w:ascii="Arial" w:hAnsi="Arial" w:cs="Arial"/>
        </w:rPr>
        <w:t xml:space="preserve"> </w:t>
      </w:r>
      <w:r>
        <w:rPr>
          <w:rFonts w:ascii="Arial" w:hAnsi="Arial" w:cs="Arial"/>
        </w:rPr>
        <w:t>коришћене</w:t>
      </w:r>
      <w:r w:rsidR="007B6BE3">
        <w:rPr>
          <w:rFonts w:ascii="Arial" w:hAnsi="Arial" w:cs="Arial"/>
        </w:rPr>
        <w:t xml:space="preserve"> </w:t>
      </w:r>
      <w:r>
        <w:rPr>
          <w:rFonts w:ascii="Arial" w:hAnsi="Arial" w:cs="Arial"/>
        </w:rPr>
        <w:t>инструменте</w:t>
      </w:r>
      <w:r w:rsidR="007B6BE3" w:rsidRPr="0087376B">
        <w:rPr>
          <w:rFonts w:ascii="Arial" w:hAnsi="Arial" w:cs="Arial"/>
        </w:rPr>
        <w:t xml:space="preserve"> </w:t>
      </w:r>
      <w:r>
        <w:rPr>
          <w:rFonts w:ascii="Arial" w:hAnsi="Arial" w:cs="Arial"/>
        </w:rPr>
        <w:t>дуга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споменутој</w:t>
      </w:r>
      <w:r w:rsidR="007B6BE3" w:rsidRPr="0087376B">
        <w:rPr>
          <w:rFonts w:ascii="Arial" w:hAnsi="Arial" w:cs="Arial"/>
        </w:rPr>
        <w:t xml:space="preserve"> </w:t>
      </w:r>
      <w:r>
        <w:rPr>
          <w:rFonts w:ascii="Arial" w:hAnsi="Arial" w:cs="Arial"/>
        </w:rPr>
        <w:t>стратегији</w:t>
      </w:r>
      <w:r w:rsidR="007B6BE3" w:rsidRPr="0087376B">
        <w:rPr>
          <w:rFonts w:ascii="Arial" w:hAnsi="Arial" w:cs="Arial"/>
        </w:rPr>
        <w:t xml:space="preserve">. </w:t>
      </w:r>
      <w:r>
        <w:rPr>
          <w:rFonts w:ascii="Arial" w:hAnsi="Arial" w:cs="Arial"/>
        </w:rPr>
        <w:t>Имплементацијом</w:t>
      </w:r>
      <w:r w:rsidR="007B6BE3" w:rsidRPr="0087376B">
        <w:rPr>
          <w:rFonts w:ascii="Arial" w:hAnsi="Arial" w:cs="Arial"/>
        </w:rPr>
        <w:t xml:space="preserve"> </w:t>
      </w:r>
      <w:r>
        <w:rPr>
          <w:rFonts w:ascii="Arial" w:hAnsi="Arial" w:cs="Arial"/>
        </w:rPr>
        <w:t>стратегије</w:t>
      </w:r>
      <w:r w:rsidR="007B6BE3" w:rsidRPr="0087376B">
        <w:rPr>
          <w:rFonts w:ascii="Arial" w:hAnsi="Arial" w:cs="Arial"/>
        </w:rPr>
        <w:t xml:space="preserve"> </w:t>
      </w:r>
      <w:r>
        <w:rPr>
          <w:rFonts w:ascii="Arial" w:hAnsi="Arial" w:cs="Arial"/>
        </w:rPr>
        <w:t>С</w:t>
      </w:r>
      <w:r w:rsidR="007B6BE3" w:rsidRPr="0087376B">
        <w:rPr>
          <w:rFonts w:ascii="Arial" w:hAnsi="Arial" w:cs="Arial"/>
        </w:rPr>
        <w:t xml:space="preserve">1 </w:t>
      </w:r>
      <w:r>
        <w:rPr>
          <w:rFonts w:ascii="Arial" w:hAnsi="Arial" w:cs="Arial"/>
        </w:rPr>
        <w:t>просјечно</w:t>
      </w:r>
      <w:r w:rsidR="007B6BE3" w:rsidRPr="0087376B">
        <w:rPr>
          <w:rFonts w:ascii="Arial" w:hAnsi="Arial" w:cs="Arial"/>
        </w:rPr>
        <w:t xml:space="preserve"> </w:t>
      </w:r>
      <w:r>
        <w:rPr>
          <w:rFonts w:ascii="Arial" w:hAnsi="Arial" w:cs="Arial"/>
        </w:rPr>
        <w:t>вријеме</w:t>
      </w:r>
      <w:r w:rsidR="007B6BE3" w:rsidRPr="0087376B">
        <w:rPr>
          <w:rFonts w:ascii="Arial" w:hAnsi="Arial" w:cs="Arial"/>
        </w:rPr>
        <w:t xml:space="preserve"> </w:t>
      </w:r>
      <w:r>
        <w:rPr>
          <w:rFonts w:ascii="Arial" w:hAnsi="Arial" w:cs="Arial"/>
        </w:rPr>
        <w:t>доспијећа</w:t>
      </w:r>
      <w:r w:rsidR="007B6BE3" w:rsidRPr="0087376B">
        <w:rPr>
          <w:rFonts w:ascii="Arial" w:hAnsi="Arial" w:cs="Arial"/>
        </w:rPr>
        <w:t xml:space="preserve"> </w:t>
      </w:r>
      <w:r>
        <w:rPr>
          <w:rFonts w:ascii="Arial" w:hAnsi="Arial" w:cs="Arial"/>
        </w:rPr>
        <w:t>портфолија</w:t>
      </w:r>
      <w:r w:rsidR="007B6BE3" w:rsidRPr="0087376B">
        <w:rPr>
          <w:rFonts w:ascii="Arial" w:hAnsi="Arial" w:cs="Arial"/>
        </w:rPr>
        <w:t xml:space="preserve"> </w:t>
      </w:r>
      <w:r>
        <w:rPr>
          <w:rFonts w:ascii="Arial" w:hAnsi="Arial" w:cs="Arial"/>
        </w:rPr>
        <w:t>дуга</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крају</w:t>
      </w:r>
      <w:r w:rsidR="007B6BE3" w:rsidRPr="0087376B">
        <w:rPr>
          <w:rFonts w:ascii="Arial" w:hAnsi="Arial" w:cs="Arial"/>
        </w:rPr>
        <w:t xml:space="preserve"> 2025. </w:t>
      </w:r>
      <w:r>
        <w:rPr>
          <w:rFonts w:ascii="Arial" w:hAnsi="Arial" w:cs="Arial"/>
        </w:rPr>
        <w:t>године</w:t>
      </w:r>
      <w:r w:rsidR="007B6BE3" w:rsidRPr="0087376B">
        <w:rPr>
          <w:rFonts w:ascii="Arial" w:hAnsi="Arial" w:cs="Arial"/>
        </w:rPr>
        <w:t xml:space="preserve"> </w:t>
      </w:r>
      <w:r>
        <w:rPr>
          <w:rFonts w:ascii="Arial" w:hAnsi="Arial" w:cs="Arial"/>
        </w:rPr>
        <w:t>би</w:t>
      </w:r>
      <w:r w:rsidR="007B6BE3" w:rsidRPr="0087376B">
        <w:rPr>
          <w:rFonts w:ascii="Arial" w:hAnsi="Arial" w:cs="Arial"/>
        </w:rPr>
        <w:t xml:space="preserve"> </w:t>
      </w:r>
      <w:r>
        <w:rPr>
          <w:rFonts w:ascii="Arial" w:hAnsi="Arial" w:cs="Arial"/>
        </w:rPr>
        <w:t>износило</w:t>
      </w:r>
      <w:r w:rsidR="007B6BE3" w:rsidRPr="0087376B">
        <w:rPr>
          <w:rFonts w:ascii="Arial" w:hAnsi="Arial" w:cs="Arial"/>
        </w:rPr>
        <w:t xml:space="preserve"> 6,4 </w:t>
      </w:r>
      <w:r>
        <w:rPr>
          <w:rFonts w:ascii="Arial" w:hAnsi="Arial" w:cs="Arial"/>
        </w:rPr>
        <w:t>година</w:t>
      </w:r>
      <w:r w:rsidR="007B6BE3" w:rsidRPr="0087376B">
        <w:rPr>
          <w:rFonts w:ascii="Arial" w:hAnsi="Arial" w:cs="Arial"/>
        </w:rPr>
        <w:t xml:space="preserve">. </w:t>
      </w:r>
    </w:p>
    <w:p w14:paraId="09873EEB" w14:textId="77777777" w:rsidR="007B6BE3" w:rsidRPr="0087376B" w:rsidRDefault="007B6BE3" w:rsidP="007B6BE3">
      <w:pPr>
        <w:spacing w:after="0"/>
        <w:ind w:firstLine="426"/>
        <w:jc w:val="both"/>
        <w:rPr>
          <w:rFonts w:ascii="Arial" w:hAnsi="Arial" w:cs="Arial"/>
          <w:highlight w:val="yellow"/>
        </w:rPr>
      </w:pPr>
    </w:p>
    <w:p w14:paraId="24856862" w14:textId="77777777" w:rsidR="007B6BE3" w:rsidRPr="0087376B" w:rsidRDefault="005B20F8" w:rsidP="007B6BE3">
      <w:pPr>
        <w:spacing w:after="0"/>
        <w:ind w:firstLine="426"/>
        <w:jc w:val="both"/>
        <w:rPr>
          <w:rFonts w:ascii="Arial" w:hAnsi="Arial" w:cs="Arial"/>
        </w:rPr>
      </w:pPr>
      <w:r>
        <w:rPr>
          <w:rFonts w:ascii="Arial" w:hAnsi="Arial" w:cs="Arial"/>
          <w:b/>
          <w:i/>
        </w:rPr>
        <w:t>Каматни</w:t>
      </w:r>
      <w:r w:rsidR="007B6BE3" w:rsidRPr="0087376B">
        <w:rPr>
          <w:rFonts w:ascii="Arial" w:hAnsi="Arial" w:cs="Arial"/>
          <w:b/>
          <w:i/>
        </w:rPr>
        <w:t xml:space="preserve"> </w:t>
      </w:r>
      <w:r>
        <w:rPr>
          <w:rFonts w:ascii="Arial" w:hAnsi="Arial" w:cs="Arial"/>
          <w:b/>
          <w:i/>
        </w:rPr>
        <w:t>ризик</w:t>
      </w:r>
      <w:r w:rsidR="007B6BE3" w:rsidRPr="0087376B">
        <w:rPr>
          <w:rFonts w:ascii="Arial" w:hAnsi="Arial" w:cs="Arial"/>
        </w:rPr>
        <w:t xml:space="preserve"> – </w:t>
      </w:r>
      <w:r>
        <w:rPr>
          <w:rFonts w:ascii="Arial" w:hAnsi="Arial" w:cs="Arial"/>
        </w:rPr>
        <w:t>Просјечно</w:t>
      </w:r>
      <w:r w:rsidR="007B6BE3" w:rsidRPr="0087376B">
        <w:rPr>
          <w:rFonts w:ascii="Arial" w:hAnsi="Arial" w:cs="Arial"/>
        </w:rPr>
        <w:t xml:space="preserve"> </w:t>
      </w:r>
      <w:r>
        <w:rPr>
          <w:rFonts w:ascii="Arial" w:hAnsi="Arial" w:cs="Arial"/>
        </w:rPr>
        <w:t>вријеме</w:t>
      </w:r>
      <w:r w:rsidR="007B6BE3" w:rsidRPr="0087376B">
        <w:rPr>
          <w:rFonts w:ascii="Arial" w:hAnsi="Arial" w:cs="Arial"/>
        </w:rPr>
        <w:t xml:space="preserve"> </w:t>
      </w:r>
      <w:r>
        <w:rPr>
          <w:rFonts w:ascii="Arial" w:hAnsi="Arial" w:cs="Arial"/>
        </w:rPr>
        <w:t>рефиксирања</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повећава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преферираној</w:t>
      </w:r>
      <w:r w:rsidR="007B6BE3" w:rsidRPr="0087376B">
        <w:rPr>
          <w:rFonts w:ascii="Arial" w:hAnsi="Arial" w:cs="Arial"/>
        </w:rPr>
        <w:t xml:space="preserve"> </w:t>
      </w:r>
      <w:r>
        <w:rPr>
          <w:rFonts w:ascii="Arial" w:hAnsi="Arial" w:cs="Arial"/>
        </w:rPr>
        <w:t>стратегији</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износи</w:t>
      </w:r>
      <w:r w:rsidR="007B6BE3" w:rsidRPr="0087376B">
        <w:rPr>
          <w:rFonts w:ascii="Arial" w:hAnsi="Arial" w:cs="Arial"/>
        </w:rPr>
        <w:t xml:space="preserve"> 4,75 </w:t>
      </w:r>
      <w:r>
        <w:rPr>
          <w:rFonts w:ascii="Arial" w:hAnsi="Arial" w:cs="Arial"/>
        </w:rPr>
        <w:t>година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односу</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тренутно</w:t>
      </w:r>
      <w:r w:rsidR="007B6BE3" w:rsidRPr="0087376B">
        <w:rPr>
          <w:rFonts w:ascii="Arial" w:hAnsi="Arial" w:cs="Arial"/>
        </w:rPr>
        <w:t xml:space="preserve"> </w:t>
      </w:r>
      <w:r>
        <w:rPr>
          <w:rFonts w:ascii="Arial" w:hAnsi="Arial" w:cs="Arial"/>
        </w:rPr>
        <w:t>вријеме</w:t>
      </w:r>
      <w:r w:rsidR="007B6BE3" w:rsidRPr="0087376B">
        <w:rPr>
          <w:rFonts w:ascii="Arial" w:hAnsi="Arial" w:cs="Arial"/>
        </w:rPr>
        <w:t xml:space="preserve"> </w:t>
      </w:r>
      <w:r>
        <w:rPr>
          <w:rFonts w:ascii="Arial" w:hAnsi="Arial" w:cs="Arial"/>
        </w:rPr>
        <w:t>рефиксирања</w:t>
      </w:r>
      <w:r w:rsidR="007B6BE3" w:rsidRPr="0087376B">
        <w:rPr>
          <w:rFonts w:ascii="Arial" w:hAnsi="Arial" w:cs="Arial"/>
        </w:rPr>
        <w:t xml:space="preserve"> </w:t>
      </w:r>
      <w:r>
        <w:rPr>
          <w:rFonts w:ascii="Arial" w:hAnsi="Arial" w:cs="Arial"/>
        </w:rPr>
        <w:t>од</w:t>
      </w:r>
      <w:r w:rsidR="007B6BE3" w:rsidRPr="0087376B">
        <w:rPr>
          <w:rFonts w:ascii="Arial" w:hAnsi="Arial" w:cs="Arial"/>
        </w:rPr>
        <w:t xml:space="preserve"> 4,24 </w:t>
      </w:r>
      <w:r>
        <w:rPr>
          <w:rFonts w:ascii="Arial" w:hAnsi="Arial" w:cs="Arial"/>
        </w:rPr>
        <w:t>године</w:t>
      </w:r>
      <w:r w:rsidR="007B6BE3" w:rsidRPr="0087376B">
        <w:rPr>
          <w:rFonts w:ascii="Arial" w:hAnsi="Arial" w:cs="Arial"/>
        </w:rPr>
        <w:t xml:space="preserve">. </w:t>
      </w:r>
      <w:r>
        <w:rPr>
          <w:rFonts w:ascii="Arial" w:hAnsi="Arial" w:cs="Arial"/>
        </w:rPr>
        <w:t>Учешће</w:t>
      </w:r>
      <w:r w:rsidR="007B6BE3" w:rsidRPr="0087376B">
        <w:rPr>
          <w:rFonts w:ascii="Arial" w:hAnsi="Arial" w:cs="Arial"/>
        </w:rPr>
        <w:t xml:space="preserve"> </w:t>
      </w:r>
      <w:r>
        <w:rPr>
          <w:rFonts w:ascii="Arial" w:hAnsi="Arial" w:cs="Arial"/>
        </w:rPr>
        <w:t>дуга</w:t>
      </w:r>
      <w:r w:rsidR="007B6BE3" w:rsidRPr="0087376B">
        <w:rPr>
          <w:rFonts w:ascii="Arial" w:hAnsi="Arial" w:cs="Arial"/>
        </w:rPr>
        <w:t xml:space="preserve"> </w:t>
      </w:r>
      <w:r>
        <w:rPr>
          <w:rFonts w:ascii="Arial" w:hAnsi="Arial" w:cs="Arial"/>
        </w:rPr>
        <w:t>са</w:t>
      </w:r>
      <w:r w:rsidR="007B6BE3" w:rsidRPr="0087376B">
        <w:rPr>
          <w:rFonts w:ascii="Arial" w:hAnsi="Arial" w:cs="Arial"/>
        </w:rPr>
        <w:t xml:space="preserve"> </w:t>
      </w:r>
      <w:r>
        <w:rPr>
          <w:rFonts w:ascii="Arial" w:hAnsi="Arial" w:cs="Arial"/>
        </w:rPr>
        <w:t>фиксним</w:t>
      </w:r>
      <w:r w:rsidR="007B6BE3" w:rsidRPr="0087376B">
        <w:rPr>
          <w:rFonts w:ascii="Arial" w:hAnsi="Arial" w:cs="Arial"/>
        </w:rPr>
        <w:t xml:space="preserve"> </w:t>
      </w:r>
      <w:r>
        <w:rPr>
          <w:rFonts w:ascii="Arial" w:hAnsi="Arial" w:cs="Arial"/>
        </w:rPr>
        <w:t>каматним</w:t>
      </w:r>
      <w:r w:rsidR="007B6BE3" w:rsidRPr="0087376B">
        <w:rPr>
          <w:rFonts w:ascii="Arial" w:hAnsi="Arial" w:cs="Arial"/>
        </w:rPr>
        <w:t xml:space="preserve"> </w:t>
      </w:r>
      <w:r>
        <w:rPr>
          <w:rFonts w:ascii="Arial" w:hAnsi="Arial" w:cs="Arial"/>
        </w:rPr>
        <w:t>стопама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преферираној</w:t>
      </w:r>
      <w:r w:rsidR="007B6BE3" w:rsidRPr="0087376B">
        <w:rPr>
          <w:rFonts w:ascii="Arial" w:hAnsi="Arial" w:cs="Arial"/>
        </w:rPr>
        <w:t xml:space="preserve"> </w:t>
      </w:r>
      <w:r>
        <w:rPr>
          <w:rFonts w:ascii="Arial" w:hAnsi="Arial" w:cs="Arial"/>
        </w:rPr>
        <w:t>стратегији</w:t>
      </w:r>
      <w:r w:rsidR="007B6BE3" w:rsidRPr="0087376B">
        <w:rPr>
          <w:rFonts w:ascii="Arial" w:hAnsi="Arial" w:cs="Arial"/>
        </w:rPr>
        <w:t xml:space="preserve"> </w:t>
      </w:r>
      <w:r>
        <w:rPr>
          <w:rFonts w:ascii="Arial" w:hAnsi="Arial" w:cs="Arial"/>
        </w:rPr>
        <w:t>би</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повећало</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lastRenderedPageBreak/>
        <w:t>односу</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w:t>
      </w:r>
      <w:r>
        <w:rPr>
          <w:rFonts w:ascii="Arial" w:hAnsi="Arial" w:cs="Arial"/>
        </w:rPr>
        <w:t>почетни</w:t>
      </w:r>
      <w:r w:rsidR="007B6BE3" w:rsidRPr="0087376B">
        <w:rPr>
          <w:rFonts w:ascii="Arial" w:hAnsi="Arial" w:cs="Arial"/>
        </w:rPr>
        <w:t xml:space="preserve"> </w:t>
      </w:r>
      <w:r>
        <w:rPr>
          <w:rFonts w:ascii="Arial" w:hAnsi="Arial" w:cs="Arial"/>
        </w:rPr>
        <w:t>портфолио</w:t>
      </w:r>
      <w:r w:rsidR="007B6BE3" w:rsidRPr="0087376B">
        <w:rPr>
          <w:rFonts w:ascii="Arial" w:hAnsi="Arial" w:cs="Arial"/>
        </w:rPr>
        <w:t xml:space="preserve"> </w:t>
      </w:r>
      <w:r>
        <w:rPr>
          <w:rFonts w:ascii="Arial" w:hAnsi="Arial" w:cs="Arial"/>
        </w:rPr>
        <w:t>дуга</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износило</w:t>
      </w:r>
      <w:r w:rsidR="007B6BE3" w:rsidRPr="0087376B">
        <w:rPr>
          <w:rFonts w:ascii="Arial" w:hAnsi="Arial" w:cs="Arial"/>
        </w:rPr>
        <w:t xml:space="preserve"> </w:t>
      </w:r>
      <w:r>
        <w:rPr>
          <w:rFonts w:ascii="Arial" w:hAnsi="Arial" w:cs="Arial"/>
        </w:rPr>
        <w:t>би</w:t>
      </w:r>
      <w:r w:rsidR="007B6BE3" w:rsidRPr="0087376B">
        <w:rPr>
          <w:rFonts w:ascii="Arial" w:hAnsi="Arial" w:cs="Arial"/>
        </w:rPr>
        <w:t xml:space="preserve"> 72% </w:t>
      </w:r>
      <w:r>
        <w:rPr>
          <w:rFonts w:ascii="Arial" w:hAnsi="Arial" w:cs="Arial"/>
        </w:rPr>
        <w:t>као</w:t>
      </w:r>
      <w:r w:rsidR="007B6BE3" w:rsidRPr="0087376B">
        <w:rPr>
          <w:rFonts w:ascii="Arial" w:hAnsi="Arial" w:cs="Arial"/>
        </w:rPr>
        <w:t xml:space="preserve"> </w:t>
      </w:r>
      <w:r>
        <w:rPr>
          <w:rFonts w:ascii="Arial" w:hAnsi="Arial" w:cs="Arial"/>
        </w:rPr>
        <w:t>и</w:t>
      </w:r>
      <w:r w:rsidR="007B6BE3" w:rsidRPr="0087376B">
        <w:rPr>
          <w:rFonts w:ascii="Arial" w:hAnsi="Arial" w:cs="Arial"/>
        </w:rPr>
        <w:t xml:space="preserve"> </w:t>
      </w:r>
      <w:r>
        <w:rPr>
          <w:rFonts w:ascii="Arial" w:hAnsi="Arial" w:cs="Arial"/>
        </w:rPr>
        <w:t>учешће</w:t>
      </w:r>
      <w:r w:rsidR="007B6BE3" w:rsidRPr="0087376B">
        <w:rPr>
          <w:rFonts w:ascii="Arial" w:hAnsi="Arial" w:cs="Arial"/>
        </w:rPr>
        <w:t xml:space="preserve"> </w:t>
      </w:r>
      <w:r>
        <w:rPr>
          <w:rFonts w:ascii="Arial" w:hAnsi="Arial" w:cs="Arial"/>
        </w:rPr>
        <w:t>трезорских</w:t>
      </w:r>
      <w:r w:rsidR="007B6BE3" w:rsidRPr="0087376B">
        <w:rPr>
          <w:rFonts w:ascii="Arial" w:hAnsi="Arial" w:cs="Arial"/>
        </w:rPr>
        <w:t xml:space="preserve"> </w:t>
      </w:r>
      <w:r>
        <w:rPr>
          <w:rFonts w:ascii="Arial" w:hAnsi="Arial" w:cs="Arial"/>
        </w:rPr>
        <w:t>записа</w:t>
      </w:r>
      <w:r w:rsidR="007B6BE3" w:rsidRPr="0087376B">
        <w:rPr>
          <w:rFonts w:ascii="Arial" w:hAnsi="Arial" w:cs="Arial"/>
        </w:rPr>
        <w:t xml:space="preserve"> </w:t>
      </w:r>
      <w:r>
        <w:rPr>
          <w:rFonts w:ascii="Arial" w:hAnsi="Arial" w:cs="Arial"/>
        </w:rPr>
        <w:t>које</w:t>
      </w:r>
      <w:r w:rsidR="007B6BE3" w:rsidRPr="0087376B">
        <w:rPr>
          <w:rFonts w:ascii="Arial" w:hAnsi="Arial" w:cs="Arial"/>
        </w:rPr>
        <w:t xml:space="preserve"> </w:t>
      </w:r>
      <w:r>
        <w:rPr>
          <w:rFonts w:ascii="Arial" w:hAnsi="Arial" w:cs="Arial"/>
        </w:rPr>
        <w:t>би</w:t>
      </w:r>
      <w:r w:rsidR="007B6BE3" w:rsidRPr="0087376B">
        <w:rPr>
          <w:rFonts w:ascii="Arial" w:hAnsi="Arial" w:cs="Arial"/>
        </w:rPr>
        <w:t xml:space="preserve"> </w:t>
      </w:r>
      <w:r>
        <w:rPr>
          <w:rFonts w:ascii="Arial" w:hAnsi="Arial" w:cs="Arial"/>
        </w:rPr>
        <w:t>се</w:t>
      </w:r>
      <w:r w:rsidR="007B6BE3" w:rsidRPr="0087376B">
        <w:rPr>
          <w:rFonts w:ascii="Arial" w:hAnsi="Arial" w:cs="Arial"/>
        </w:rPr>
        <w:t xml:space="preserve"> </w:t>
      </w:r>
      <w:r>
        <w:rPr>
          <w:rFonts w:ascii="Arial" w:hAnsi="Arial" w:cs="Arial"/>
        </w:rPr>
        <w:t>повећало</w:t>
      </w:r>
      <w:r w:rsidR="007B6BE3" w:rsidRPr="0087376B">
        <w:rPr>
          <w:rFonts w:ascii="Arial" w:hAnsi="Arial" w:cs="Arial"/>
        </w:rPr>
        <w:t xml:space="preserve"> </w:t>
      </w:r>
      <w:r>
        <w:rPr>
          <w:rFonts w:ascii="Arial" w:hAnsi="Arial" w:cs="Arial"/>
        </w:rPr>
        <w:t>на</w:t>
      </w:r>
      <w:r w:rsidR="007B6BE3" w:rsidRPr="0087376B">
        <w:rPr>
          <w:rFonts w:ascii="Arial" w:hAnsi="Arial" w:cs="Arial"/>
        </w:rPr>
        <w:t xml:space="preserve"> 4,33%. </w:t>
      </w:r>
      <w:r>
        <w:rPr>
          <w:rFonts w:ascii="Arial" w:hAnsi="Arial" w:cs="Arial"/>
        </w:rPr>
        <w:t>Стратегија</w:t>
      </w:r>
      <w:r w:rsidR="007B6BE3" w:rsidRPr="0087376B">
        <w:rPr>
          <w:rFonts w:ascii="Arial" w:hAnsi="Arial" w:cs="Arial"/>
        </w:rPr>
        <w:t xml:space="preserve"> </w:t>
      </w:r>
      <w:r>
        <w:rPr>
          <w:rFonts w:ascii="Arial" w:hAnsi="Arial" w:cs="Arial"/>
        </w:rPr>
        <w:t>С</w:t>
      </w:r>
      <w:r w:rsidR="007B6BE3" w:rsidRPr="0087376B">
        <w:rPr>
          <w:rFonts w:ascii="Arial" w:hAnsi="Arial" w:cs="Arial"/>
        </w:rPr>
        <w:t xml:space="preserve">4 </w:t>
      </w:r>
      <w:r>
        <w:rPr>
          <w:rFonts w:ascii="Arial" w:hAnsi="Arial" w:cs="Arial"/>
        </w:rPr>
        <w:t>која</w:t>
      </w:r>
      <w:r w:rsidR="007B6BE3" w:rsidRPr="0087376B">
        <w:rPr>
          <w:rFonts w:ascii="Arial" w:hAnsi="Arial" w:cs="Arial"/>
        </w:rPr>
        <w:t xml:space="preserve"> </w:t>
      </w:r>
      <w:r>
        <w:rPr>
          <w:rFonts w:ascii="Arial" w:hAnsi="Arial" w:cs="Arial"/>
        </w:rPr>
        <w:t>узима</w:t>
      </w:r>
      <w:r w:rsidR="007B6BE3" w:rsidRPr="0087376B">
        <w:rPr>
          <w:rFonts w:ascii="Arial" w:hAnsi="Arial" w:cs="Arial"/>
        </w:rPr>
        <w:t xml:space="preserve"> </w:t>
      </w:r>
      <w:r>
        <w:rPr>
          <w:rFonts w:ascii="Arial" w:hAnsi="Arial" w:cs="Arial"/>
        </w:rPr>
        <w:t>у</w:t>
      </w:r>
      <w:r w:rsidR="007B6BE3" w:rsidRPr="0087376B">
        <w:rPr>
          <w:rFonts w:ascii="Arial" w:hAnsi="Arial" w:cs="Arial"/>
        </w:rPr>
        <w:t xml:space="preserve"> </w:t>
      </w:r>
      <w:r>
        <w:rPr>
          <w:rFonts w:ascii="Arial" w:hAnsi="Arial" w:cs="Arial"/>
        </w:rPr>
        <w:t>обзир</w:t>
      </w:r>
      <w:r w:rsidR="007B6BE3" w:rsidRPr="0087376B">
        <w:rPr>
          <w:rFonts w:ascii="Arial" w:hAnsi="Arial" w:cs="Arial"/>
        </w:rPr>
        <w:t xml:space="preserve"> </w:t>
      </w:r>
      <w:r>
        <w:rPr>
          <w:rFonts w:ascii="Arial" w:hAnsi="Arial" w:cs="Arial"/>
        </w:rPr>
        <w:t>задуживање</w:t>
      </w:r>
      <w:r w:rsidR="007B6BE3" w:rsidRPr="0087376B">
        <w:rPr>
          <w:rFonts w:ascii="Arial" w:hAnsi="Arial" w:cs="Arial"/>
        </w:rPr>
        <w:t xml:space="preserve"> </w:t>
      </w:r>
      <w:r>
        <w:rPr>
          <w:rFonts w:ascii="Arial" w:hAnsi="Arial" w:cs="Arial"/>
        </w:rPr>
        <w:t>емисијама</w:t>
      </w:r>
      <w:r w:rsidR="007B6BE3" w:rsidRPr="0087376B">
        <w:rPr>
          <w:rFonts w:ascii="Arial" w:hAnsi="Arial" w:cs="Arial"/>
        </w:rPr>
        <w:t xml:space="preserve"> </w:t>
      </w:r>
      <w:r>
        <w:rPr>
          <w:rFonts w:ascii="Arial" w:hAnsi="Arial" w:cs="Arial"/>
        </w:rPr>
        <w:t>еурообвезница</w:t>
      </w:r>
      <w:r w:rsidR="007B6BE3" w:rsidRPr="0087376B">
        <w:rPr>
          <w:rFonts w:ascii="Arial" w:hAnsi="Arial" w:cs="Arial"/>
        </w:rPr>
        <w:t xml:space="preserve"> </w:t>
      </w:r>
      <w:r>
        <w:rPr>
          <w:rFonts w:ascii="Arial" w:hAnsi="Arial" w:cs="Arial"/>
        </w:rPr>
        <w:t>по</w:t>
      </w:r>
      <w:r w:rsidR="007B6BE3" w:rsidRPr="0087376B">
        <w:rPr>
          <w:rFonts w:ascii="Arial" w:hAnsi="Arial" w:cs="Arial"/>
        </w:rPr>
        <w:t xml:space="preserve"> </w:t>
      </w:r>
      <w:r>
        <w:rPr>
          <w:rFonts w:ascii="Arial" w:hAnsi="Arial" w:cs="Arial"/>
        </w:rPr>
        <w:t>фиксним</w:t>
      </w:r>
      <w:r w:rsidR="007B6BE3" w:rsidRPr="0087376B">
        <w:rPr>
          <w:rFonts w:ascii="Arial" w:hAnsi="Arial" w:cs="Arial"/>
        </w:rPr>
        <w:t xml:space="preserve"> </w:t>
      </w:r>
      <w:r>
        <w:rPr>
          <w:rFonts w:ascii="Arial" w:hAnsi="Arial" w:cs="Arial"/>
        </w:rPr>
        <w:t>каматним</w:t>
      </w:r>
      <w:r w:rsidR="007B6BE3" w:rsidRPr="0087376B">
        <w:rPr>
          <w:rFonts w:ascii="Arial" w:hAnsi="Arial" w:cs="Arial"/>
        </w:rPr>
        <w:t xml:space="preserve"> </w:t>
      </w:r>
      <w:r>
        <w:rPr>
          <w:rFonts w:ascii="Arial" w:hAnsi="Arial" w:cs="Arial"/>
        </w:rPr>
        <w:t>стопама</w:t>
      </w:r>
      <w:r w:rsidR="007B6BE3" w:rsidRPr="0087376B">
        <w:rPr>
          <w:rFonts w:ascii="Arial" w:hAnsi="Arial" w:cs="Arial"/>
        </w:rPr>
        <w:t xml:space="preserve"> </w:t>
      </w:r>
      <w:r>
        <w:rPr>
          <w:rFonts w:ascii="Arial" w:hAnsi="Arial" w:cs="Arial"/>
        </w:rPr>
        <w:t>имају</w:t>
      </w:r>
      <w:r w:rsidR="007B6BE3" w:rsidRPr="0087376B">
        <w:rPr>
          <w:rFonts w:ascii="Arial" w:hAnsi="Arial" w:cs="Arial"/>
        </w:rPr>
        <w:t xml:space="preserve"> </w:t>
      </w:r>
      <w:r>
        <w:rPr>
          <w:rFonts w:ascii="Arial" w:hAnsi="Arial" w:cs="Arial"/>
        </w:rPr>
        <w:t>знатно</w:t>
      </w:r>
      <w:r w:rsidR="007B6BE3" w:rsidRPr="0087376B">
        <w:rPr>
          <w:rFonts w:ascii="Arial" w:hAnsi="Arial" w:cs="Arial"/>
        </w:rPr>
        <w:t xml:space="preserve"> </w:t>
      </w:r>
      <w:r w:rsidRPr="00C7294F">
        <w:rPr>
          <w:rFonts w:ascii="Arial" w:hAnsi="Arial" w:cs="Arial"/>
        </w:rPr>
        <w:t>повољнији</w:t>
      </w:r>
      <w:r w:rsidR="007B6BE3" w:rsidRPr="00C7294F">
        <w:rPr>
          <w:rFonts w:ascii="Arial" w:hAnsi="Arial" w:cs="Arial"/>
        </w:rPr>
        <w:t xml:space="preserve"> </w:t>
      </w:r>
      <w:r w:rsidRPr="00C7294F">
        <w:rPr>
          <w:rFonts w:ascii="Arial" w:hAnsi="Arial" w:cs="Arial"/>
        </w:rPr>
        <w:t>АТ</w:t>
      </w:r>
      <w:r w:rsidR="00C7294F" w:rsidRPr="00C7294F">
        <w:rPr>
          <w:rFonts w:ascii="Arial" w:hAnsi="Arial" w:cs="Arial"/>
        </w:rPr>
        <w:t>R</w:t>
      </w:r>
      <w:r w:rsidR="007B6BE3" w:rsidRPr="00C7294F">
        <w:rPr>
          <w:rFonts w:ascii="Arial" w:hAnsi="Arial" w:cs="Arial"/>
        </w:rPr>
        <w:t xml:space="preserve"> </w:t>
      </w:r>
      <w:r w:rsidRPr="00C7294F">
        <w:rPr>
          <w:rFonts w:ascii="Arial" w:hAnsi="Arial" w:cs="Arial"/>
        </w:rPr>
        <w:t>који</w:t>
      </w:r>
      <w:r w:rsidR="007B6BE3" w:rsidRPr="00C7294F">
        <w:rPr>
          <w:rFonts w:ascii="Arial" w:hAnsi="Arial" w:cs="Arial"/>
        </w:rPr>
        <w:t xml:space="preserve"> </w:t>
      </w:r>
      <w:r>
        <w:rPr>
          <w:rFonts w:ascii="Arial" w:hAnsi="Arial" w:cs="Arial"/>
        </w:rPr>
        <w:t>износи</w:t>
      </w:r>
      <w:r w:rsidR="007B6BE3" w:rsidRPr="0087376B">
        <w:rPr>
          <w:rFonts w:ascii="Arial" w:hAnsi="Arial" w:cs="Arial"/>
        </w:rPr>
        <w:t xml:space="preserve"> 6,32 </w:t>
      </w:r>
      <w:r>
        <w:rPr>
          <w:rFonts w:ascii="Arial" w:hAnsi="Arial" w:cs="Arial"/>
        </w:rPr>
        <w:t>година</w:t>
      </w:r>
      <w:r w:rsidR="007B6BE3" w:rsidRPr="0087376B">
        <w:rPr>
          <w:rFonts w:ascii="Arial" w:hAnsi="Arial" w:cs="Arial"/>
        </w:rPr>
        <w:t>.</w:t>
      </w:r>
    </w:p>
    <w:p w14:paraId="2D02351F" w14:textId="77777777" w:rsidR="007B6BE3" w:rsidRPr="0087376B" w:rsidRDefault="007B6BE3" w:rsidP="007B6BE3">
      <w:pPr>
        <w:spacing w:after="0"/>
        <w:ind w:firstLine="425"/>
        <w:jc w:val="both"/>
        <w:rPr>
          <w:rFonts w:ascii="Arial" w:hAnsi="Arial" w:cs="Arial"/>
          <w:highlight w:val="yellow"/>
        </w:rPr>
      </w:pPr>
    </w:p>
    <w:p w14:paraId="48BC9E9C" w14:textId="77777777" w:rsidR="007B6BE3" w:rsidRPr="0087376B" w:rsidRDefault="007B6BE3" w:rsidP="007B6BE3">
      <w:pPr>
        <w:spacing w:after="0"/>
        <w:ind w:firstLine="425"/>
        <w:jc w:val="both"/>
        <w:rPr>
          <w:rFonts w:ascii="Arial" w:hAnsi="Arial" w:cs="Arial"/>
          <w:iCs/>
        </w:rPr>
      </w:pPr>
      <w:r w:rsidRPr="0087376B">
        <w:rPr>
          <w:rFonts w:ascii="Arial" w:hAnsi="Arial" w:cs="Arial"/>
          <w:iCs/>
        </w:rPr>
        <w:t xml:space="preserve"> </w:t>
      </w:r>
      <w:r w:rsidR="005B20F8">
        <w:rPr>
          <w:rFonts w:ascii="Arial" w:hAnsi="Arial" w:cs="Arial"/>
          <w:iCs/>
        </w:rPr>
        <w:t>Влада</w:t>
      </w:r>
      <w:r w:rsidRPr="0087376B">
        <w:rPr>
          <w:rFonts w:ascii="Arial" w:hAnsi="Arial" w:cs="Arial"/>
          <w:iCs/>
        </w:rPr>
        <w:t xml:space="preserve"> </w:t>
      </w:r>
      <w:r w:rsidR="005B20F8">
        <w:rPr>
          <w:rFonts w:ascii="Arial" w:hAnsi="Arial" w:cs="Arial"/>
          <w:iCs/>
        </w:rPr>
        <w:t>Федерације</w:t>
      </w:r>
      <w:r w:rsidRPr="0087376B">
        <w:rPr>
          <w:rFonts w:ascii="Arial" w:hAnsi="Arial" w:cs="Arial"/>
          <w:iCs/>
        </w:rPr>
        <w:t xml:space="preserve"> </w:t>
      </w:r>
      <w:r w:rsidR="005B20F8">
        <w:rPr>
          <w:rFonts w:ascii="Arial" w:hAnsi="Arial" w:cs="Arial"/>
          <w:iCs/>
        </w:rPr>
        <w:t>БиХ</w:t>
      </w:r>
      <w:r w:rsidRPr="0087376B">
        <w:rPr>
          <w:rFonts w:ascii="Arial" w:hAnsi="Arial" w:cs="Arial"/>
          <w:iCs/>
        </w:rPr>
        <w:t xml:space="preserve"> </w:t>
      </w:r>
      <w:r w:rsidR="005B20F8">
        <w:rPr>
          <w:rFonts w:ascii="Arial" w:hAnsi="Arial" w:cs="Arial"/>
          <w:iCs/>
        </w:rPr>
        <w:t>је</w:t>
      </w:r>
      <w:r w:rsidRPr="0087376B">
        <w:rPr>
          <w:rFonts w:ascii="Arial" w:hAnsi="Arial" w:cs="Arial"/>
          <w:iCs/>
        </w:rPr>
        <w:t xml:space="preserve"> </w:t>
      </w:r>
      <w:r w:rsidR="005B20F8">
        <w:rPr>
          <w:rFonts w:ascii="Arial" w:hAnsi="Arial" w:cs="Arial"/>
          <w:iCs/>
        </w:rPr>
        <w:t>изабрала</w:t>
      </w:r>
      <w:r w:rsidRPr="0087376B">
        <w:rPr>
          <w:rFonts w:ascii="Arial" w:hAnsi="Arial" w:cs="Arial"/>
          <w:b/>
          <w:iCs/>
        </w:rPr>
        <w:t xml:space="preserve"> </w:t>
      </w:r>
      <w:r w:rsidR="005B20F8">
        <w:rPr>
          <w:rFonts w:ascii="Arial" w:hAnsi="Arial" w:cs="Arial"/>
          <w:b/>
          <w:iCs/>
        </w:rPr>
        <w:t>Стратегију</w:t>
      </w:r>
      <w:r w:rsidRPr="0087376B">
        <w:rPr>
          <w:rFonts w:ascii="Arial" w:hAnsi="Arial" w:cs="Arial"/>
          <w:b/>
          <w:iCs/>
        </w:rPr>
        <w:t xml:space="preserve"> </w:t>
      </w:r>
      <w:r w:rsidR="005B20F8">
        <w:rPr>
          <w:rFonts w:ascii="Arial" w:hAnsi="Arial" w:cs="Arial"/>
          <w:b/>
          <w:iCs/>
        </w:rPr>
        <w:t>С</w:t>
      </w:r>
      <w:r w:rsidRPr="0087376B">
        <w:rPr>
          <w:rFonts w:ascii="Arial" w:hAnsi="Arial" w:cs="Arial"/>
          <w:b/>
          <w:iCs/>
        </w:rPr>
        <w:t>1</w:t>
      </w:r>
      <w:r w:rsidRPr="0087376B">
        <w:rPr>
          <w:rFonts w:ascii="Arial" w:hAnsi="Arial" w:cs="Arial"/>
          <w:iCs/>
        </w:rPr>
        <w:t xml:space="preserve"> </w:t>
      </w:r>
      <w:r w:rsidR="005B20F8">
        <w:rPr>
          <w:rFonts w:ascii="Arial" w:hAnsi="Arial" w:cs="Arial"/>
          <w:iCs/>
        </w:rPr>
        <w:t>коју</w:t>
      </w:r>
      <w:r w:rsidRPr="0087376B">
        <w:rPr>
          <w:rFonts w:ascii="Arial" w:hAnsi="Arial" w:cs="Arial"/>
          <w:iCs/>
        </w:rPr>
        <w:t xml:space="preserve"> </w:t>
      </w:r>
      <w:r w:rsidR="005B20F8">
        <w:rPr>
          <w:rFonts w:ascii="Arial" w:hAnsi="Arial" w:cs="Arial"/>
          <w:iCs/>
        </w:rPr>
        <w:t>ће</w:t>
      </w:r>
      <w:r w:rsidRPr="0087376B">
        <w:rPr>
          <w:rFonts w:ascii="Arial" w:hAnsi="Arial" w:cs="Arial"/>
          <w:iCs/>
        </w:rPr>
        <w:t xml:space="preserve"> </w:t>
      </w:r>
      <w:r w:rsidR="005B20F8">
        <w:rPr>
          <w:rFonts w:ascii="Arial" w:hAnsi="Arial" w:cs="Arial"/>
          <w:iCs/>
        </w:rPr>
        <w:t>проводити</w:t>
      </w:r>
      <w:r w:rsidRPr="0087376B">
        <w:rPr>
          <w:rFonts w:ascii="Arial" w:hAnsi="Arial" w:cs="Arial"/>
          <w:iCs/>
        </w:rPr>
        <w:t xml:space="preserve"> </w:t>
      </w:r>
      <w:r w:rsidR="005B20F8">
        <w:rPr>
          <w:rFonts w:ascii="Arial" w:hAnsi="Arial" w:cs="Arial"/>
          <w:iCs/>
        </w:rPr>
        <w:t>у</w:t>
      </w:r>
      <w:r w:rsidRPr="0087376B">
        <w:rPr>
          <w:rFonts w:ascii="Arial" w:hAnsi="Arial" w:cs="Arial"/>
          <w:iCs/>
        </w:rPr>
        <w:t xml:space="preserve"> </w:t>
      </w:r>
      <w:r w:rsidR="005B20F8">
        <w:rPr>
          <w:rFonts w:ascii="Arial" w:hAnsi="Arial" w:cs="Arial"/>
          <w:iCs/>
        </w:rPr>
        <w:t>периоду</w:t>
      </w:r>
      <w:r w:rsidRPr="0087376B">
        <w:rPr>
          <w:rFonts w:ascii="Arial" w:hAnsi="Arial" w:cs="Arial"/>
          <w:iCs/>
        </w:rPr>
        <w:t xml:space="preserve"> 2023.-2025. </w:t>
      </w:r>
      <w:r w:rsidR="005B20F8">
        <w:rPr>
          <w:rFonts w:ascii="Arial" w:hAnsi="Arial" w:cs="Arial"/>
          <w:iCs/>
        </w:rPr>
        <w:t>из</w:t>
      </w:r>
      <w:r w:rsidRPr="0087376B">
        <w:rPr>
          <w:rFonts w:ascii="Arial" w:hAnsi="Arial" w:cs="Arial"/>
          <w:iCs/>
          <w:strike/>
        </w:rPr>
        <w:t xml:space="preserve"> </w:t>
      </w:r>
      <w:r w:rsidR="005B20F8">
        <w:rPr>
          <w:rFonts w:ascii="Arial" w:hAnsi="Arial" w:cs="Arial"/>
          <w:iCs/>
        </w:rPr>
        <w:t>разлога</w:t>
      </w:r>
      <w:r w:rsidRPr="0087376B">
        <w:rPr>
          <w:rFonts w:ascii="Arial" w:hAnsi="Arial" w:cs="Arial"/>
          <w:iCs/>
        </w:rPr>
        <w:t xml:space="preserve"> </w:t>
      </w:r>
      <w:r w:rsidR="005B20F8">
        <w:rPr>
          <w:rFonts w:ascii="Arial" w:hAnsi="Arial" w:cs="Arial"/>
          <w:iCs/>
        </w:rPr>
        <w:t>што</w:t>
      </w:r>
      <w:r w:rsidRPr="0087376B">
        <w:rPr>
          <w:rFonts w:ascii="Arial" w:hAnsi="Arial" w:cs="Arial"/>
          <w:iCs/>
        </w:rPr>
        <w:t xml:space="preserve"> </w:t>
      </w:r>
      <w:r w:rsidR="005B20F8">
        <w:rPr>
          <w:rFonts w:ascii="Arial" w:hAnsi="Arial" w:cs="Arial"/>
          <w:iCs/>
        </w:rPr>
        <w:t>су</w:t>
      </w:r>
      <w:r w:rsidRPr="0087376B">
        <w:rPr>
          <w:rFonts w:ascii="Arial" w:hAnsi="Arial" w:cs="Arial"/>
          <w:iCs/>
        </w:rPr>
        <w:t xml:space="preserve"> </w:t>
      </w:r>
      <w:r w:rsidR="005B20F8">
        <w:rPr>
          <w:rFonts w:ascii="Arial" w:hAnsi="Arial" w:cs="Arial"/>
          <w:iCs/>
        </w:rPr>
        <w:t>индикатори</w:t>
      </w:r>
      <w:r w:rsidRPr="0087376B">
        <w:rPr>
          <w:rFonts w:ascii="Arial" w:hAnsi="Arial" w:cs="Arial"/>
          <w:iCs/>
        </w:rPr>
        <w:t xml:space="preserve"> </w:t>
      </w:r>
      <w:r w:rsidR="005B20F8">
        <w:rPr>
          <w:rFonts w:ascii="Arial" w:hAnsi="Arial" w:cs="Arial"/>
          <w:iCs/>
        </w:rPr>
        <w:t>ризика</w:t>
      </w:r>
      <w:r w:rsidRPr="0087376B">
        <w:rPr>
          <w:rFonts w:ascii="Arial" w:hAnsi="Arial" w:cs="Arial"/>
          <w:iCs/>
        </w:rPr>
        <w:t xml:space="preserve"> </w:t>
      </w:r>
      <w:r w:rsidR="005B20F8">
        <w:rPr>
          <w:rFonts w:ascii="Arial" w:hAnsi="Arial" w:cs="Arial"/>
          <w:iCs/>
        </w:rPr>
        <w:t>изабране</w:t>
      </w:r>
      <w:r w:rsidRPr="0087376B">
        <w:rPr>
          <w:rFonts w:ascii="Arial" w:hAnsi="Arial" w:cs="Arial"/>
          <w:iCs/>
        </w:rPr>
        <w:t xml:space="preserve"> </w:t>
      </w:r>
      <w:r w:rsidR="005B20F8">
        <w:rPr>
          <w:rFonts w:ascii="Arial" w:hAnsi="Arial" w:cs="Arial"/>
          <w:iCs/>
        </w:rPr>
        <w:t>стратегије</w:t>
      </w:r>
      <w:r w:rsidRPr="0087376B">
        <w:rPr>
          <w:rFonts w:ascii="Arial" w:hAnsi="Arial" w:cs="Arial"/>
          <w:iCs/>
        </w:rPr>
        <w:t xml:space="preserve"> </w:t>
      </w:r>
      <w:r w:rsidR="005B20F8">
        <w:rPr>
          <w:rFonts w:ascii="Arial" w:hAnsi="Arial" w:cs="Arial"/>
          <w:iCs/>
        </w:rPr>
        <w:t>С</w:t>
      </w:r>
      <w:r w:rsidRPr="0087376B">
        <w:rPr>
          <w:rFonts w:ascii="Arial" w:hAnsi="Arial" w:cs="Arial"/>
          <w:iCs/>
        </w:rPr>
        <w:t xml:space="preserve">1 </w:t>
      </w:r>
      <w:r w:rsidR="005B20F8">
        <w:rPr>
          <w:rFonts w:ascii="Arial" w:hAnsi="Arial" w:cs="Arial"/>
          <w:iCs/>
        </w:rPr>
        <w:t>на</w:t>
      </w:r>
      <w:r w:rsidRPr="0087376B">
        <w:rPr>
          <w:rFonts w:ascii="Arial" w:hAnsi="Arial" w:cs="Arial"/>
          <w:iCs/>
        </w:rPr>
        <w:t xml:space="preserve"> </w:t>
      </w:r>
      <w:r w:rsidR="005B20F8">
        <w:rPr>
          <w:rFonts w:ascii="Arial" w:hAnsi="Arial" w:cs="Arial"/>
          <w:iCs/>
        </w:rPr>
        <w:t>крају</w:t>
      </w:r>
      <w:r w:rsidRPr="0087376B">
        <w:rPr>
          <w:rFonts w:ascii="Arial" w:hAnsi="Arial" w:cs="Arial"/>
          <w:iCs/>
        </w:rPr>
        <w:t xml:space="preserve"> 2025. </w:t>
      </w:r>
      <w:r w:rsidR="005B20F8">
        <w:rPr>
          <w:rFonts w:ascii="Arial" w:hAnsi="Arial" w:cs="Arial"/>
          <w:iCs/>
        </w:rPr>
        <w:t>године</w:t>
      </w:r>
      <w:r w:rsidRPr="0087376B">
        <w:rPr>
          <w:rFonts w:ascii="Arial" w:hAnsi="Arial" w:cs="Arial"/>
          <w:iCs/>
        </w:rPr>
        <w:t xml:space="preserve"> </w:t>
      </w:r>
      <w:r w:rsidR="005B20F8">
        <w:rPr>
          <w:rFonts w:ascii="Arial" w:hAnsi="Arial" w:cs="Arial"/>
          <w:iCs/>
        </w:rPr>
        <w:t>углавном</w:t>
      </w:r>
      <w:r w:rsidRPr="0087376B">
        <w:rPr>
          <w:rFonts w:ascii="Arial" w:hAnsi="Arial" w:cs="Arial"/>
          <w:iCs/>
        </w:rPr>
        <w:t xml:space="preserve"> </w:t>
      </w:r>
      <w:r w:rsidR="005B20F8">
        <w:rPr>
          <w:rFonts w:ascii="Arial" w:hAnsi="Arial" w:cs="Arial"/>
          <w:iCs/>
        </w:rPr>
        <w:t>у</w:t>
      </w:r>
      <w:r w:rsidRPr="0087376B">
        <w:rPr>
          <w:rFonts w:ascii="Arial" w:hAnsi="Arial" w:cs="Arial"/>
          <w:iCs/>
        </w:rPr>
        <w:t xml:space="preserve"> </w:t>
      </w:r>
      <w:r w:rsidR="005B20F8">
        <w:rPr>
          <w:rFonts w:ascii="Arial" w:hAnsi="Arial" w:cs="Arial"/>
          <w:iCs/>
        </w:rPr>
        <w:t>складу</w:t>
      </w:r>
      <w:r w:rsidRPr="0087376B">
        <w:rPr>
          <w:rFonts w:ascii="Arial" w:hAnsi="Arial" w:cs="Arial"/>
          <w:iCs/>
        </w:rPr>
        <w:t xml:space="preserve"> </w:t>
      </w:r>
      <w:r w:rsidR="005B20F8">
        <w:rPr>
          <w:rFonts w:ascii="Arial" w:hAnsi="Arial" w:cs="Arial"/>
          <w:iCs/>
        </w:rPr>
        <w:t>са</w:t>
      </w:r>
      <w:r w:rsidRPr="0087376B">
        <w:rPr>
          <w:rFonts w:ascii="Arial" w:hAnsi="Arial" w:cs="Arial"/>
          <w:iCs/>
        </w:rPr>
        <w:t xml:space="preserve"> </w:t>
      </w:r>
      <w:r w:rsidR="005B20F8">
        <w:rPr>
          <w:rFonts w:ascii="Arial" w:hAnsi="Arial" w:cs="Arial"/>
          <w:iCs/>
        </w:rPr>
        <w:t>смјерницама</w:t>
      </w:r>
      <w:r w:rsidRPr="0087376B">
        <w:rPr>
          <w:rFonts w:ascii="Arial" w:hAnsi="Arial" w:cs="Arial"/>
          <w:iCs/>
        </w:rPr>
        <w:t xml:space="preserve"> </w:t>
      </w:r>
      <w:r w:rsidR="005B20F8">
        <w:rPr>
          <w:rFonts w:ascii="Arial" w:hAnsi="Arial" w:cs="Arial"/>
          <w:iCs/>
        </w:rPr>
        <w:t>за</w:t>
      </w:r>
      <w:r w:rsidRPr="0087376B">
        <w:rPr>
          <w:rFonts w:ascii="Arial" w:hAnsi="Arial" w:cs="Arial"/>
          <w:iCs/>
        </w:rPr>
        <w:t xml:space="preserve"> </w:t>
      </w:r>
      <w:r w:rsidR="005B20F8">
        <w:rPr>
          <w:rFonts w:ascii="Arial" w:hAnsi="Arial" w:cs="Arial"/>
          <w:iCs/>
        </w:rPr>
        <w:t>управљање</w:t>
      </w:r>
      <w:r w:rsidRPr="0087376B">
        <w:rPr>
          <w:rFonts w:ascii="Arial" w:hAnsi="Arial" w:cs="Arial"/>
          <w:iCs/>
        </w:rPr>
        <w:t xml:space="preserve"> </w:t>
      </w:r>
      <w:r w:rsidR="005B20F8">
        <w:rPr>
          <w:rFonts w:ascii="Arial" w:hAnsi="Arial" w:cs="Arial"/>
          <w:iCs/>
        </w:rPr>
        <w:t>дугом</w:t>
      </w:r>
      <w:r w:rsidRPr="0087376B">
        <w:rPr>
          <w:rFonts w:ascii="Arial" w:hAnsi="Arial" w:cs="Arial"/>
          <w:iCs/>
        </w:rPr>
        <w:t>.</w:t>
      </w:r>
    </w:p>
    <w:p w14:paraId="071D90EE" w14:textId="77777777" w:rsidR="007B6BE3" w:rsidRPr="0087376B" w:rsidRDefault="007B6BE3" w:rsidP="007B6BE3">
      <w:pPr>
        <w:spacing w:after="0"/>
        <w:ind w:firstLine="426"/>
        <w:jc w:val="both"/>
        <w:rPr>
          <w:rFonts w:ascii="Arial" w:hAnsi="Arial" w:cs="Arial"/>
        </w:rPr>
      </w:pPr>
    </w:p>
    <w:p w14:paraId="144DAE2A" w14:textId="77777777" w:rsidR="007B6BE3" w:rsidRPr="0087376B" w:rsidRDefault="007B6BE3" w:rsidP="007B6BE3">
      <w:pPr>
        <w:spacing w:after="0"/>
        <w:rPr>
          <w:rFonts w:ascii="Arial" w:eastAsia="Times New Roman" w:hAnsi="Arial" w:cs="Arial"/>
          <w:lang w:eastAsia="bs-Latn-BA"/>
        </w:rPr>
      </w:pPr>
    </w:p>
    <w:p w14:paraId="031F417A" w14:textId="77777777" w:rsidR="007B6BE3" w:rsidRPr="0092788C" w:rsidRDefault="005B20F8" w:rsidP="0092788C">
      <w:pPr>
        <w:pStyle w:val="Heading1"/>
        <w:numPr>
          <w:ilvl w:val="0"/>
          <w:numId w:val="1"/>
        </w:numPr>
        <w:spacing w:before="0"/>
        <w:ind w:left="567" w:hanging="425"/>
        <w:jc w:val="both"/>
        <w:rPr>
          <w:rFonts w:ascii="Arial" w:hAnsi="Arial" w:cs="Arial"/>
          <w:b w:val="0"/>
          <w:color w:val="auto"/>
        </w:rPr>
      </w:pPr>
      <w:bookmarkStart w:id="146" w:name="_Toc149810625"/>
      <w:r w:rsidRPr="0092788C">
        <w:rPr>
          <w:rFonts w:ascii="Arial" w:hAnsi="Arial" w:cs="Arial"/>
          <w:b w:val="0"/>
          <w:color w:val="auto"/>
        </w:rPr>
        <w:t>СМЈЕРНИЦЕ</w:t>
      </w:r>
      <w:r w:rsidR="007B6BE3" w:rsidRPr="0092788C">
        <w:rPr>
          <w:rFonts w:ascii="Arial" w:hAnsi="Arial" w:cs="Arial"/>
          <w:b w:val="0"/>
          <w:color w:val="auto"/>
        </w:rPr>
        <w:t xml:space="preserve"> </w:t>
      </w:r>
      <w:r w:rsidRPr="0092788C">
        <w:rPr>
          <w:rFonts w:ascii="Arial" w:hAnsi="Arial" w:cs="Arial"/>
          <w:b w:val="0"/>
          <w:color w:val="auto"/>
        </w:rPr>
        <w:t>ЗА</w:t>
      </w:r>
      <w:r w:rsidR="007B6BE3" w:rsidRPr="0092788C">
        <w:rPr>
          <w:rFonts w:ascii="Arial" w:hAnsi="Arial" w:cs="Arial"/>
          <w:b w:val="0"/>
          <w:color w:val="auto"/>
        </w:rPr>
        <w:t xml:space="preserve"> </w:t>
      </w:r>
      <w:r w:rsidRPr="0092788C">
        <w:rPr>
          <w:rFonts w:ascii="Arial" w:hAnsi="Arial" w:cs="Arial"/>
          <w:b w:val="0"/>
          <w:color w:val="auto"/>
        </w:rPr>
        <w:t>УПРАВЉАЊЕ</w:t>
      </w:r>
      <w:r w:rsidR="007B6BE3" w:rsidRPr="0092788C">
        <w:rPr>
          <w:rFonts w:ascii="Arial" w:hAnsi="Arial" w:cs="Arial"/>
          <w:b w:val="0"/>
          <w:color w:val="auto"/>
        </w:rPr>
        <w:t xml:space="preserve"> </w:t>
      </w:r>
      <w:r w:rsidRPr="0092788C">
        <w:rPr>
          <w:rFonts w:ascii="Arial" w:hAnsi="Arial" w:cs="Arial"/>
          <w:b w:val="0"/>
          <w:color w:val="auto"/>
        </w:rPr>
        <w:t>ДУГОМ</w:t>
      </w:r>
      <w:bookmarkEnd w:id="146"/>
    </w:p>
    <w:p w14:paraId="611F8BFB" w14:textId="77777777" w:rsidR="007B6BE3" w:rsidRPr="0087376B" w:rsidRDefault="007B6BE3" w:rsidP="007B6BE3">
      <w:pPr>
        <w:pStyle w:val="NoSpacing"/>
        <w:spacing w:line="276" w:lineRule="auto"/>
        <w:ind w:firstLine="284"/>
        <w:jc w:val="both"/>
        <w:rPr>
          <w:rFonts w:ascii="Arial" w:hAnsi="Arial" w:cs="Arial"/>
          <w:lang w:val="hr-HR"/>
        </w:rPr>
      </w:pPr>
    </w:p>
    <w:p w14:paraId="124A11E7" w14:textId="7B9A7041" w:rsidR="007B6BE3" w:rsidRDefault="005B20F8" w:rsidP="007B6BE3">
      <w:pPr>
        <w:pStyle w:val="NoSpacing"/>
        <w:spacing w:line="276" w:lineRule="auto"/>
        <w:ind w:firstLine="284"/>
        <w:jc w:val="both"/>
        <w:rPr>
          <w:rFonts w:ascii="Arial" w:hAnsi="Arial" w:cs="Arial"/>
          <w:lang w:val="hr-HR"/>
        </w:rPr>
      </w:pPr>
      <w:r>
        <w:rPr>
          <w:rFonts w:ascii="Arial" w:hAnsi="Arial" w:cs="Arial"/>
          <w:lang w:val="hr-HR"/>
        </w:rPr>
        <w:t>У</w:t>
      </w:r>
      <w:r w:rsidR="007B6BE3" w:rsidRPr="0087376B">
        <w:rPr>
          <w:rFonts w:ascii="Arial" w:hAnsi="Arial" w:cs="Arial"/>
          <w:lang w:val="hr-HR"/>
        </w:rPr>
        <w:t xml:space="preserve"> </w:t>
      </w:r>
      <w:r>
        <w:rPr>
          <w:rFonts w:ascii="Arial" w:hAnsi="Arial" w:cs="Arial"/>
          <w:lang w:val="hr-HR"/>
        </w:rPr>
        <w:t>намјери</w:t>
      </w:r>
      <w:r w:rsidR="007B6BE3" w:rsidRPr="0087376B">
        <w:rPr>
          <w:rFonts w:ascii="Arial" w:hAnsi="Arial" w:cs="Arial"/>
          <w:lang w:val="hr-HR"/>
        </w:rPr>
        <w:t xml:space="preserve"> </w:t>
      </w:r>
      <w:r>
        <w:rPr>
          <w:rFonts w:ascii="Arial" w:hAnsi="Arial" w:cs="Arial"/>
          <w:lang w:val="hr-HR"/>
        </w:rPr>
        <w:t>да</w:t>
      </w:r>
      <w:r w:rsidR="007B6BE3" w:rsidRPr="0087376B">
        <w:rPr>
          <w:rFonts w:ascii="Arial" w:hAnsi="Arial" w:cs="Arial"/>
          <w:lang w:val="hr-HR"/>
        </w:rPr>
        <w:t xml:space="preserve"> </w:t>
      </w:r>
      <w:r>
        <w:rPr>
          <w:rFonts w:ascii="Arial" w:hAnsi="Arial" w:cs="Arial"/>
          <w:lang w:val="hr-HR"/>
        </w:rPr>
        <w:t>се</w:t>
      </w:r>
      <w:r w:rsidR="007B6BE3" w:rsidRPr="0087376B">
        <w:rPr>
          <w:rFonts w:ascii="Arial" w:hAnsi="Arial" w:cs="Arial"/>
          <w:lang w:val="hr-HR"/>
        </w:rPr>
        <w:t xml:space="preserve"> </w:t>
      </w:r>
      <w:r w:rsidRPr="00C7294F">
        <w:rPr>
          <w:rFonts w:ascii="Arial" w:hAnsi="Arial" w:cs="Arial"/>
          <w:lang w:val="hr-HR"/>
        </w:rPr>
        <w:t>осигурају</w:t>
      </w:r>
      <w:r w:rsidR="007B6BE3" w:rsidRPr="0087376B">
        <w:rPr>
          <w:rFonts w:ascii="Arial" w:hAnsi="Arial" w:cs="Arial"/>
          <w:lang w:val="hr-HR"/>
        </w:rPr>
        <w:t xml:space="preserve"> </w:t>
      </w:r>
      <w:r>
        <w:rPr>
          <w:rFonts w:ascii="Arial" w:hAnsi="Arial" w:cs="Arial"/>
          <w:lang w:val="hr-HR"/>
        </w:rPr>
        <w:t>средства</w:t>
      </w:r>
      <w:r w:rsidR="007B6BE3" w:rsidRPr="0087376B">
        <w:rPr>
          <w:rFonts w:ascii="Arial" w:hAnsi="Arial" w:cs="Arial"/>
          <w:lang w:val="hr-HR"/>
        </w:rPr>
        <w:t xml:space="preserve"> </w:t>
      </w:r>
      <w:r>
        <w:rPr>
          <w:rFonts w:ascii="Arial" w:hAnsi="Arial" w:cs="Arial"/>
          <w:lang w:val="hr-HR"/>
        </w:rPr>
        <w:t>за</w:t>
      </w:r>
      <w:r w:rsidR="007B6BE3" w:rsidRPr="0087376B">
        <w:rPr>
          <w:rFonts w:ascii="Arial" w:hAnsi="Arial" w:cs="Arial"/>
          <w:lang w:val="hr-HR"/>
        </w:rPr>
        <w:t xml:space="preserve"> </w:t>
      </w:r>
      <w:r>
        <w:rPr>
          <w:rFonts w:ascii="Arial" w:hAnsi="Arial" w:cs="Arial"/>
          <w:lang w:val="hr-HR"/>
        </w:rPr>
        <w:t>ликвидност</w:t>
      </w:r>
      <w:r w:rsidR="007B6BE3" w:rsidRPr="0087376B">
        <w:rPr>
          <w:rFonts w:ascii="Arial" w:hAnsi="Arial" w:cs="Arial"/>
          <w:lang w:val="hr-HR"/>
        </w:rPr>
        <w:t xml:space="preserve"> </w:t>
      </w:r>
      <w:r>
        <w:rPr>
          <w:rFonts w:ascii="Arial" w:hAnsi="Arial" w:cs="Arial"/>
          <w:lang w:val="hr-HR"/>
        </w:rPr>
        <w:t>буџета</w:t>
      </w:r>
      <w:r w:rsidR="007B6BE3" w:rsidRPr="0087376B">
        <w:rPr>
          <w:rFonts w:ascii="Arial" w:hAnsi="Arial" w:cs="Arial"/>
          <w:lang w:val="hr-HR"/>
        </w:rPr>
        <w:t xml:space="preserve">, </w:t>
      </w:r>
      <w:r>
        <w:rPr>
          <w:rFonts w:ascii="Arial" w:hAnsi="Arial" w:cs="Arial"/>
          <w:lang w:val="hr-HR"/>
        </w:rPr>
        <w:t>задовољи</w:t>
      </w:r>
      <w:r w:rsidR="007B6BE3" w:rsidRPr="0087376B">
        <w:rPr>
          <w:rFonts w:ascii="Arial" w:hAnsi="Arial" w:cs="Arial"/>
          <w:lang w:val="hr-HR"/>
        </w:rPr>
        <w:t xml:space="preserve"> </w:t>
      </w:r>
      <w:r>
        <w:rPr>
          <w:rFonts w:ascii="Arial" w:hAnsi="Arial" w:cs="Arial"/>
          <w:lang w:val="hr-HR"/>
        </w:rPr>
        <w:t>тражња</w:t>
      </w:r>
      <w:r w:rsidR="007B6BE3" w:rsidRPr="0087376B">
        <w:rPr>
          <w:rFonts w:ascii="Arial" w:hAnsi="Arial" w:cs="Arial"/>
          <w:lang w:val="hr-HR"/>
        </w:rPr>
        <w:t xml:space="preserve"> </w:t>
      </w:r>
      <w:r>
        <w:rPr>
          <w:rFonts w:ascii="Arial" w:hAnsi="Arial" w:cs="Arial"/>
          <w:lang w:val="hr-HR"/>
        </w:rPr>
        <w:t>и</w:t>
      </w:r>
      <w:r w:rsidR="007B6BE3" w:rsidRPr="0087376B">
        <w:rPr>
          <w:rFonts w:ascii="Arial" w:hAnsi="Arial" w:cs="Arial"/>
          <w:lang w:val="hr-HR"/>
        </w:rPr>
        <w:t xml:space="preserve"> </w:t>
      </w:r>
      <w:r>
        <w:rPr>
          <w:rFonts w:ascii="Arial" w:hAnsi="Arial" w:cs="Arial"/>
          <w:lang w:val="hr-HR"/>
        </w:rPr>
        <w:t>повећа</w:t>
      </w:r>
      <w:r w:rsidR="007B6BE3" w:rsidRPr="0087376B">
        <w:rPr>
          <w:rFonts w:ascii="Arial" w:hAnsi="Arial" w:cs="Arial"/>
          <w:lang w:val="hr-HR"/>
        </w:rPr>
        <w:t xml:space="preserve"> </w:t>
      </w:r>
      <w:r>
        <w:rPr>
          <w:rFonts w:ascii="Arial" w:hAnsi="Arial" w:cs="Arial"/>
          <w:lang w:val="hr-HR"/>
        </w:rPr>
        <w:t>ликвидност</w:t>
      </w:r>
      <w:r w:rsidR="007B6BE3" w:rsidRPr="0087376B">
        <w:rPr>
          <w:rFonts w:ascii="Arial" w:hAnsi="Arial" w:cs="Arial"/>
          <w:lang w:val="hr-HR"/>
        </w:rPr>
        <w:t xml:space="preserve"> </w:t>
      </w:r>
      <w:r>
        <w:rPr>
          <w:rFonts w:ascii="Arial" w:hAnsi="Arial" w:cs="Arial"/>
          <w:lang w:val="hr-HR"/>
        </w:rPr>
        <w:t>владиних</w:t>
      </w:r>
      <w:r w:rsidR="007B6BE3" w:rsidRPr="0087376B">
        <w:rPr>
          <w:rFonts w:ascii="Arial" w:hAnsi="Arial" w:cs="Arial"/>
          <w:lang w:val="hr-HR"/>
        </w:rPr>
        <w:t xml:space="preserve"> </w:t>
      </w:r>
      <w:r>
        <w:rPr>
          <w:rFonts w:ascii="Arial" w:hAnsi="Arial" w:cs="Arial"/>
          <w:lang w:val="hr-HR"/>
        </w:rPr>
        <w:t>хартија</w:t>
      </w:r>
      <w:r w:rsidR="002A1D57">
        <w:rPr>
          <w:rFonts w:ascii="Arial" w:hAnsi="Arial" w:cs="Arial"/>
          <w:lang w:val="hr-HR"/>
        </w:rPr>
        <w:t xml:space="preserve"> </w:t>
      </w:r>
      <w:r>
        <w:rPr>
          <w:rFonts w:ascii="Arial" w:hAnsi="Arial" w:cs="Arial"/>
          <w:lang w:val="hr-HR"/>
        </w:rPr>
        <w:t>од</w:t>
      </w:r>
      <w:r w:rsidR="002A1D57">
        <w:rPr>
          <w:rFonts w:ascii="Arial" w:hAnsi="Arial" w:cs="Arial"/>
          <w:lang w:val="hr-HR"/>
        </w:rPr>
        <w:t xml:space="preserve"> </w:t>
      </w:r>
      <w:r>
        <w:rPr>
          <w:rFonts w:ascii="Arial" w:hAnsi="Arial" w:cs="Arial"/>
          <w:lang w:val="hr-HR"/>
        </w:rPr>
        <w:t>вриједности</w:t>
      </w:r>
      <w:r w:rsidR="007B6BE3" w:rsidRPr="0087376B">
        <w:rPr>
          <w:rFonts w:ascii="Arial" w:hAnsi="Arial" w:cs="Arial"/>
          <w:lang w:val="hr-HR"/>
        </w:rPr>
        <w:t xml:space="preserve">, </w:t>
      </w:r>
      <w:r>
        <w:rPr>
          <w:rFonts w:ascii="Arial" w:hAnsi="Arial" w:cs="Arial"/>
          <w:lang w:val="hr-HR"/>
        </w:rPr>
        <w:t>у</w:t>
      </w:r>
      <w:r w:rsidR="007B6BE3" w:rsidRPr="0087376B">
        <w:rPr>
          <w:rFonts w:ascii="Arial" w:hAnsi="Arial" w:cs="Arial"/>
          <w:lang w:val="hr-HR"/>
        </w:rPr>
        <w:t xml:space="preserve"> </w:t>
      </w:r>
      <w:r>
        <w:rPr>
          <w:rFonts w:ascii="Arial" w:hAnsi="Arial" w:cs="Arial"/>
          <w:lang w:val="hr-HR"/>
        </w:rPr>
        <w:t>наредном</w:t>
      </w:r>
      <w:r w:rsidR="007B6BE3" w:rsidRPr="0087376B">
        <w:rPr>
          <w:rFonts w:ascii="Arial" w:hAnsi="Arial" w:cs="Arial"/>
          <w:lang w:val="hr-HR"/>
        </w:rPr>
        <w:t xml:space="preserve"> </w:t>
      </w:r>
      <w:r>
        <w:rPr>
          <w:rFonts w:ascii="Arial" w:hAnsi="Arial" w:cs="Arial"/>
          <w:lang w:val="hr-HR"/>
        </w:rPr>
        <w:t>периоду</w:t>
      </w:r>
      <w:r w:rsidR="007B6BE3" w:rsidRPr="0087376B">
        <w:rPr>
          <w:rFonts w:ascii="Arial" w:hAnsi="Arial" w:cs="Arial"/>
          <w:lang w:val="hr-HR"/>
        </w:rPr>
        <w:t xml:space="preserve"> </w:t>
      </w:r>
      <w:r>
        <w:rPr>
          <w:rFonts w:ascii="Arial" w:hAnsi="Arial" w:cs="Arial"/>
          <w:lang w:val="hr-HR"/>
        </w:rPr>
        <w:t>Влада</w:t>
      </w:r>
      <w:r w:rsidR="007B6BE3" w:rsidRPr="0087376B">
        <w:rPr>
          <w:rFonts w:ascii="Arial" w:hAnsi="Arial" w:cs="Arial"/>
          <w:lang w:val="hr-HR"/>
        </w:rPr>
        <w:t xml:space="preserve"> </w:t>
      </w:r>
      <w:r>
        <w:rPr>
          <w:rFonts w:ascii="Arial" w:hAnsi="Arial" w:cs="Arial"/>
          <w:lang w:val="hr-HR"/>
        </w:rPr>
        <w:t>Федерације</w:t>
      </w:r>
      <w:r w:rsidR="007B6BE3" w:rsidRPr="0087376B">
        <w:rPr>
          <w:rFonts w:ascii="Arial" w:hAnsi="Arial" w:cs="Arial"/>
          <w:lang w:val="hr-HR"/>
        </w:rPr>
        <w:t xml:space="preserve"> </w:t>
      </w:r>
      <w:r>
        <w:rPr>
          <w:rFonts w:ascii="Arial" w:hAnsi="Arial" w:cs="Arial"/>
          <w:lang w:val="hr-HR"/>
        </w:rPr>
        <w:t>БиХ</w:t>
      </w:r>
      <w:r w:rsidR="007B6BE3" w:rsidRPr="0087376B">
        <w:rPr>
          <w:rFonts w:ascii="Arial" w:hAnsi="Arial" w:cs="Arial"/>
          <w:lang w:val="hr-HR"/>
        </w:rPr>
        <w:t xml:space="preserve"> </w:t>
      </w:r>
      <w:r>
        <w:rPr>
          <w:rFonts w:ascii="Arial" w:hAnsi="Arial" w:cs="Arial"/>
          <w:lang w:val="hr-HR"/>
        </w:rPr>
        <w:t>ће</w:t>
      </w:r>
      <w:r w:rsidR="007B6BE3" w:rsidRPr="0087376B">
        <w:rPr>
          <w:rFonts w:ascii="Arial" w:hAnsi="Arial" w:cs="Arial"/>
          <w:lang w:val="hr-HR"/>
        </w:rPr>
        <w:t xml:space="preserve"> </w:t>
      </w:r>
      <w:r>
        <w:rPr>
          <w:rFonts w:ascii="Arial" w:hAnsi="Arial" w:cs="Arial"/>
          <w:lang w:val="hr-HR"/>
        </w:rPr>
        <w:t>наставити</w:t>
      </w:r>
      <w:r w:rsidR="007B6BE3" w:rsidRPr="0087376B">
        <w:rPr>
          <w:rFonts w:ascii="Arial" w:hAnsi="Arial" w:cs="Arial"/>
          <w:lang w:val="hr-HR"/>
        </w:rPr>
        <w:t xml:space="preserve"> </w:t>
      </w:r>
      <w:r>
        <w:rPr>
          <w:rFonts w:ascii="Arial" w:hAnsi="Arial" w:cs="Arial"/>
          <w:lang w:val="hr-HR"/>
        </w:rPr>
        <w:t>са</w:t>
      </w:r>
      <w:r w:rsidR="007B6BE3" w:rsidRPr="0087376B">
        <w:rPr>
          <w:rFonts w:ascii="Arial" w:hAnsi="Arial" w:cs="Arial"/>
          <w:lang w:val="hr-HR"/>
        </w:rPr>
        <w:t xml:space="preserve"> </w:t>
      </w:r>
      <w:r>
        <w:rPr>
          <w:rFonts w:ascii="Arial" w:hAnsi="Arial" w:cs="Arial"/>
          <w:lang w:val="hr-HR"/>
        </w:rPr>
        <w:t>издавањем</w:t>
      </w:r>
      <w:r w:rsidR="007B6BE3" w:rsidRPr="0087376B">
        <w:rPr>
          <w:rFonts w:ascii="Arial" w:hAnsi="Arial" w:cs="Arial"/>
          <w:lang w:val="hr-HR"/>
        </w:rPr>
        <w:t xml:space="preserve"> </w:t>
      </w:r>
      <w:r>
        <w:rPr>
          <w:rFonts w:ascii="Arial" w:hAnsi="Arial" w:cs="Arial"/>
          <w:lang w:val="hr-HR"/>
        </w:rPr>
        <w:t>трезорских</w:t>
      </w:r>
      <w:r w:rsidR="007B6BE3" w:rsidRPr="0087376B">
        <w:rPr>
          <w:rFonts w:ascii="Arial" w:hAnsi="Arial" w:cs="Arial"/>
          <w:lang w:val="hr-HR"/>
        </w:rPr>
        <w:t xml:space="preserve"> </w:t>
      </w:r>
      <w:r>
        <w:rPr>
          <w:rFonts w:ascii="Arial" w:hAnsi="Arial" w:cs="Arial"/>
          <w:lang w:val="hr-HR"/>
        </w:rPr>
        <w:t>записа</w:t>
      </w:r>
      <w:r w:rsidR="007B6BE3" w:rsidRPr="0087376B">
        <w:rPr>
          <w:rFonts w:ascii="Arial" w:hAnsi="Arial" w:cs="Arial"/>
          <w:lang w:val="hr-HR"/>
        </w:rPr>
        <w:t xml:space="preserve"> </w:t>
      </w:r>
      <w:r>
        <w:rPr>
          <w:rFonts w:ascii="Arial" w:hAnsi="Arial" w:cs="Arial"/>
          <w:lang w:val="hr-HR"/>
        </w:rPr>
        <w:t>и</w:t>
      </w:r>
      <w:r w:rsidR="007B6BE3" w:rsidRPr="0087376B">
        <w:rPr>
          <w:rFonts w:ascii="Arial" w:hAnsi="Arial" w:cs="Arial"/>
          <w:lang w:val="hr-HR"/>
        </w:rPr>
        <w:t xml:space="preserve"> </w:t>
      </w:r>
      <w:r>
        <w:rPr>
          <w:rFonts w:ascii="Arial" w:hAnsi="Arial" w:cs="Arial"/>
          <w:lang w:val="hr-HR"/>
        </w:rPr>
        <w:t>обвезница</w:t>
      </w:r>
      <w:r w:rsidR="007B6BE3" w:rsidRPr="0087376B">
        <w:rPr>
          <w:rFonts w:ascii="Arial" w:hAnsi="Arial" w:cs="Arial"/>
          <w:lang w:val="hr-HR"/>
        </w:rPr>
        <w:t xml:space="preserve"> </w:t>
      </w:r>
      <w:r>
        <w:rPr>
          <w:rFonts w:ascii="Arial" w:hAnsi="Arial" w:cs="Arial"/>
          <w:lang w:val="hr-HR"/>
        </w:rPr>
        <w:t>у</w:t>
      </w:r>
      <w:r w:rsidR="007B6BE3" w:rsidRPr="0087376B">
        <w:rPr>
          <w:rFonts w:ascii="Arial" w:hAnsi="Arial" w:cs="Arial"/>
          <w:lang w:val="hr-HR"/>
        </w:rPr>
        <w:t xml:space="preserve"> </w:t>
      </w:r>
      <w:r>
        <w:rPr>
          <w:rFonts w:ascii="Arial" w:hAnsi="Arial" w:cs="Arial"/>
          <w:lang w:val="hr-HR"/>
        </w:rPr>
        <w:t>обиму</w:t>
      </w:r>
      <w:r w:rsidR="007B6BE3" w:rsidRPr="0087376B">
        <w:rPr>
          <w:rFonts w:ascii="Arial" w:hAnsi="Arial" w:cs="Arial"/>
          <w:lang w:val="hr-HR"/>
        </w:rPr>
        <w:t xml:space="preserve"> </w:t>
      </w:r>
      <w:r>
        <w:rPr>
          <w:rFonts w:ascii="Arial" w:hAnsi="Arial" w:cs="Arial"/>
          <w:lang w:val="hr-HR"/>
        </w:rPr>
        <w:t>и</w:t>
      </w:r>
      <w:r w:rsidR="007B6BE3" w:rsidRPr="0087376B">
        <w:rPr>
          <w:rFonts w:ascii="Arial" w:hAnsi="Arial" w:cs="Arial"/>
          <w:lang w:val="hr-HR"/>
        </w:rPr>
        <w:t xml:space="preserve"> </w:t>
      </w:r>
      <w:r>
        <w:rPr>
          <w:rFonts w:ascii="Arial" w:hAnsi="Arial" w:cs="Arial"/>
          <w:lang w:val="hr-HR"/>
        </w:rPr>
        <w:t>динамици</w:t>
      </w:r>
      <w:r w:rsidR="007B6BE3" w:rsidRPr="0087376B">
        <w:rPr>
          <w:rFonts w:ascii="Arial" w:hAnsi="Arial" w:cs="Arial"/>
          <w:lang w:val="hr-HR"/>
        </w:rPr>
        <w:t xml:space="preserve"> </w:t>
      </w:r>
      <w:r>
        <w:rPr>
          <w:rFonts w:ascii="Arial" w:hAnsi="Arial" w:cs="Arial"/>
          <w:lang w:val="hr-HR"/>
        </w:rPr>
        <w:t>који</w:t>
      </w:r>
      <w:r w:rsidR="007B6BE3" w:rsidRPr="0087376B">
        <w:rPr>
          <w:rFonts w:ascii="Arial" w:hAnsi="Arial" w:cs="Arial"/>
          <w:lang w:val="hr-HR"/>
        </w:rPr>
        <w:t xml:space="preserve"> </w:t>
      </w:r>
      <w:r>
        <w:rPr>
          <w:rFonts w:ascii="Arial" w:hAnsi="Arial" w:cs="Arial"/>
          <w:lang w:val="hr-HR"/>
        </w:rPr>
        <w:t>ће</w:t>
      </w:r>
      <w:r w:rsidR="007B6BE3" w:rsidRPr="0087376B">
        <w:rPr>
          <w:rFonts w:ascii="Arial" w:hAnsi="Arial" w:cs="Arial"/>
          <w:lang w:val="hr-HR"/>
        </w:rPr>
        <w:t xml:space="preserve"> </w:t>
      </w:r>
      <w:r>
        <w:rPr>
          <w:rFonts w:ascii="Arial" w:hAnsi="Arial" w:cs="Arial"/>
          <w:lang w:val="hr-HR"/>
        </w:rPr>
        <w:t>бити</w:t>
      </w:r>
      <w:r w:rsidR="007B6BE3" w:rsidRPr="0087376B">
        <w:rPr>
          <w:rFonts w:ascii="Arial" w:hAnsi="Arial" w:cs="Arial"/>
          <w:lang w:val="hr-HR"/>
        </w:rPr>
        <w:t xml:space="preserve"> </w:t>
      </w:r>
      <w:r>
        <w:rPr>
          <w:rFonts w:ascii="Arial" w:hAnsi="Arial" w:cs="Arial"/>
          <w:lang w:val="hr-HR"/>
        </w:rPr>
        <w:t>конзистентни</w:t>
      </w:r>
      <w:r w:rsidR="007B6BE3" w:rsidRPr="0087376B">
        <w:rPr>
          <w:rFonts w:ascii="Arial" w:hAnsi="Arial" w:cs="Arial"/>
          <w:lang w:val="hr-HR"/>
        </w:rPr>
        <w:t xml:space="preserve"> </w:t>
      </w:r>
      <w:r>
        <w:rPr>
          <w:rFonts w:ascii="Arial" w:hAnsi="Arial" w:cs="Arial"/>
          <w:lang w:val="hr-HR"/>
        </w:rPr>
        <w:t>са</w:t>
      </w:r>
      <w:r w:rsidR="007B6BE3" w:rsidRPr="0087376B">
        <w:rPr>
          <w:rFonts w:ascii="Arial" w:hAnsi="Arial" w:cs="Arial"/>
          <w:lang w:val="hr-HR"/>
        </w:rPr>
        <w:t xml:space="preserve"> </w:t>
      </w:r>
      <w:r>
        <w:rPr>
          <w:rFonts w:ascii="Arial" w:hAnsi="Arial" w:cs="Arial"/>
          <w:lang w:val="hr-HR"/>
        </w:rPr>
        <w:t>овом</w:t>
      </w:r>
      <w:r w:rsidR="007B6BE3" w:rsidRPr="0087376B">
        <w:rPr>
          <w:rFonts w:ascii="Arial" w:hAnsi="Arial" w:cs="Arial"/>
          <w:lang w:val="hr-HR"/>
        </w:rPr>
        <w:t xml:space="preserve"> </w:t>
      </w:r>
      <w:r>
        <w:rPr>
          <w:rFonts w:ascii="Arial" w:hAnsi="Arial" w:cs="Arial"/>
          <w:lang w:val="hr-HR"/>
        </w:rPr>
        <w:t>средњорочном</w:t>
      </w:r>
      <w:r w:rsidR="007B6BE3" w:rsidRPr="0087376B">
        <w:rPr>
          <w:rFonts w:ascii="Arial" w:hAnsi="Arial" w:cs="Arial"/>
          <w:lang w:val="hr-HR"/>
        </w:rPr>
        <w:t xml:space="preserve"> </w:t>
      </w:r>
      <w:r>
        <w:rPr>
          <w:rFonts w:ascii="Arial" w:hAnsi="Arial" w:cs="Arial"/>
          <w:lang w:val="hr-HR"/>
        </w:rPr>
        <w:t>Стратегијом</w:t>
      </w:r>
      <w:r w:rsidR="007B6BE3" w:rsidRPr="0087376B">
        <w:rPr>
          <w:rFonts w:ascii="Arial" w:hAnsi="Arial" w:cs="Arial"/>
          <w:lang w:val="hr-HR"/>
        </w:rPr>
        <w:t xml:space="preserve">. </w:t>
      </w:r>
    </w:p>
    <w:p w14:paraId="6ED15C48" w14:textId="77777777" w:rsidR="0092788C" w:rsidRPr="0087376B" w:rsidRDefault="0092788C" w:rsidP="007B6BE3">
      <w:pPr>
        <w:pStyle w:val="NoSpacing"/>
        <w:spacing w:line="276" w:lineRule="auto"/>
        <w:ind w:firstLine="284"/>
        <w:jc w:val="both"/>
        <w:rPr>
          <w:rFonts w:ascii="Arial" w:hAnsi="Arial" w:cs="Arial"/>
          <w:lang w:val="hr-HR"/>
        </w:rPr>
      </w:pPr>
    </w:p>
    <w:p w14:paraId="3E9D7CBF" w14:textId="4DFF06CF" w:rsidR="007B6BE3" w:rsidRDefault="007B6BE3" w:rsidP="0092788C">
      <w:pPr>
        <w:pStyle w:val="Heading2"/>
        <w:numPr>
          <w:ilvl w:val="1"/>
          <w:numId w:val="1"/>
        </w:numPr>
        <w:spacing w:before="0"/>
        <w:ind w:left="993" w:hanging="709"/>
        <w:rPr>
          <w:rFonts w:ascii="Arial" w:hAnsi="Arial" w:cs="Arial"/>
          <w:b w:val="0"/>
          <w:color w:val="auto"/>
          <w:sz w:val="24"/>
          <w:szCs w:val="24"/>
        </w:rPr>
      </w:pPr>
      <w:r w:rsidRPr="0092788C">
        <w:rPr>
          <w:rFonts w:ascii="Arial" w:hAnsi="Arial" w:cs="Arial"/>
          <w:b w:val="0"/>
          <w:color w:val="auto"/>
          <w:sz w:val="24"/>
          <w:szCs w:val="24"/>
        </w:rPr>
        <w:t xml:space="preserve"> </w:t>
      </w:r>
      <w:bookmarkStart w:id="147" w:name="_Toc149810626"/>
      <w:r w:rsidR="005B20F8" w:rsidRPr="0092788C">
        <w:rPr>
          <w:rFonts w:ascii="Arial" w:hAnsi="Arial" w:cs="Arial"/>
          <w:b w:val="0"/>
          <w:color w:val="auto"/>
          <w:sz w:val="24"/>
          <w:szCs w:val="24"/>
        </w:rPr>
        <w:t>Свеукупна</w:t>
      </w:r>
      <w:r w:rsidRPr="0092788C">
        <w:rPr>
          <w:rFonts w:ascii="Arial" w:hAnsi="Arial" w:cs="Arial"/>
          <w:b w:val="0"/>
          <w:color w:val="auto"/>
          <w:sz w:val="24"/>
          <w:szCs w:val="24"/>
        </w:rPr>
        <w:t xml:space="preserve"> </w:t>
      </w:r>
      <w:r w:rsidR="005B20F8" w:rsidRPr="0092788C">
        <w:rPr>
          <w:rFonts w:ascii="Arial" w:hAnsi="Arial" w:cs="Arial"/>
          <w:b w:val="0"/>
          <w:color w:val="auto"/>
          <w:sz w:val="24"/>
          <w:szCs w:val="24"/>
        </w:rPr>
        <w:t>структура</w:t>
      </w:r>
      <w:r w:rsidRPr="0092788C">
        <w:rPr>
          <w:rFonts w:ascii="Arial" w:hAnsi="Arial" w:cs="Arial"/>
          <w:b w:val="0"/>
          <w:color w:val="auto"/>
          <w:sz w:val="24"/>
          <w:szCs w:val="24"/>
        </w:rPr>
        <w:t xml:space="preserve"> </w:t>
      </w:r>
      <w:r w:rsidR="005B20F8" w:rsidRPr="0092788C">
        <w:rPr>
          <w:rFonts w:ascii="Arial" w:hAnsi="Arial" w:cs="Arial"/>
          <w:b w:val="0"/>
          <w:color w:val="auto"/>
          <w:sz w:val="24"/>
          <w:szCs w:val="24"/>
        </w:rPr>
        <w:t>портфолија</w:t>
      </w:r>
      <w:r w:rsidRPr="0092788C">
        <w:rPr>
          <w:rFonts w:ascii="Arial" w:hAnsi="Arial" w:cs="Arial"/>
          <w:b w:val="0"/>
          <w:color w:val="auto"/>
          <w:sz w:val="24"/>
          <w:szCs w:val="24"/>
        </w:rPr>
        <w:t xml:space="preserve"> </w:t>
      </w:r>
      <w:r w:rsidR="005B20F8" w:rsidRPr="0092788C">
        <w:rPr>
          <w:rFonts w:ascii="Arial" w:hAnsi="Arial" w:cs="Arial"/>
          <w:b w:val="0"/>
          <w:color w:val="auto"/>
          <w:sz w:val="24"/>
          <w:szCs w:val="24"/>
        </w:rPr>
        <w:t>дуга</w:t>
      </w:r>
      <w:bookmarkEnd w:id="147"/>
    </w:p>
    <w:p w14:paraId="4BB52504" w14:textId="77777777" w:rsidR="00762711" w:rsidRPr="00762711" w:rsidRDefault="00762711" w:rsidP="00762711"/>
    <w:p w14:paraId="3AC77D36" w14:textId="77777777" w:rsidR="007B6BE3" w:rsidRPr="0087376B" w:rsidRDefault="005B20F8" w:rsidP="0092788C">
      <w:pPr>
        <w:pStyle w:val="NoSpacing"/>
        <w:spacing w:line="276" w:lineRule="auto"/>
        <w:ind w:firstLine="284"/>
        <w:jc w:val="both"/>
        <w:rPr>
          <w:rFonts w:ascii="Arial" w:hAnsi="Arial" w:cs="Arial"/>
          <w:lang w:val="hr-HR"/>
        </w:rPr>
      </w:pPr>
      <w:r>
        <w:rPr>
          <w:rFonts w:ascii="Arial" w:hAnsi="Arial" w:cs="Arial"/>
          <w:lang w:val="hr-HR"/>
        </w:rPr>
        <w:t>Смјернице</w:t>
      </w:r>
      <w:r w:rsidR="007B6BE3" w:rsidRPr="0087376B">
        <w:rPr>
          <w:rFonts w:ascii="Arial" w:hAnsi="Arial" w:cs="Arial"/>
          <w:lang w:val="hr-HR"/>
        </w:rPr>
        <w:t xml:space="preserve"> </w:t>
      </w:r>
      <w:r>
        <w:rPr>
          <w:rFonts w:ascii="Arial" w:hAnsi="Arial" w:cs="Arial"/>
          <w:lang w:val="hr-HR"/>
        </w:rPr>
        <w:t>за</w:t>
      </w:r>
      <w:r w:rsidR="007B6BE3" w:rsidRPr="0087376B">
        <w:rPr>
          <w:rFonts w:ascii="Arial" w:hAnsi="Arial" w:cs="Arial"/>
          <w:lang w:val="hr-HR"/>
        </w:rPr>
        <w:t xml:space="preserve"> </w:t>
      </w:r>
      <w:r>
        <w:rPr>
          <w:rFonts w:ascii="Arial" w:hAnsi="Arial" w:cs="Arial"/>
          <w:lang w:val="hr-HR"/>
        </w:rPr>
        <w:t>пожељну</w:t>
      </w:r>
      <w:r w:rsidR="007B6BE3" w:rsidRPr="0087376B">
        <w:rPr>
          <w:rFonts w:ascii="Arial" w:hAnsi="Arial" w:cs="Arial"/>
          <w:lang w:val="hr-HR"/>
        </w:rPr>
        <w:t xml:space="preserve"> </w:t>
      </w:r>
      <w:r>
        <w:rPr>
          <w:rFonts w:ascii="Arial" w:hAnsi="Arial" w:cs="Arial"/>
          <w:lang w:val="hr-HR"/>
        </w:rPr>
        <w:t>структуру</w:t>
      </w:r>
      <w:r w:rsidR="007B6BE3" w:rsidRPr="0087376B">
        <w:rPr>
          <w:rFonts w:ascii="Arial" w:hAnsi="Arial" w:cs="Arial"/>
          <w:lang w:val="hr-HR"/>
        </w:rPr>
        <w:t xml:space="preserve"> </w:t>
      </w:r>
      <w:r>
        <w:rPr>
          <w:rFonts w:ascii="Arial" w:hAnsi="Arial" w:cs="Arial"/>
          <w:lang w:val="hr-HR"/>
        </w:rPr>
        <w:t>портфолија</w:t>
      </w:r>
      <w:r w:rsidR="007B6BE3" w:rsidRPr="0087376B">
        <w:rPr>
          <w:rFonts w:ascii="Arial" w:hAnsi="Arial" w:cs="Arial"/>
          <w:lang w:val="hr-HR"/>
        </w:rPr>
        <w:t xml:space="preserve"> </w:t>
      </w:r>
      <w:r>
        <w:rPr>
          <w:rFonts w:ascii="Arial" w:hAnsi="Arial" w:cs="Arial"/>
          <w:lang w:val="hr-HR"/>
        </w:rPr>
        <w:t>дуга</w:t>
      </w:r>
      <w:r w:rsidR="007B6BE3" w:rsidRPr="0087376B">
        <w:rPr>
          <w:rFonts w:ascii="Arial" w:hAnsi="Arial" w:cs="Arial"/>
          <w:lang w:val="hr-HR"/>
        </w:rPr>
        <w:t xml:space="preserve"> </w:t>
      </w:r>
      <w:r>
        <w:rPr>
          <w:rFonts w:ascii="Arial" w:hAnsi="Arial" w:cs="Arial"/>
          <w:lang w:val="hr-HR"/>
        </w:rPr>
        <w:t>су</w:t>
      </w:r>
      <w:r w:rsidR="007B6BE3" w:rsidRPr="0087376B">
        <w:rPr>
          <w:rFonts w:ascii="Arial" w:hAnsi="Arial" w:cs="Arial"/>
          <w:lang w:val="hr-HR"/>
        </w:rPr>
        <w:t xml:space="preserve"> </w:t>
      </w:r>
      <w:r>
        <w:rPr>
          <w:rFonts w:ascii="Arial" w:hAnsi="Arial" w:cs="Arial"/>
          <w:lang w:val="hr-HR"/>
        </w:rPr>
        <w:t>сљедеће</w:t>
      </w:r>
      <w:r w:rsidR="007B6BE3" w:rsidRPr="0087376B">
        <w:rPr>
          <w:rFonts w:ascii="Arial" w:hAnsi="Arial" w:cs="Arial"/>
          <w:lang w:val="hr-HR"/>
        </w:rPr>
        <w:t>:</w:t>
      </w:r>
    </w:p>
    <w:p w14:paraId="121B4195" w14:textId="77777777" w:rsidR="007B6BE3" w:rsidRPr="0087376B" w:rsidRDefault="005B20F8" w:rsidP="007B6BE3">
      <w:pPr>
        <w:pStyle w:val="NoSpacing"/>
        <w:numPr>
          <w:ilvl w:val="0"/>
          <w:numId w:val="4"/>
        </w:numPr>
        <w:spacing w:line="276" w:lineRule="auto"/>
        <w:jc w:val="both"/>
        <w:rPr>
          <w:rFonts w:ascii="Arial" w:hAnsi="Arial" w:cs="Arial"/>
          <w:lang w:val="hr-HR"/>
        </w:rPr>
      </w:pPr>
      <w:r>
        <w:rPr>
          <w:rFonts w:ascii="Arial" w:hAnsi="Arial" w:cs="Arial"/>
          <w:lang w:val="hr-HR"/>
        </w:rPr>
        <w:t>Одржавање</w:t>
      </w:r>
      <w:r w:rsidR="007B6BE3" w:rsidRPr="0087376B">
        <w:rPr>
          <w:rFonts w:ascii="Arial" w:hAnsi="Arial" w:cs="Arial"/>
          <w:lang w:val="hr-HR"/>
        </w:rPr>
        <w:t xml:space="preserve"> </w:t>
      </w:r>
      <w:r>
        <w:rPr>
          <w:rFonts w:ascii="Arial" w:hAnsi="Arial" w:cs="Arial"/>
          <w:lang w:val="hr-HR"/>
        </w:rPr>
        <w:t>учешћа</w:t>
      </w:r>
      <w:r w:rsidR="007B6BE3" w:rsidRPr="0087376B">
        <w:rPr>
          <w:rFonts w:ascii="Arial" w:hAnsi="Arial" w:cs="Arial"/>
          <w:lang w:val="hr-HR"/>
        </w:rPr>
        <w:t xml:space="preserve"> </w:t>
      </w:r>
      <w:r>
        <w:rPr>
          <w:rFonts w:ascii="Arial" w:hAnsi="Arial" w:cs="Arial"/>
          <w:lang w:val="hr-HR"/>
        </w:rPr>
        <w:t>дуга</w:t>
      </w:r>
      <w:r w:rsidR="007B6BE3" w:rsidRPr="0087376B">
        <w:rPr>
          <w:rFonts w:ascii="Arial" w:hAnsi="Arial" w:cs="Arial"/>
          <w:lang w:val="hr-HR"/>
        </w:rPr>
        <w:t xml:space="preserve"> </w:t>
      </w:r>
      <w:r>
        <w:rPr>
          <w:rFonts w:ascii="Arial" w:hAnsi="Arial" w:cs="Arial"/>
          <w:lang w:val="hr-HR"/>
        </w:rPr>
        <w:t>у</w:t>
      </w:r>
      <w:r w:rsidR="007B6BE3" w:rsidRPr="0087376B">
        <w:rPr>
          <w:rFonts w:ascii="Arial" w:hAnsi="Arial" w:cs="Arial"/>
          <w:lang w:val="hr-HR"/>
        </w:rPr>
        <w:t xml:space="preserve"> </w:t>
      </w:r>
      <w:r w:rsidRPr="00C7294F">
        <w:rPr>
          <w:rFonts w:ascii="Arial" w:hAnsi="Arial" w:cs="Arial"/>
          <w:lang w:val="hr-HR"/>
        </w:rPr>
        <w:t>КМ</w:t>
      </w:r>
      <w:r w:rsidR="007B6BE3" w:rsidRPr="00C7294F">
        <w:rPr>
          <w:rFonts w:ascii="Arial" w:hAnsi="Arial" w:cs="Arial"/>
          <w:lang w:val="hr-HR"/>
        </w:rPr>
        <w:t xml:space="preserve"> </w:t>
      </w:r>
      <w:r w:rsidRPr="00C7294F">
        <w:rPr>
          <w:rFonts w:ascii="Arial" w:hAnsi="Arial" w:cs="Arial"/>
          <w:lang w:val="hr-HR"/>
        </w:rPr>
        <w:t>и</w:t>
      </w:r>
      <w:r w:rsidR="007B6BE3" w:rsidRPr="00C7294F">
        <w:rPr>
          <w:rFonts w:ascii="Arial" w:hAnsi="Arial" w:cs="Arial"/>
          <w:lang w:val="hr-HR"/>
        </w:rPr>
        <w:t xml:space="preserve"> </w:t>
      </w:r>
      <w:r w:rsidRPr="00C7294F">
        <w:rPr>
          <w:rFonts w:ascii="Arial" w:hAnsi="Arial" w:cs="Arial"/>
          <w:lang w:val="hr-HR"/>
        </w:rPr>
        <w:t>Е</w:t>
      </w:r>
      <w:r w:rsidR="00C7294F" w:rsidRPr="00C7294F">
        <w:rPr>
          <w:rFonts w:ascii="Arial" w:hAnsi="Arial" w:cs="Arial"/>
          <w:lang w:val="hr-HR"/>
        </w:rPr>
        <w:t>UR</w:t>
      </w:r>
      <w:r w:rsidR="007B6BE3" w:rsidRPr="00C7294F">
        <w:rPr>
          <w:rFonts w:ascii="Arial" w:hAnsi="Arial" w:cs="Arial"/>
          <w:lang w:val="hr-HR"/>
        </w:rPr>
        <w:t xml:space="preserve"> </w:t>
      </w:r>
      <w:r w:rsidRPr="00C7294F">
        <w:rPr>
          <w:rFonts w:ascii="Arial" w:hAnsi="Arial" w:cs="Arial"/>
          <w:lang w:val="hr-HR"/>
        </w:rPr>
        <w:t>валути</w:t>
      </w:r>
      <w:r w:rsidR="007B6BE3" w:rsidRPr="00C7294F">
        <w:rPr>
          <w:rFonts w:ascii="Arial" w:hAnsi="Arial" w:cs="Arial"/>
          <w:lang w:val="hr-HR"/>
        </w:rPr>
        <w:t xml:space="preserve"> </w:t>
      </w:r>
      <w:r>
        <w:rPr>
          <w:rFonts w:ascii="Arial" w:hAnsi="Arial" w:cs="Arial"/>
          <w:lang w:val="hr-HR"/>
        </w:rPr>
        <w:t>изнад</w:t>
      </w:r>
      <w:r w:rsidR="007B6BE3" w:rsidRPr="0087376B">
        <w:rPr>
          <w:rFonts w:ascii="Arial" w:hAnsi="Arial" w:cs="Arial"/>
          <w:lang w:val="hr-HR"/>
        </w:rPr>
        <w:t xml:space="preserve"> 60% </w:t>
      </w:r>
      <w:r>
        <w:rPr>
          <w:rFonts w:ascii="Arial" w:hAnsi="Arial" w:cs="Arial"/>
          <w:lang w:val="hr-HR"/>
        </w:rPr>
        <w:t>укупног</w:t>
      </w:r>
      <w:r w:rsidR="007B6BE3" w:rsidRPr="0087376B">
        <w:rPr>
          <w:rFonts w:ascii="Arial" w:hAnsi="Arial" w:cs="Arial"/>
          <w:lang w:val="hr-HR"/>
        </w:rPr>
        <w:t xml:space="preserve"> </w:t>
      </w:r>
      <w:r>
        <w:rPr>
          <w:rFonts w:ascii="Arial" w:hAnsi="Arial" w:cs="Arial"/>
          <w:lang w:val="hr-HR"/>
        </w:rPr>
        <w:t>портфолија</w:t>
      </w:r>
      <w:r w:rsidR="007B6BE3" w:rsidRPr="0087376B">
        <w:rPr>
          <w:rFonts w:ascii="Arial" w:hAnsi="Arial" w:cs="Arial"/>
          <w:lang w:val="hr-HR"/>
        </w:rPr>
        <w:t xml:space="preserve"> </w:t>
      </w:r>
      <w:r>
        <w:rPr>
          <w:rFonts w:ascii="Arial" w:hAnsi="Arial" w:cs="Arial"/>
          <w:lang w:val="hr-HR"/>
        </w:rPr>
        <w:t>дуга</w:t>
      </w:r>
      <w:r w:rsidR="007B6BE3" w:rsidRPr="0087376B">
        <w:rPr>
          <w:rFonts w:ascii="Arial" w:hAnsi="Arial" w:cs="Arial"/>
          <w:lang w:val="hr-HR"/>
        </w:rPr>
        <w:t>;</w:t>
      </w:r>
    </w:p>
    <w:p w14:paraId="3AAFB71D" w14:textId="77777777" w:rsidR="007B6BE3" w:rsidRPr="0087376B" w:rsidRDefault="005B20F8" w:rsidP="007B6BE3">
      <w:pPr>
        <w:pStyle w:val="NoSpacing"/>
        <w:numPr>
          <w:ilvl w:val="0"/>
          <w:numId w:val="4"/>
        </w:numPr>
        <w:spacing w:line="276" w:lineRule="auto"/>
        <w:jc w:val="both"/>
        <w:rPr>
          <w:rFonts w:ascii="Arial" w:hAnsi="Arial" w:cs="Arial"/>
          <w:lang w:val="hr-HR"/>
        </w:rPr>
      </w:pPr>
      <w:r>
        <w:rPr>
          <w:rFonts w:ascii="Arial" w:hAnsi="Arial" w:cs="Arial"/>
          <w:lang w:val="hr-HR"/>
        </w:rPr>
        <w:t>Одржање</w:t>
      </w:r>
      <w:r w:rsidR="007B6BE3" w:rsidRPr="0087376B">
        <w:rPr>
          <w:rFonts w:ascii="Arial" w:hAnsi="Arial" w:cs="Arial"/>
          <w:lang w:val="hr-HR"/>
        </w:rPr>
        <w:t xml:space="preserve"> </w:t>
      </w:r>
      <w:r>
        <w:rPr>
          <w:rFonts w:ascii="Arial" w:hAnsi="Arial" w:cs="Arial"/>
          <w:lang w:val="hr-HR"/>
        </w:rPr>
        <w:t>учешћа</w:t>
      </w:r>
      <w:r w:rsidR="007B6BE3" w:rsidRPr="0087376B">
        <w:rPr>
          <w:rFonts w:ascii="Arial" w:hAnsi="Arial" w:cs="Arial"/>
          <w:lang w:val="hr-HR"/>
        </w:rPr>
        <w:t xml:space="preserve"> </w:t>
      </w:r>
      <w:r>
        <w:rPr>
          <w:rFonts w:ascii="Arial" w:hAnsi="Arial" w:cs="Arial"/>
          <w:lang w:val="hr-HR"/>
        </w:rPr>
        <w:t>дуга</w:t>
      </w:r>
      <w:r w:rsidR="007B6BE3" w:rsidRPr="0087376B">
        <w:rPr>
          <w:rFonts w:ascii="Arial" w:hAnsi="Arial" w:cs="Arial"/>
          <w:lang w:val="hr-HR"/>
        </w:rPr>
        <w:t xml:space="preserve"> </w:t>
      </w:r>
      <w:r>
        <w:rPr>
          <w:rFonts w:ascii="Arial" w:hAnsi="Arial" w:cs="Arial"/>
          <w:lang w:val="hr-HR"/>
        </w:rPr>
        <w:t>с</w:t>
      </w:r>
      <w:r w:rsidR="007B6BE3" w:rsidRPr="0087376B">
        <w:rPr>
          <w:rFonts w:ascii="Arial" w:hAnsi="Arial" w:cs="Arial"/>
          <w:lang w:val="hr-HR"/>
        </w:rPr>
        <w:t xml:space="preserve"> </w:t>
      </w:r>
      <w:r>
        <w:rPr>
          <w:rFonts w:ascii="Arial" w:hAnsi="Arial" w:cs="Arial"/>
          <w:lang w:val="hr-HR"/>
        </w:rPr>
        <w:t>фиксном</w:t>
      </w:r>
      <w:r w:rsidR="007B6BE3" w:rsidRPr="0087376B">
        <w:rPr>
          <w:rFonts w:ascii="Arial" w:hAnsi="Arial" w:cs="Arial"/>
          <w:lang w:val="hr-HR"/>
        </w:rPr>
        <w:t xml:space="preserve"> </w:t>
      </w:r>
      <w:r>
        <w:rPr>
          <w:rFonts w:ascii="Arial" w:hAnsi="Arial" w:cs="Arial"/>
          <w:lang w:val="hr-HR"/>
        </w:rPr>
        <w:t>каматном</w:t>
      </w:r>
      <w:r w:rsidR="007B6BE3" w:rsidRPr="0087376B">
        <w:rPr>
          <w:rFonts w:ascii="Arial" w:hAnsi="Arial" w:cs="Arial"/>
          <w:lang w:val="hr-HR"/>
        </w:rPr>
        <w:t xml:space="preserve"> </w:t>
      </w:r>
      <w:r>
        <w:rPr>
          <w:rFonts w:ascii="Arial" w:hAnsi="Arial" w:cs="Arial"/>
          <w:lang w:val="hr-HR"/>
        </w:rPr>
        <w:t>стопом</w:t>
      </w:r>
      <w:r w:rsidR="007B6BE3" w:rsidRPr="0087376B">
        <w:rPr>
          <w:rFonts w:ascii="Arial" w:hAnsi="Arial" w:cs="Arial"/>
          <w:lang w:val="hr-HR"/>
        </w:rPr>
        <w:t xml:space="preserve"> </w:t>
      </w:r>
      <w:r>
        <w:rPr>
          <w:rFonts w:ascii="Arial" w:hAnsi="Arial" w:cs="Arial"/>
          <w:lang w:val="hr-HR"/>
        </w:rPr>
        <w:t>преко</w:t>
      </w:r>
      <w:r w:rsidR="007B6BE3" w:rsidRPr="0087376B">
        <w:rPr>
          <w:rFonts w:ascii="Arial" w:hAnsi="Arial" w:cs="Arial"/>
          <w:lang w:val="hr-HR"/>
        </w:rPr>
        <w:t xml:space="preserve"> 50% </w:t>
      </w:r>
      <w:r>
        <w:rPr>
          <w:rFonts w:ascii="Arial" w:hAnsi="Arial" w:cs="Arial"/>
          <w:lang w:val="hr-HR"/>
        </w:rPr>
        <w:t>укупног</w:t>
      </w:r>
      <w:r w:rsidR="007B6BE3" w:rsidRPr="0087376B">
        <w:rPr>
          <w:rFonts w:ascii="Arial" w:hAnsi="Arial" w:cs="Arial"/>
          <w:lang w:val="hr-HR"/>
        </w:rPr>
        <w:t xml:space="preserve"> </w:t>
      </w:r>
      <w:r>
        <w:rPr>
          <w:rFonts w:ascii="Arial" w:hAnsi="Arial" w:cs="Arial"/>
          <w:lang w:val="hr-HR"/>
        </w:rPr>
        <w:t>портфолија</w:t>
      </w:r>
      <w:r w:rsidR="007B6BE3" w:rsidRPr="0087376B">
        <w:rPr>
          <w:rFonts w:ascii="Arial" w:hAnsi="Arial" w:cs="Arial"/>
          <w:lang w:val="hr-HR"/>
        </w:rPr>
        <w:t xml:space="preserve"> </w:t>
      </w:r>
      <w:r>
        <w:rPr>
          <w:rFonts w:ascii="Arial" w:hAnsi="Arial" w:cs="Arial"/>
          <w:lang w:val="hr-HR"/>
        </w:rPr>
        <w:t>дуга</w:t>
      </w:r>
      <w:r w:rsidR="007B6BE3" w:rsidRPr="0087376B">
        <w:rPr>
          <w:rFonts w:ascii="Arial" w:hAnsi="Arial" w:cs="Arial"/>
          <w:lang w:val="hr-HR"/>
        </w:rPr>
        <w:t>;</w:t>
      </w:r>
    </w:p>
    <w:p w14:paraId="0210A00B" w14:textId="62A69F80" w:rsidR="007B6BE3" w:rsidRDefault="005B20F8" w:rsidP="007B6BE3">
      <w:pPr>
        <w:pStyle w:val="NoSpacing"/>
        <w:numPr>
          <w:ilvl w:val="0"/>
          <w:numId w:val="4"/>
        </w:numPr>
        <w:spacing w:line="276" w:lineRule="auto"/>
        <w:jc w:val="both"/>
        <w:rPr>
          <w:rFonts w:ascii="Arial" w:hAnsi="Arial" w:cs="Arial"/>
          <w:lang w:val="hr-HR"/>
        </w:rPr>
      </w:pPr>
      <w:r>
        <w:rPr>
          <w:rFonts w:ascii="Arial" w:hAnsi="Arial" w:cs="Arial"/>
          <w:lang w:val="hr-HR"/>
        </w:rPr>
        <w:t>Вријеме</w:t>
      </w:r>
      <w:r w:rsidR="007B6BE3" w:rsidRPr="0087376B">
        <w:rPr>
          <w:rFonts w:ascii="Arial" w:hAnsi="Arial" w:cs="Arial"/>
          <w:lang w:val="hr-HR"/>
        </w:rPr>
        <w:t xml:space="preserve"> </w:t>
      </w:r>
      <w:r>
        <w:rPr>
          <w:rFonts w:ascii="Arial" w:hAnsi="Arial" w:cs="Arial"/>
          <w:lang w:val="hr-HR"/>
        </w:rPr>
        <w:t>просјечног</w:t>
      </w:r>
      <w:r w:rsidR="007B6BE3" w:rsidRPr="0087376B">
        <w:rPr>
          <w:rFonts w:ascii="Arial" w:hAnsi="Arial" w:cs="Arial"/>
          <w:lang w:val="hr-HR"/>
        </w:rPr>
        <w:t xml:space="preserve"> </w:t>
      </w:r>
      <w:r>
        <w:rPr>
          <w:rFonts w:ascii="Arial" w:hAnsi="Arial" w:cs="Arial"/>
          <w:lang w:val="hr-HR"/>
        </w:rPr>
        <w:t>доспијећа</w:t>
      </w:r>
      <w:r w:rsidR="007B6BE3" w:rsidRPr="0087376B">
        <w:rPr>
          <w:rFonts w:ascii="Arial" w:hAnsi="Arial" w:cs="Arial"/>
          <w:lang w:val="hr-HR"/>
        </w:rPr>
        <w:t xml:space="preserve"> </w:t>
      </w:r>
      <w:r>
        <w:rPr>
          <w:rFonts w:ascii="Arial" w:hAnsi="Arial" w:cs="Arial"/>
          <w:lang w:val="hr-HR"/>
        </w:rPr>
        <w:t>укупног</w:t>
      </w:r>
      <w:r w:rsidR="007B6BE3" w:rsidRPr="0087376B">
        <w:rPr>
          <w:rFonts w:ascii="Arial" w:hAnsi="Arial" w:cs="Arial"/>
          <w:lang w:val="hr-HR"/>
        </w:rPr>
        <w:t xml:space="preserve"> </w:t>
      </w:r>
      <w:r>
        <w:rPr>
          <w:rFonts w:ascii="Arial" w:hAnsi="Arial" w:cs="Arial"/>
          <w:lang w:val="hr-HR"/>
        </w:rPr>
        <w:t>портфолија</w:t>
      </w:r>
      <w:r w:rsidR="007B6BE3" w:rsidRPr="0087376B">
        <w:rPr>
          <w:rFonts w:ascii="Arial" w:hAnsi="Arial" w:cs="Arial"/>
          <w:lang w:val="hr-HR"/>
        </w:rPr>
        <w:t xml:space="preserve"> </w:t>
      </w:r>
      <w:r>
        <w:rPr>
          <w:rFonts w:ascii="Arial" w:hAnsi="Arial" w:cs="Arial"/>
          <w:lang w:val="hr-HR"/>
        </w:rPr>
        <w:t>дуга</w:t>
      </w:r>
      <w:r w:rsidR="007B6BE3" w:rsidRPr="0087376B">
        <w:rPr>
          <w:rFonts w:ascii="Arial" w:hAnsi="Arial" w:cs="Arial"/>
          <w:lang w:val="hr-HR"/>
        </w:rPr>
        <w:t xml:space="preserve"> </w:t>
      </w:r>
      <w:r>
        <w:rPr>
          <w:rFonts w:ascii="Arial" w:hAnsi="Arial" w:cs="Arial"/>
          <w:lang w:val="hr-HR"/>
        </w:rPr>
        <w:t>продужити</w:t>
      </w:r>
      <w:r w:rsidR="007B6BE3" w:rsidRPr="0087376B">
        <w:rPr>
          <w:rFonts w:ascii="Arial" w:hAnsi="Arial" w:cs="Arial"/>
          <w:lang w:val="hr-HR"/>
        </w:rPr>
        <w:t xml:space="preserve"> </w:t>
      </w:r>
      <w:r>
        <w:rPr>
          <w:rFonts w:ascii="Arial" w:hAnsi="Arial" w:cs="Arial"/>
          <w:lang w:val="hr-HR"/>
        </w:rPr>
        <w:t>на</w:t>
      </w:r>
      <w:r w:rsidR="007B6BE3" w:rsidRPr="0087376B">
        <w:rPr>
          <w:rFonts w:ascii="Arial" w:hAnsi="Arial" w:cs="Arial"/>
          <w:lang w:val="hr-HR"/>
        </w:rPr>
        <w:t xml:space="preserve"> 6,5 </w:t>
      </w:r>
      <w:r>
        <w:rPr>
          <w:rFonts w:ascii="Arial" w:hAnsi="Arial" w:cs="Arial"/>
          <w:lang w:val="hr-HR"/>
        </w:rPr>
        <w:t>година</w:t>
      </w:r>
      <w:r w:rsidR="007B6BE3" w:rsidRPr="0087376B">
        <w:rPr>
          <w:rFonts w:ascii="Arial" w:hAnsi="Arial" w:cs="Arial"/>
          <w:lang w:val="hr-HR"/>
        </w:rPr>
        <w:t>.</w:t>
      </w:r>
    </w:p>
    <w:p w14:paraId="2D41E651" w14:textId="77777777" w:rsidR="0092788C" w:rsidRPr="0087376B" w:rsidRDefault="0092788C" w:rsidP="0092788C">
      <w:pPr>
        <w:pStyle w:val="NoSpacing"/>
        <w:spacing w:line="276" w:lineRule="auto"/>
        <w:ind w:left="720"/>
        <w:jc w:val="both"/>
        <w:rPr>
          <w:rFonts w:ascii="Arial" w:hAnsi="Arial" w:cs="Arial"/>
          <w:lang w:val="hr-HR"/>
        </w:rPr>
      </w:pPr>
    </w:p>
    <w:p w14:paraId="52D86491" w14:textId="6FD893AF" w:rsidR="007B6BE3" w:rsidRPr="0092788C" w:rsidRDefault="005B20F8" w:rsidP="0092788C">
      <w:pPr>
        <w:pStyle w:val="Heading2"/>
        <w:numPr>
          <w:ilvl w:val="1"/>
          <w:numId w:val="1"/>
        </w:numPr>
        <w:spacing w:before="0"/>
        <w:ind w:left="993" w:hanging="709"/>
        <w:rPr>
          <w:rFonts w:ascii="Arial" w:hAnsi="Arial" w:cs="Arial"/>
          <w:b w:val="0"/>
          <w:color w:val="auto"/>
          <w:sz w:val="24"/>
          <w:szCs w:val="24"/>
        </w:rPr>
      </w:pPr>
      <w:bookmarkStart w:id="148" w:name="_Toc424728955"/>
      <w:bookmarkStart w:id="149" w:name="_Toc149810627"/>
      <w:r w:rsidRPr="0092788C">
        <w:rPr>
          <w:rFonts w:ascii="Arial" w:hAnsi="Arial" w:cs="Arial"/>
          <w:b w:val="0"/>
          <w:color w:val="auto"/>
          <w:sz w:val="24"/>
          <w:szCs w:val="24"/>
        </w:rPr>
        <w:t>Смјернице</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за</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задуживање</w:t>
      </w:r>
      <w:bookmarkEnd w:id="148"/>
      <w:bookmarkEnd w:id="149"/>
    </w:p>
    <w:p w14:paraId="5296ECB6" w14:textId="77777777" w:rsidR="007B6BE3" w:rsidRPr="0087376B" w:rsidRDefault="007B6BE3" w:rsidP="007B6BE3">
      <w:pPr>
        <w:pStyle w:val="NoSpacing"/>
        <w:spacing w:line="276" w:lineRule="auto"/>
        <w:rPr>
          <w:rFonts w:ascii="Arial" w:hAnsi="Arial" w:cs="Arial"/>
          <w:lang w:val="hr-HR"/>
        </w:rPr>
      </w:pPr>
    </w:p>
    <w:p w14:paraId="0303F164" w14:textId="77777777" w:rsidR="007B6BE3" w:rsidRPr="0087376B" w:rsidRDefault="005B20F8" w:rsidP="007B6BE3">
      <w:pPr>
        <w:pStyle w:val="NoSpacing"/>
        <w:spacing w:line="276" w:lineRule="auto"/>
        <w:ind w:firstLine="284"/>
        <w:rPr>
          <w:rFonts w:ascii="Arial" w:hAnsi="Arial" w:cs="Arial"/>
          <w:lang w:val="hr-HR"/>
        </w:rPr>
      </w:pPr>
      <w:r>
        <w:rPr>
          <w:rFonts w:ascii="Arial" w:hAnsi="Arial" w:cs="Arial"/>
          <w:lang w:val="hr-HR"/>
        </w:rPr>
        <w:t>Главне</w:t>
      </w:r>
      <w:r w:rsidR="007B6BE3" w:rsidRPr="0087376B">
        <w:rPr>
          <w:rFonts w:ascii="Arial" w:hAnsi="Arial" w:cs="Arial"/>
          <w:lang w:val="hr-HR"/>
        </w:rPr>
        <w:t xml:space="preserve"> </w:t>
      </w:r>
      <w:r>
        <w:rPr>
          <w:rFonts w:ascii="Arial" w:hAnsi="Arial" w:cs="Arial"/>
          <w:lang w:val="hr-HR"/>
        </w:rPr>
        <w:t>смјернице</w:t>
      </w:r>
      <w:r w:rsidR="007B6BE3" w:rsidRPr="0087376B">
        <w:rPr>
          <w:rFonts w:ascii="Arial" w:hAnsi="Arial" w:cs="Arial"/>
          <w:lang w:val="hr-HR"/>
        </w:rPr>
        <w:t xml:space="preserve"> </w:t>
      </w:r>
      <w:r>
        <w:rPr>
          <w:rFonts w:ascii="Arial" w:hAnsi="Arial" w:cs="Arial"/>
          <w:lang w:val="hr-HR"/>
        </w:rPr>
        <w:t>за</w:t>
      </w:r>
      <w:r w:rsidR="007B6BE3" w:rsidRPr="0087376B">
        <w:rPr>
          <w:rFonts w:ascii="Arial" w:hAnsi="Arial" w:cs="Arial"/>
          <w:lang w:val="hr-HR"/>
        </w:rPr>
        <w:t xml:space="preserve"> </w:t>
      </w:r>
      <w:r>
        <w:rPr>
          <w:rFonts w:ascii="Arial" w:hAnsi="Arial" w:cs="Arial"/>
          <w:lang w:val="hr-HR"/>
        </w:rPr>
        <w:t>задуживање</w:t>
      </w:r>
      <w:r w:rsidR="007B6BE3" w:rsidRPr="0087376B">
        <w:rPr>
          <w:rFonts w:ascii="Arial" w:hAnsi="Arial" w:cs="Arial"/>
          <w:lang w:val="hr-HR"/>
        </w:rPr>
        <w:t xml:space="preserve"> </w:t>
      </w:r>
      <w:r>
        <w:rPr>
          <w:rFonts w:ascii="Arial" w:hAnsi="Arial" w:cs="Arial"/>
          <w:lang w:val="hr-HR"/>
        </w:rPr>
        <w:t>Федерације</w:t>
      </w:r>
      <w:r w:rsidR="007B6BE3" w:rsidRPr="0087376B">
        <w:rPr>
          <w:rFonts w:ascii="Arial" w:hAnsi="Arial" w:cs="Arial"/>
          <w:lang w:val="hr-HR"/>
        </w:rPr>
        <w:t xml:space="preserve"> </w:t>
      </w:r>
      <w:r>
        <w:rPr>
          <w:rFonts w:ascii="Arial" w:hAnsi="Arial" w:cs="Arial"/>
          <w:lang w:val="hr-HR"/>
        </w:rPr>
        <w:t>БиХ</w:t>
      </w:r>
      <w:r w:rsidR="007B6BE3" w:rsidRPr="0087376B">
        <w:rPr>
          <w:rFonts w:ascii="Arial" w:hAnsi="Arial" w:cs="Arial"/>
          <w:lang w:val="hr-HR"/>
        </w:rPr>
        <w:t xml:space="preserve"> </w:t>
      </w:r>
      <w:r>
        <w:rPr>
          <w:rFonts w:ascii="Arial" w:hAnsi="Arial" w:cs="Arial"/>
          <w:lang w:val="hr-HR"/>
        </w:rPr>
        <w:t>су</w:t>
      </w:r>
      <w:r w:rsidR="007B6BE3" w:rsidRPr="0087376B">
        <w:rPr>
          <w:rFonts w:ascii="Arial" w:hAnsi="Arial" w:cs="Arial"/>
          <w:lang w:val="hr-HR"/>
        </w:rPr>
        <w:t xml:space="preserve"> </w:t>
      </w:r>
      <w:r>
        <w:rPr>
          <w:rFonts w:ascii="Arial" w:hAnsi="Arial" w:cs="Arial"/>
          <w:lang w:val="hr-HR"/>
        </w:rPr>
        <w:t>сљедеће</w:t>
      </w:r>
      <w:r w:rsidR="007B6BE3" w:rsidRPr="0087376B">
        <w:rPr>
          <w:rFonts w:ascii="Arial" w:hAnsi="Arial" w:cs="Arial"/>
          <w:lang w:val="hr-HR"/>
        </w:rPr>
        <w:t>:</w:t>
      </w:r>
    </w:p>
    <w:p w14:paraId="495032B0" w14:textId="77777777" w:rsidR="007B6BE3" w:rsidRPr="0087376B" w:rsidRDefault="005B20F8" w:rsidP="007B6BE3">
      <w:pPr>
        <w:pStyle w:val="NoSpacing"/>
        <w:numPr>
          <w:ilvl w:val="0"/>
          <w:numId w:val="4"/>
        </w:numPr>
        <w:spacing w:line="276" w:lineRule="auto"/>
        <w:jc w:val="both"/>
        <w:rPr>
          <w:rFonts w:ascii="Arial" w:hAnsi="Arial" w:cs="Arial"/>
          <w:lang w:val="hr-HR"/>
        </w:rPr>
      </w:pPr>
      <w:r>
        <w:rPr>
          <w:rFonts w:ascii="Arial" w:hAnsi="Arial" w:cs="Arial"/>
          <w:lang w:val="hr-HR"/>
        </w:rPr>
        <w:t>Приликом</w:t>
      </w:r>
      <w:r w:rsidR="007B6BE3" w:rsidRPr="0087376B">
        <w:rPr>
          <w:rFonts w:ascii="Arial" w:hAnsi="Arial" w:cs="Arial"/>
          <w:lang w:val="hr-HR"/>
        </w:rPr>
        <w:t xml:space="preserve"> </w:t>
      </w:r>
      <w:r>
        <w:rPr>
          <w:rFonts w:ascii="Arial" w:hAnsi="Arial" w:cs="Arial"/>
          <w:lang w:val="hr-HR"/>
        </w:rPr>
        <w:t>планирања</w:t>
      </w:r>
      <w:r w:rsidR="007B6BE3" w:rsidRPr="0087376B">
        <w:rPr>
          <w:rFonts w:ascii="Arial" w:hAnsi="Arial" w:cs="Arial"/>
          <w:lang w:val="hr-HR"/>
        </w:rPr>
        <w:t xml:space="preserve"> </w:t>
      </w:r>
      <w:r>
        <w:rPr>
          <w:rFonts w:ascii="Arial" w:hAnsi="Arial" w:cs="Arial"/>
          <w:lang w:val="hr-HR"/>
        </w:rPr>
        <w:t>задуживања</w:t>
      </w:r>
      <w:r w:rsidR="007B6BE3" w:rsidRPr="0087376B">
        <w:rPr>
          <w:rFonts w:ascii="Arial" w:hAnsi="Arial" w:cs="Arial"/>
          <w:lang w:val="hr-HR"/>
        </w:rPr>
        <w:t xml:space="preserve"> </w:t>
      </w:r>
      <w:r>
        <w:rPr>
          <w:rFonts w:ascii="Arial" w:hAnsi="Arial" w:cs="Arial"/>
          <w:lang w:val="hr-HR"/>
        </w:rPr>
        <w:t>водити</w:t>
      </w:r>
      <w:r w:rsidR="007B6BE3" w:rsidRPr="0087376B">
        <w:rPr>
          <w:rFonts w:ascii="Arial" w:hAnsi="Arial" w:cs="Arial"/>
          <w:lang w:val="hr-HR"/>
        </w:rPr>
        <w:t xml:space="preserve"> </w:t>
      </w:r>
      <w:r>
        <w:rPr>
          <w:rFonts w:ascii="Arial" w:hAnsi="Arial" w:cs="Arial"/>
          <w:lang w:val="hr-HR"/>
        </w:rPr>
        <w:t>рачуна</w:t>
      </w:r>
      <w:r w:rsidR="007B6BE3" w:rsidRPr="0087376B">
        <w:rPr>
          <w:rFonts w:ascii="Arial" w:hAnsi="Arial" w:cs="Arial"/>
          <w:lang w:val="hr-HR"/>
        </w:rPr>
        <w:t xml:space="preserve"> </w:t>
      </w:r>
      <w:r>
        <w:rPr>
          <w:rFonts w:ascii="Arial" w:hAnsi="Arial" w:cs="Arial"/>
          <w:lang w:val="hr-HR"/>
        </w:rPr>
        <w:t>да</w:t>
      </w:r>
      <w:r w:rsidR="007B6BE3" w:rsidRPr="0087376B">
        <w:rPr>
          <w:rFonts w:ascii="Arial" w:hAnsi="Arial" w:cs="Arial"/>
          <w:lang w:val="hr-HR"/>
        </w:rPr>
        <w:t xml:space="preserve"> </w:t>
      </w:r>
      <w:r>
        <w:rPr>
          <w:rFonts w:ascii="Arial" w:hAnsi="Arial" w:cs="Arial"/>
          <w:lang w:val="hr-HR"/>
        </w:rPr>
        <w:t>се</w:t>
      </w:r>
      <w:r w:rsidR="007B6BE3" w:rsidRPr="0087376B">
        <w:rPr>
          <w:rFonts w:ascii="Arial" w:hAnsi="Arial" w:cs="Arial"/>
          <w:lang w:val="hr-HR"/>
        </w:rPr>
        <w:t xml:space="preserve"> </w:t>
      </w:r>
      <w:r>
        <w:rPr>
          <w:rFonts w:ascii="Arial" w:hAnsi="Arial" w:cs="Arial"/>
          <w:lang w:val="hr-HR"/>
        </w:rPr>
        <w:t>одржи</w:t>
      </w:r>
      <w:r w:rsidR="007B6BE3" w:rsidRPr="0087376B">
        <w:rPr>
          <w:rFonts w:ascii="Arial" w:hAnsi="Arial" w:cs="Arial"/>
          <w:lang w:val="hr-HR"/>
        </w:rPr>
        <w:t xml:space="preserve"> </w:t>
      </w:r>
      <w:r>
        <w:rPr>
          <w:rFonts w:ascii="Arial" w:hAnsi="Arial" w:cs="Arial"/>
          <w:lang w:val="hr-HR"/>
        </w:rPr>
        <w:t>равномјерна</w:t>
      </w:r>
      <w:r w:rsidR="007B6BE3" w:rsidRPr="0087376B">
        <w:rPr>
          <w:rFonts w:ascii="Arial" w:hAnsi="Arial" w:cs="Arial"/>
          <w:lang w:val="hr-HR"/>
        </w:rPr>
        <w:t xml:space="preserve"> </w:t>
      </w:r>
      <w:r>
        <w:rPr>
          <w:rFonts w:ascii="Arial" w:hAnsi="Arial" w:cs="Arial"/>
          <w:lang w:val="hr-HR"/>
        </w:rPr>
        <w:t>структура</w:t>
      </w:r>
      <w:r w:rsidR="007B6BE3" w:rsidRPr="0087376B">
        <w:rPr>
          <w:rFonts w:ascii="Arial" w:hAnsi="Arial" w:cs="Arial"/>
          <w:lang w:val="hr-HR"/>
        </w:rPr>
        <w:t xml:space="preserve"> </w:t>
      </w:r>
      <w:r>
        <w:rPr>
          <w:rFonts w:ascii="Arial" w:hAnsi="Arial" w:cs="Arial"/>
          <w:lang w:val="hr-HR"/>
        </w:rPr>
        <w:t>отплате</w:t>
      </w:r>
      <w:r w:rsidR="007B6BE3" w:rsidRPr="0087376B">
        <w:rPr>
          <w:rFonts w:ascii="Arial" w:hAnsi="Arial" w:cs="Arial"/>
          <w:lang w:val="hr-HR"/>
        </w:rPr>
        <w:t xml:space="preserve"> </w:t>
      </w:r>
      <w:r>
        <w:rPr>
          <w:rFonts w:ascii="Arial" w:hAnsi="Arial" w:cs="Arial"/>
          <w:lang w:val="hr-HR"/>
        </w:rPr>
        <w:t>по</w:t>
      </w:r>
      <w:r w:rsidR="007B6BE3" w:rsidRPr="0087376B">
        <w:rPr>
          <w:rFonts w:ascii="Arial" w:hAnsi="Arial" w:cs="Arial"/>
          <w:lang w:val="hr-HR"/>
        </w:rPr>
        <w:t xml:space="preserve"> </w:t>
      </w:r>
      <w:r>
        <w:rPr>
          <w:rFonts w:ascii="Arial" w:hAnsi="Arial" w:cs="Arial"/>
          <w:lang w:val="hr-HR"/>
        </w:rPr>
        <w:t>годинама</w:t>
      </w:r>
      <w:r w:rsidR="007B6BE3" w:rsidRPr="0087376B">
        <w:rPr>
          <w:rFonts w:ascii="Arial" w:hAnsi="Arial" w:cs="Arial"/>
          <w:lang w:val="hr-HR"/>
        </w:rPr>
        <w:t xml:space="preserve"> </w:t>
      </w:r>
      <w:r>
        <w:rPr>
          <w:rFonts w:ascii="Arial" w:hAnsi="Arial" w:cs="Arial"/>
          <w:lang w:val="hr-HR"/>
        </w:rPr>
        <w:t>у</w:t>
      </w:r>
      <w:r w:rsidR="007B6BE3" w:rsidRPr="0087376B">
        <w:rPr>
          <w:rFonts w:ascii="Arial" w:hAnsi="Arial" w:cs="Arial"/>
          <w:lang w:val="hr-HR"/>
        </w:rPr>
        <w:t xml:space="preserve"> </w:t>
      </w:r>
      <w:r>
        <w:rPr>
          <w:rFonts w:ascii="Arial" w:hAnsi="Arial" w:cs="Arial"/>
          <w:lang w:val="hr-HR"/>
        </w:rPr>
        <w:t>циљу</w:t>
      </w:r>
      <w:r w:rsidR="007B6BE3" w:rsidRPr="0087376B">
        <w:rPr>
          <w:rFonts w:ascii="Arial" w:hAnsi="Arial" w:cs="Arial"/>
          <w:lang w:val="hr-HR"/>
        </w:rPr>
        <w:t xml:space="preserve"> </w:t>
      </w:r>
      <w:r>
        <w:rPr>
          <w:rFonts w:ascii="Arial" w:hAnsi="Arial" w:cs="Arial"/>
          <w:lang w:val="hr-HR"/>
        </w:rPr>
        <w:t>минимизирања</w:t>
      </w:r>
      <w:r w:rsidR="007B6BE3" w:rsidRPr="0087376B">
        <w:rPr>
          <w:rFonts w:ascii="Arial" w:hAnsi="Arial" w:cs="Arial"/>
          <w:lang w:val="hr-HR"/>
        </w:rPr>
        <w:t xml:space="preserve"> </w:t>
      </w:r>
      <w:r>
        <w:rPr>
          <w:rFonts w:ascii="Arial" w:hAnsi="Arial" w:cs="Arial"/>
          <w:lang w:val="hr-HR"/>
        </w:rPr>
        <w:t>ризика</w:t>
      </w:r>
      <w:r w:rsidR="007B6BE3" w:rsidRPr="0087376B">
        <w:rPr>
          <w:rFonts w:ascii="Arial" w:hAnsi="Arial" w:cs="Arial"/>
          <w:lang w:val="hr-HR"/>
        </w:rPr>
        <w:t xml:space="preserve"> </w:t>
      </w:r>
      <w:r>
        <w:rPr>
          <w:rFonts w:ascii="Arial" w:hAnsi="Arial" w:cs="Arial"/>
          <w:lang w:val="hr-HR"/>
        </w:rPr>
        <w:t>рефинансирања</w:t>
      </w:r>
      <w:r w:rsidR="007B6BE3" w:rsidRPr="0087376B">
        <w:rPr>
          <w:rFonts w:ascii="Arial" w:hAnsi="Arial" w:cs="Arial"/>
          <w:lang w:val="hr-HR"/>
        </w:rPr>
        <w:t>;</w:t>
      </w:r>
    </w:p>
    <w:p w14:paraId="24B56DF9" w14:textId="77777777" w:rsidR="007B6BE3" w:rsidRPr="00C7294F" w:rsidRDefault="005B20F8" w:rsidP="007B6BE3">
      <w:pPr>
        <w:pStyle w:val="NoSpacing"/>
        <w:numPr>
          <w:ilvl w:val="0"/>
          <w:numId w:val="4"/>
        </w:numPr>
        <w:spacing w:line="276" w:lineRule="auto"/>
        <w:jc w:val="both"/>
        <w:rPr>
          <w:rFonts w:ascii="Arial" w:hAnsi="Arial" w:cs="Arial"/>
          <w:lang w:val="hr-HR"/>
        </w:rPr>
      </w:pPr>
      <w:r>
        <w:rPr>
          <w:rFonts w:ascii="Arial" w:hAnsi="Arial" w:cs="Arial"/>
          <w:lang w:val="hr-HR"/>
        </w:rPr>
        <w:t>Ради</w:t>
      </w:r>
      <w:r w:rsidR="007B6BE3" w:rsidRPr="0087376B">
        <w:rPr>
          <w:rFonts w:ascii="Arial" w:hAnsi="Arial" w:cs="Arial"/>
          <w:lang w:val="hr-HR"/>
        </w:rPr>
        <w:t xml:space="preserve"> </w:t>
      </w:r>
      <w:r>
        <w:rPr>
          <w:rFonts w:ascii="Arial" w:hAnsi="Arial" w:cs="Arial"/>
          <w:lang w:val="hr-HR"/>
        </w:rPr>
        <w:t>смањења</w:t>
      </w:r>
      <w:r w:rsidR="007B6BE3" w:rsidRPr="0087376B">
        <w:rPr>
          <w:rFonts w:ascii="Arial" w:hAnsi="Arial" w:cs="Arial"/>
          <w:lang w:val="hr-HR"/>
        </w:rPr>
        <w:t xml:space="preserve"> </w:t>
      </w:r>
      <w:r>
        <w:rPr>
          <w:rFonts w:ascii="Arial" w:hAnsi="Arial" w:cs="Arial"/>
          <w:lang w:val="hr-HR"/>
        </w:rPr>
        <w:t>валутног</w:t>
      </w:r>
      <w:r w:rsidR="007B6BE3" w:rsidRPr="0087376B">
        <w:rPr>
          <w:rFonts w:ascii="Arial" w:hAnsi="Arial" w:cs="Arial"/>
          <w:lang w:val="hr-HR"/>
        </w:rPr>
        <w:t xml:space="preserve"> </w:t>
      </w:r>
      <w:r>
        <w:rPr>
          <w:rFonts w:ascii="Arial" w:hAnsi="Arial" w:cs="Arial"/>
          <w:lang w:val="hr-HR"/>
        </w:rPr>
        <w:t>ризика</w:t>
      </w:r>
      <w:r w:rsidR="007B6BE3" w:rsidRPr="0087376B">
        <w:rPr>
          <w:rFonts w:ascii="Arial" w:hAnsi="Arial" w:cs="Arial"/>
          <w:lang w:val="hr-HR"/>
        </w:rPr>
        <w:t xml:space="preserve"> </w:t>
      </w:r>
      <w:r>
        <w:rPr>
          <w:rFonts w:ascii="Arial" w:hAnsi="Arial" w:cs="Arial"/>
          <w:lang w:val="hr-HR"/>
        </w:rPr>
        <w:t>максимално</w:t>
      </w:r>
      <w:r w:rsidR="007B6BE3" w:rsidRPr="0087376B">
        <w:rPr>
          <w:rFonts w:ascii="Arial" w:hAnsi="Arial" w:cs="Arial"/>
          <w:lang w:val="hr-HR"/>
        </w:rPr>
        <w:t xml:space="preserve"> </w:t>
      </w:r>
      <w:r>
        <w:rPr>
          <w:rFonts w:ascii="Arial" w:hAnsi="Arial" w:cs="Arial"/>
          <w:lang w:val="hr-HR"/>
        </w:rPr>
        <w:t>користити</w:t>
      </w:r>
      <w:r w:rsidR="007B6BE3" w:rsidRPr="0087376B">
        <w:rPr>
          <w:rFonts w:ascii="Arial" w:hAnsi="Arial" w:cs="Arial"/>
          <w:lang w:val="hr-HR"/>
        </w:rPr>
        <w:t xml:space="preserve"> </w:t>
      </w:r>
      <w:r>
        <w:rPr>
          <w:rFonts w:ascii="Arial" w:hAnsi="Arial" w:cs="Arial"/>
          <w:lang w:val="hr-HR"/>
        </w:rPr>
        <w:t>задуживање</w:t>
      </w:r>
      <w:r w:rsidR="007B6BE3" w:rsidRPr="0087376B">
        <w:rPr>
          <w:rFonts w:ascii="Arial" w:hAnsi="Arial" w:cs="Arial"/>
          <w:lang w:val="hr-HR"/>
        </w:rPr>
        <w:t xml:space="preserve"> </w:t>
      </w:r>
      <w:r w:rsidRPr="00C7294F">
        <w:rPr>
          <w:rFonts w:ascii="Arial" w:hAnsi="Arial" w:cs="Arial"/>
          <w:lang w:val="hr-HR"/>
        </w:rPr>
        <w:t>у</w:t>
      </w:r>
      <w:r w:rsidR="007B6BE3" w:rsidRPr="00C7294F">
        <w:rPr>
          <w:rFonts w:ascii="Arial" w:hAnsi="Arial" w:cs="Arial"/>
          <w:lang w:val="hr-HR"/>
        </w:rPr>
        <w:t xml:space="preserve"> </w:t>
      </w:r>
      <w:r w:rsidRPr="00C7294F">
        <w:rPr>
          <w:rFonts w:ascii="Arial" w:hAnsi="Arial" w:cs="Arial"/>
          <w:lang w:val="hr-HR"/>
        </w:rPr>
        <w:t>Е</w:t>
      </w:r>
      <w:r w:rsidR="00C7294F" w:rsidRPr="00C7294F">
        <w:rPr>
          <w:rFonts w:ascii="Arial" w:hAnsi="Arial" w:cs="Arial"/>
          <w:lang w:val="hr-HR"/>
        </w:rPr>
        <w:t>UR</w:t>
      </w:r>
      <w:r w:rsidR="007B6BE3" w:rsidRPr="00C7294F">
        <w:rPr>
          <w:rFonts w:ascii="Arial" w:hAnsi="Arial" w:cs="Arial"/>
          <w:lang w:val="hr-HR"/>
        </w:rPr>
        <w:t xml:space="preserve"> </w:t>
      </w:r>
      <w:r w:rsidRPr="00C7294F">
        <w:rPr>
          <w:rFonts w:ascii="Arial" w:hAnsi="Arial" w:cs="Arial"/>
          <w:lang w:val="hr-HR"/>
        </w:rPr>
        <w:t>и</w:t>
      </w:r>
      <w:r w:rsidR="007B6BE3" w:rsidRPr="00C7294F">
        <w:rPr>
          <w:rFonts w:ascii="Arial" w:hAnsi="Arial" w:cs="Arial"/>
          <w:lang w:val="hr-HR"/>
        </w:rPr>
        <w:t xml:space="preserve"> </w:t>
      </w:r>
      <w:r w:rsidRPr="00C7294F">
        <w:rPr>
          <w:rFonts w:ascii="Arial" w:hAnsi="Arial" w:cs="Arial"/>
          <w:lang w:val="hr-HR"/>
        </w:rPr>
        <w:t>КМ</w:t>
      </w:r>
      <w:r w:rsidR="007B6BE3" w:rsidRPr="00C7294F">
        <w:rPr>
          <w:rFonts w:ascii="Arial" w:hAnsi="Arial" w:cs="Arial"/>
          <w:lang w:val="hr-HR"/>
        </w:rPr>
        <w:t>;</w:t>
      </w:r>
    </w:p>
    <w:p w14:paraId="5F48A061" w14:textId="77777777" w:rsidR="007B6BE3" w:rsidRPr="00C7294F" w:rsidRDefault="005B20F8" w:rsidP="007B6BE3">
      <w:pPr>
        <w:pStyle w:val="NoSpacing"/>
        <w:numPr>
          <w:ilvl w:val="0"/>
          <w:numId w:val="4"/>
        </w:numPr>
        <w:spacing w:line="276" w:lineRule="auto"/>
        <w:jc w:val="both"/>
        <w:rPr>
          <w:rFonts w:ascii="Arial" w:hAnsi="Arial" w:cs="Arial"/>
          <w:lang w:val="hr-HR"/>
        </w:rPr>
      </w:pPr>
      <w:r w:rsidRPr="00C7294F">
        <w:rPr>
          <w:rFonts w:ascii="Arial" w:hAnsi="Arial" w:cs="Arial"/>
          <w:lang w:val="hr-HR"/>
        </w:rPr>
        <w:t>У</w:t>
      </w:r>
      <w:r w:rsidR="007B6BE3" w:rsidRPr="00C7294F">
        <w:rPr>
          <w:rFonts w:ascii="Arial" w:hAnsi="Arial" w:cs="Arial"/>
          <w:lang w:val="hr-HR"/>
        </w:rPr>
        <w:t xml:space="preserve"> </w:t>
      </w:r>
      <w:r w:rsidRPr="00C7294F">
        <w:rPr>
          <w:rFonts w:ascii="Arial" w:hAnsi="Arial" w:cs="Arial"/>
          <w:lang w:val="hr-HR"/>
        </w:rPr>
        <w:t>циљу</w:t>
      </w:r>
      <w:r w:rsidR="007B6BE3" w:rsidRPr="00C7294F">
        <w:rPr>
          <w:rFonts w:ascii="Arial" w:hAnsi="Arial" w:cs="Arial"/>
          <w:lang w:val="hr-HR"/>
        </w:rPr>
        <w:t xml:space="preserve"> </w:t>
      </w:r>
      <w:r w:rsidRPr="00C7294F">
        <w:rPr>
          <w:rFonts w:ascii="Arial" w:hAnsi="Arial" w:cs="Arial"/>
          <w:lang w:val="hr-HR"/>
        </w:rPr>
        <w:t>смањења</w:t>
      </w:r>
      <w:r w:rsidR="007B6BE3" w:rsidRPr="00C7294F">
        <w:rPr>
          <w:rFonts w:ascii="Arial" w:hAnsi="Arial" w:cs="Arial"/>
          <w:lang w:val="hr-HR"/>
        </w:rPr>
        <w:t xml:space="preserve"> </w:t>
      </w:r>
      <w:r w:rsidRPr="00C7294F">
        <w:rPr>
          <w:rFonts w:ascii="Arial" w:hAnsi="Arial" w:cs="Arial"/>
          <w:lang w:val="hr-HR"/>
        </w:rPr>
        <w:t>ризика</w:t>
      </w:r>
      <w:r w:rsidR="007B6BE3" w:rsidRPr="00C7294F">
        <w:rPr>
          <w:rFonts w:ascii="Arial" w:hAnsi="Arial" w:cs="Arial"/>
          <w:lang w:val="hr-HR"/>
        </w:rPr>
        <w:t xml:space="preserve"> </w:t>
      </w:r>
      <w:r w:rsidRPr="00C7294F">
        <w:rPr>
          <w:rFonts w:ascii="Arial" w:hAnsi="Arial" w:cs="Arial"/>
          <w:lang w:val="hr-HR"/>
        </w:rPr>
        <w:t>рефинансирања</w:t>
      </w:r>
      <w:r w:rsidR="007B6BE3" w:rsidRPr="00C7294F">
        <w:rPr>
          <w:rFonts w:ascii="Arial" w:hAnsi="Arial" w:cs="Arial"/>
          <w:lang w:val="hr-HR"/>
        </w:rPr>
        <w:t xml:space="preserve"> </w:t>
      </w:r>
      <w:r w:rsidRPr="00C7294F">
        <w:rPr>
          <w:rFonts w:ascii="Arial" w:hAnsi="Arial" w:cs="Arial"/>
          <w:lang w:val="hr-HR"/>
        </w:rPr>
        <w:t>дуга</w:t>
      </w:r>
      <w:r w:rsidR="007B6BE3" w:rsidRPr="00C7294F">
        <w:rPr>
          <w:rFonts w:ascii="Arial" w:hAnsi="Arial" w:cs="Arial"/>
          <w:lang w:val="hr-HR"/>
        </w:rPr>
        <w:t xml:space="preserve">: </w:t>
      </w:r>
      <w:r w:rsidRPr="00C7294F">
        <w:rPr>
          <w:rFonts w:ascii="Arial" w:hAnsi="Arial" w:cs="Arial"/>
          <w:lang w:val="hr-HR"/>
        </w:rPr>
        <w:t>учешће</w:t>
      </w:r>
      <w:r w:rsidR="007B6BE3" w:rsidRPr="00C7294F">
        <w:rPr>
          <w:rFonts w:ascii="Arial" w:hAnsi="Arial" w:cs="Arial"/>
          <w:lang w:val="hr-HR"/>
        </w:rPr>
        <w:t xml:space="preserve"> </w:t>
      </w:r>
      <w:r w:rsidRPr="00C7294F">
        <w:rPr>
          <w:rFonts w:ascii="Arial" w:hAnsi="Arial" w:cs="Arial"/>
          <w:lang w:val="hr-HR"/>
        </w:rPr>
        <w:t>портфолија</w:t>
      </w:r>
      <w:r w:rsidR="007B6BE3" w:rsidRPr="00C7294F">
        <w:rPr>
          <w:rFonts w:ascii="Arial" w:hAnsi="Arial" w:cs="Arial"/>
          <w:lang w:val="hr-HR"/>
        </w:rPr>
        <w:t xml:space="preserve"> </w:t>
      </w:r>
      <w:r w:rsidRPr="00C7294F">
        <w:rPr>
          <w:rFonts w:ascii="Arial" w:hAnsi="Arial" w:cs="Arial"/>
          <w:lang w:val="hr-HR"/>
        </w:rPr>
        <w:t>дуга</w:t>
      </w:r>
      <w:r w:rsidR="007B6BE3" w:rsidRPr="00C7294F">
        <w:rPr>
          <w:rFonts w:ascii="Arial" w:hAnsi="Arial" w:cs="Arial"/>
          <w:lang w:val="hr-HR"/>
        </w:rPr>
        <w:t xml:space="preserve"> </w:t>
      </w:r>
      <w:r w:rsidRPr="00C7294F">
        <w:rPr>
          <w:rFonts w:ascii="Arial" w:hAnsi="Arial" w:cs="Arial"/>
          <w:lang w:val="hr-HR"/>
        </w:rPr>
        <w:t>који</w:t>
      </w:r>
      <w:r w:rsidR="007B6BE3" w:rsidRPr="00C7294F">
        <w:rPr>
          <w:rFonts w:ascii="Arial" w:hAnsi="Arial" w:cs="Arial"/>
          <w:lang w:val="hr-HR"/>
        </w:rPr>
        <w:t xml:space="preserve"> </w:t>
      </w:r>
      <w:r w:rsidRPr="00C7294F">
        <w:rPr>
          <w:rFonts w:ascii="Arial" w:hAnsi="Arial" w:cs="Arial"/>
          <w:lang w:val="hr-HR"/>
        </w:rPr>
        <w:t>доспијева</w:t>
      </w:r>
      <w:r w:rsidR="007B6BE3" w:rsidRPr="00C7294F">
        <w:rPr>
          <w:rFonts w:ascii="Arial" w:hAnsi="Arial" w:cs="Arial"/>
          <w:lang w:val="hr-HR"/>
        </w:rPr>
        <w:t xml:space="preserve"> </w:t>
      </w:r>
      <w:r w:rsidRPr="00C7294F">
        <w:rPr>
          <w:rFonts w:ascii="Arial" w:hAnsi="Arial" w:cs="Arial"/>
          <w:lang w:val="hr-HR"/>
        </w:rPr>
        <w:t>унутар</w:t>
      </w:r>
      <w:r w:rsidR="007B6BE3" w:rsidRPr="00C7294F">
        <w:rPr>
          <w:rFonts w:ascii="Arial" w:hAnsi="Arial" w:cs="Arial"/>
          <w:lang w:val="hr-HR"/>
        </w:rPr>
        <w:t xml:space="preserve"> 12 </w:t>
      </w:r>
      <w:r w:rsidRPr="00C7294F">
        <w:rPr>
          <w:rFonts w:ascii="Arial" w:hAnsi="Arial" w:cs="Arial"/>
          <w:lang w:val="hr-HR"/>
        </w:rPr>
        <w:t>мјесеци</w:t>
      </w:r>
      <w:r w:rsidR="007B6BE3" w:rsidRPr="00C7294F">
        <w:rPr>
          <w:rFonts w:ascii="Arial" w:hAnsi="Arial" w:cs="Arial"/>
          <w:lang w:val="hr-HR"/>
        </w:rPr>
        <w:t>/</w:t>
      </w:r>
      <w:r w:rsidRPr="00C7294F">
        <w:rPr>
          <w:rFonts w:ascii="Arial" w:hAnsi="Arial" w:cs="Arial"/>
          <w:lang w:val="hr-HR"/>
        </w:rPr>
        <w:t>једне</w:t>
      </w:r>
      <w:r w:rsidR="007B6BE3" w:rsidRPr="00C7294F">
        <w:rPr>
          <w:rFonts w:ascii="Arial" w:hAnsi="Arial" w:cs="Arial"/>
          <w:lang w:val="hr-HR"/>
        </w:rPr>
        <w:t xml:space="preserve"> </w:t>
      </w:r>
      <w:r w:rsidRPr="00C7294F">
        <w:rPr>
          <w:rFonts w:ascii="Arial" w:hAnsi="Arial" w:cs="Arial"/>
          <w:lang w:val="hr-HR"/>
        </w:rPr>
        <w:t>године</w:t>
      </w:r>
      <w:r w:rsidR="007B6BE3" w:rsidRPr="00C7294F">
        <w:rPr>
          <w:rFonts w:ascii="Arial" w:hAnsi="Arial" w:cs="Arial"/>
          <w:lang w:val="hr-HR"/>
        </w:rPr>
        <w:t xml:space="preserve"> </w:t>
      </w:r>
      <w:r w:rsidRPr="00C7294F">
        <w:rPr>
          <w:rFonts w:ascii="Arial" w:hAnsi="Arial" w:cs="Arial"/>
          <w:lang w:val="hr-HR"/>
        </w:rPr>
        <w:t>ће</w:t>
      </w:r>
      <w:r w:rsidR="007B6BE3" w:rsidRPr="00C7294F">
        <w:rPr>
          <w:rFonts w:ascii="Arial" w:hAnsi="Arial" w:cs="Arial"/>
          <w:lang w:val="hr-HR"/>
        </w:rPr>
        <w:t xml:space="preserve"> </w:t>
      </w:r>
      <w:r w:rsidRPr="00C7294F">
        <w:rPr>
          <w:rFonts w:ascii="Arial" w:hAnsi="Arial" w:cs="Arial"/>
          <w:lang w:val="hr-HR"/>
        </w:rPr>
        <w:t>износити</w:t>
      </w:r>
      <w:r w:rsidR="007B6BE3" w:rsidRPr="00C7294F">
        <w:rPr>
          <w:rFonts w:ascii="Arial" w:hAnsi="Arial" w:cs="Arial"/>
          <w:lang w:val="hr-HR"/>
        </w:rPr>
        <w:t xml:space="preserve"> </w:t>
      </w:r>
      <w:r w:rsidRPr="00C7294F">
        <w:rPr>
          <w:rFonts w:ascii="Arial" w:hAnsi="Arial" w:cs="Arial"/>
          <w:lang w:val="hr-HR"/>
        </w:rPr>
        <w:t>максимално</w:t>
      </w:r>
      <w:r w:rsidR="007B6BE3" w:rsidRPr="00C7294F">
        <w:rPr>
          <w:rFonts w:ascii="Arial" w:hAnsi="Arial" w:cs="Arial"/>
          <w:lang w:val="hr-HR"/>
        </w:rPr>
        <w:t xml:space="preserve"> 15% </w:t>
      </w:r>
      <w:r w:rsidRPr="00C7294F">
        <w:rPr>
          <w:rFonts w:ascii="Arial" w:hAnsi="Arial" w:cs="Arial"/>
          <w:lang w:val="hr-HR"/>
        </w:rPr>
        <w:t>укупног</w:t>
      </w:r>
      <w:r w:rsidR="007B6BE3" w:rsidRPr="00C7294F">
        <w:rPr>
          <w:rFonts w:ascii="Arial" w:hAnsi="Arial" w:cs="Arial"/>
          <w:lang w:val="hr-HR"/>
        </w:rPr>
        <w:t xml:space="preserve"> </w:t>
      </w:r>
      <w:r w:rsidRPr="00C7294F">
        <w:rPr>
          <w:rFonts w:ascii="Arial" w:hAnsi="Arial" w:cs="Arial"/>
          <w:lang w:val="hr-HR"/>
        </w:rPr>
        <w:t>неотплаћеног</w:t>
      </w:r>
      <w:r w:rsidR="007B6BE3" w:rsidRPr="00C7294F">
        <w:rPr>
          <w:rFonts w:ascii="Arial" w:hAnsi="Arial" w:cs="Arial"/>
          <w:lang w:val="hr-HR"/>
        </w:rPr>
        <w:t xml:space="preserve"> </w:t>
      </w:r>
      <w:r w:rsidRPr="00C7294F">
        <w:rPr>
          <w:rFonts w:ascii="Arial" w:hAnsi="Arial" w:cs="Arial"/>
          <w:lang w:val="hr-HR"/>
        </w:rPr>
        <w:t>дуга</w:t>
      </w:r>
      <w:r w:rsidR="007B6BE3" w:rsidRPr="00C7294F">
        <w:rPr>
          <w:rFonts w:ascii="Arial" w:hAnsi="Arial" w:cs="Arial"/>
          <w:lang w:val="hr-HR"/>
        </w:rPr>
        <w:t>;</w:t>
      </w:r>
    </w:p>
    <w:p w14:paraId="003D888D" w14:textId="77777777" w:rsidR="007B6BE3" w:rsidRPr="0087376B" w:rsidRDefault="005B20F8" w:rsidP="007B6BE3">
      <w:pPr>
        <w:pStyle w:val="NoSpacing"/>
        <w:numPr>
          <w:ilvl w:val="0"/>
          <w:numId w:val="4"/>
        </w:numPr>
        <w:spacing w:line="276" w:lineRule="auto"/>
        <w:jc w:val="both"/>
        <w:rPr>
          <w:rFonts w:ascii="Arial" w:hAnsi="Arial" w:cs="Arial"/>
          <w:lang w:val="hr-HR"/>
        </w:rPr>
      </w:pPr>
      <w:r w:rsidRPr="00C7294F">
        <w:rPr>
          <w:rFonts w:ascii="Arial" w:hAnsi="Arial" w:cs="Arial"/>
          <w:lang w:val="hr-HR"/>
        </w:rPr>
        <w:t>Како</w:t>
      </w:r>
      <w:r w:rsidR="007B6BE3" w:rsidRPr="00C7294F">
        <w:rPr>
          <w:rFonts w:ascii="Arial" w:hAnsi="Arial" w:cs="Arial"/>
          <w:lang w:val="hr-HR"/>
        </w:rPr>
        <w:t xml:space="preserve"> </w:t>
      </w:r>
      <w:r w:rsidRPr="00C7294F">
        <w:rPr>
          <w:rFonts w:ascii="Arial" w:hAnsi="Arial" w:cs="Arial"/>
          <w:lang w:val="hr-HR"/>
        </w:rPr>
        <w:t>би</w:t>
      </w:r>
      <w:r w:rsidR="007B6BE3" w:rsidRPr="00C7294F">
        <w:rPr>
          <w:rFonts w:ascii="Arial" w:hAnsi="Arial" w:cs="Arial"/>
          <w:lang w:val="hr-HR"/>
        </w:rPr>
        <w:t xml:space="preserve"> </w:t>
      </w:r>
      <w:r w:rsidRPr="00C7294F">
        <w:rPr>
          <w:rFonts w:ascii="Arial" w:hAnsi="Arial" w:cs="Arial"/>
          <w:lang w:val="hr-HR"/>
        </w:rPr>
        <w:t>продужили</w:t>
      </w:r>
      <w:r w:rsidR="007B6BE3" w:rsidRPr="00C7294F">
        <w:rPr>
          <w:rFonts w:ascii="Arial" w:hAnsi="Arial" w:cs="Arial"/>
          <w:lang w:val="hr-HR"/>
        </w:rPr>
        <w:t xml:space="preserve"> </w:t>
      </w:r>
      <w:r w:rsidRPr="00C7294F">
        <w:rPr>
          <w:rFonts w:ascii="Arial" w:hAnsi="Arial" w:cs="Arial"/>
          <w:lang w:val="hr-HR"/>
        </w:rPr>
        <w:t>просјечно</w:t>
      </w:r>
      <w:r w:rsidR="007B6BE3" w:rsidRPr="00C7294F">
        <w:rPr>
          <w:rFonts w:ascii="Arial" w:hAnsi="Arial" w:cs="Arial"/>
          <w:lang w:val="hr-HR"/>
        </w:rPr>
        <w:t xml:space="preserve"> </w:t>
      </w:r>
      <w:r w:rsidRPr="00C7294F">
        <w:rPr>
          <w:rFonts w:ascii="Arial" w:hAnsi="Arial" w:cs="Arial"/>
          <w:lang w:val="hr-HR"/>
        </w:rPr>
        <w:t>доспијеће</w:t>
      </w:r>
      <w:r w:rsidR="007B6BE3" w:rsidRPr="00C7294F">
        <w:rPr>
          <w:rFonts w:ascii="Arial" w:hAnsi="Arial" w:cs="Arial"/>
          <w:lang w:val="hr-HR"/>
        </w:rPr>
        <w:t xml:space="preserve"> </w:t>
      </w:r>
      <w:r w:rsidRPr="00C7294F">
        <w:rPr>
          <w:rFonts w:ascii="Arial" w:hAnsi="Arial" w:cs="Arial"/>
          <w:lang w:val="hr-HR"/>
        </w:rPr>
        <w:t>портфолија</w:t>
      </w:r>
      <w:r w:rsidR="007B6BE3" w:rsidRPr="00C7294F">
        <w:rPr>
          <w:rFonts w:ascii="Arial" w:hAnsi="Arial" w:cs="Arial"/>
          <w:lang w:val="hr-HR"/>
        </w:rPr>
        <w:t xml:space="preserve"> </w:t>
      </w:r>
      <w:r w:rsidRPr="00C7294F">
        <w:rPr>
          <w:rFonts w:ascii="Arial" w:hAnsi="Arial" w:cs="Arial"/>
          <w:lang w:val="hr-HR"/>
        </w:rPr>
        <w:t>дуга</w:t>
      </w:r>
      <w:r w:rsidR="007B6BE3" w:rsidRPr="00C7294F">
        <w:rPr>
          <w:rFonts w:ascii="Arial" w:hAnsi="Arial" w:cs="Arial"/>
          <w:lang w:val="hr-HR"/>
        </w:rPr>
        <w:t xml:space="preserve"> </w:t>
      </w:r>
      <w:r w:rsidRPr="00C7294F">
        <w:rPr>
          <w:rFonts w:ascii="Arial" w:hAnsi="Arial" w:cs="Arial"/>
          <w:lang w:val="hr-HR"/>
        </w:rPr>
        <w:t>изнад</w:t>
      </w:r>
      <w:r w:rsidR="007B6BE3" w:rsidRPr="00C7294F">
        <w:rPr>
          <w:rFonts w:ascii="Arial" w:hAnsi="Arial" w:cs="Arial"/>
          <w:lang w:val="hr-HR"/>
        </w:rPr>
        <w:t xml:space="preserve"> 6,5 </w:t>
      </w:r>
      <w:r w:rsidRPr="00C7294F">
        <w:rPr>
          <w:rFonts w:ascii="Arial" w:hAnsi="Arial" w:cs="Arial"/>
          <w:lang w:val="hr-HR"/>
        </w:rPr>
        <w:t>година</w:t>
      </w:r>
      <w:r w:rsidR="007B6BE3" w:rsidRPr="00C7294F">
        <w:rPr>
          <w:rFonts w:ascii="Arial" w:hAnsi="Arial" w:cs="Arial"/>
          <w:lang w:val="hr-HR"/>
        </w:rPr>
        <w:t xml:space="preserve">, </w:t>
      </w:r>
      <w:r w:rsidRPr="00C7294F">
        <w:rPr>
          <w:rFonts w:ascii="Arial" w:hAnsi="Arial" w:cs="Arial"/>
          <w:lang w:val="hr-HR"/>
        </w:rPr>
        <w:t>будућа</w:t>
      </w:r>
      <w:r w:rsidR="007B6BE3" w:rsidRPr="00C7294F">
        <w:rPr>
          <w:rFonts w:ascii="Arial" w:hAnsi="Arial" w:cs="Arial"/>
          <w:lang w:val="hr-HR"/>
        </w:rPr>
        <w:t xml:space="preserve"> </w:t>
      </w:r>
      <w:r w:rsidRPr="00C7294F">
        <w:rPr>
          <w:rFonts w:ascii="Arial" w:hAnsi="Arial" w:cs="Arial"/>
          <w:lang w:val="hr-HR"/>
        </w:rPr>
        <w:t>задужења</w:t>
      </w:r>
      <w:r w:rsidR="007B6BE3" w:rsidRPr="00C7294F">
        <w:rPr>
          <w:rFonts w:ascii="Arial" w:hAnsi="Arial" w:cs="Arial"/>
          <w:lang w:val="hr-HR"/>
        </w:rPr>
        <w:t xml:space="preserve"> </w:t>
      </w:r>
      <w:r w:rsidRPr="00C7294F">
        <w:rPr>
          <w:rFonts w:ascii="Arial" w:hAnsi="Arial" w:cs="Arial"/>
          <w:lang w:val="hr-HR"/>
        </w:rPr>
        <w:t>уговарати</w:t>
      </w:r>
      <w:r w:rsidR="007B6BE3" w:rsidRPr="00C7294F">
        <w:rPr>
          <w:rFonts w:ascii="Arial" w:hAnsi="Arial" w:cs="Arial"/>
          <w:lang w:val="hr-HR"/>
        </w:rPr>
        <w:t xml:space="preserve"> </w:t>
      </w:r>
      <w:r w:rsidRPr="00C7294F">
        <w:rPr>
          <w:rFonts w:ascii="Arial" w:hAnsi="Arial" w:cs="Arial"/>
          <w:lang w:val="hr-HR"/>
        </w:rPr>
        <w:t>са</w:t>
      </w:r>
      <w:r w:rsidR="007B6BE3" w:rsidRPr="00C7294F">
        <w:rPr>
          <w:rFonts w:ascii="Arial" w:hAnsi="Arial" w:cs="Arial"/>
          <w:lang w:val="hr-HR"/>
        </w:rPr>
        <w:t xml:space="preserve"> </w:t>
      </w:r>
      <w:r w:rsidRPr="00C7294F">
        <w:rPr>
          <w:rFonts w:ascii="Arial" w:hAnsi="Arial" w:cs="Arial"/>
          <w:lang w:val="hr-HR"/>
        </w:rPr>
        <w:t>дужим</w:t>
      </w:r>
      <w:r w:rsidR="007B6BE3" w:rsidRPr="00C7294F">
        <w:rPr>
          <w:rFonts w:ascii="Arial" w:hAnsi="Arial" w:cs="Arial"/>
          <w:lang w:val="hr-HR"/>
        </w:rPr>
        <w:t xml:space="preserve"> </w:t>
      </w:r>
      <w:r w:rsidR="00C7294F" w:rsidRPr="00C7294F">
        <w:rPr>
          <w:rFonts w:ascii="Arial" w:hAnsi="Arial" w:cs="Arial"/>
          <w:lang w:val="hr-HR"/>
        </w:rPr>
        <w:t>grace</w:t>
      </w:r>
      <w:r w:rsidR="007B6BE3" w:rsidRPr="00C7294F">
        <w:rPr>
          <w:rFonts w:ascii="Arial" w:hAnsi="Arial" w:cs="Arial"/>
          <w:lang w:val="hr-HR"/>
        </w:rPr>
        <w:t xml:space="preserve"> </w:t>
      </w:r>
      <w:r w:rsidRPr="00C7294F">
        <w:rPr>
          <w:rFonts w:ascii="Arial" w:hAnsi="Arial" w:cs="Arial"/>
          <w:lang w:val="hr-HR"/>
        </w:rPr>
        <w:t>периодом</w:t>
      </w:r>
      <w:r w:rsidR="007B6BE3" w:rsidRPr="00C7294F">
        <w:rPr>
          <w:rFonts w:ascii="Arial" w:hAnsi="Arial" w:cs="Arial"/>
          <w:lang w:val="hr-HR"/>
        </w:rPr>
        <w:t xml:space="preserve"> </w:t>
      </w:r>
      <w:r w:rsidRPr="00C7294F">
        <w:rPr>
          <w:rFonts w:ascii="Arial" w:hAnsi="Arial" w:cs="Arial"/>
          <w:lang w:val="hr-HR"/>
        </w:rPr>
        <w:t>и</w:t>
      </w:r>
      <w:r w:rsidR="007B6BE3" w:rsidRPr="00C7294F">
        <w:rPr>
          <w:rFonts w:ascii="Arial" w:hAnsi="Arial" w:cs="Arial"/>
          <w:lang w:val="hr-HR"/>
        </w:rPr>
        <w:t xml:space="preserve"> </w:t>
      </w:r>
      <w:r w:rsidRPr="00C7294F">
        <w:rPr>
          <w:rFonts w:ascii="Arial" w:hAnsi="Arial" w:cs="Arial"/>
          <w:lang w:val="hr-HR"/>
        </w:rPr>
        <w:t>дужим</w:t>
      </w:r>
      <w:r w:rsidR="007B6BE3" w:rsidRPr="00C7294F">
        <w:rPr>
          <w:rFonts w:ascii="Arial" w:hAnsi="Arial" w:cs="Arial"/>
          <w:lang w:val="hr-HR"/>
        </w:rPr>
        <w:t xml:space="preserve"> </w:t>
      </w:r>
      <w:r w:rsidRPr="00C7294F">
        <w:rPr>
          <w:rFonts w:ascii="Arial" w:hAnsi="Arial" w:cs="Arial"/>
          <w:lang w:val="hr-HR"/>
        </w:rPr>
        <w:t>роком</w:t>
      </w:r>
      <w:r w:rsidR="007B6BE3" w:rsidRPr="00C7294F">
        <w:rPr>
          <w:rFonts w:ascii="Arial" w:hAnsi="Arial" w:cs="Arial"/>
          <w:lang w:val="hr-HR"/>
        </w:rPr>
        <w:t xml:space="preserve"> </w:t>
      </w:r>
      <w:r w:rsidRPr="00C7294F">
        <w:rPr>
          <w:rFonts w:ascii="Arial" w:hAnsi="Arial" w:cs="Arial"/>
          <w:lang w:val="hr-HR"/>
        </w:rPr>
        <w:t>отплате</w:t>
      </w:r>
      <w:r w:rsidR="007B6BE3" w:rsidRPr="00C7294F">
        <w:rPr>
          <w:rFonts w:ascii="Arial" w:hAnsi="Arial" w:cs="Arial"/>
          <w:lang w:val="hr-HR"/>
        </w:rPr>
        <w:t xml:space="preserve">. </w:t>
      </w:r>
      <w:r>
        <w:rPr>
          <w:rFonts w:ascii="Arial" w:hAnsi="Arial" w:cs="Arial"/>
          <w:lang w:val="hr-HR"/>
        </w:rPr>
        <w:t>Просјечно</w:t>
      </w:r>
      <w:r w:rsidR="007B6BE3" w:rsidRPr="0087376B">
        <w:rPr>
          <w:rFonts w:ascii="Arial" w:hAnsi="Arial" w:cs="Arial"/>
          <w:lang w:val="hr-HR"/>
        </w:rPr>
        <w:t xml:space="preserve"> </w:t>
      </w:r>
      <w:r>
        <w:rPr>
          <w:rFonts w:ascii="Arial" w:hAnsi="Arial" w:cs="Arial"/>
          <w:lang w:val="hr-HR"/>
        </w:rPr>
        <w:t>пондерисано</w:t>
      </w:r>
      <w:r w:rsidR="007B6BE3" w:rsidRPr="0087376B">
        <w:rPr>
          <w:rFonts w:ascii="Arial" w:hAnsi="Arial" w:cs="Arial"/>
          <w:lang w:val="hr-HR"/>
        </w:rPr>
        <w:t xml:space="preserve"> </w:t>
      </w:r>
      <w:r>
        <w:rPr>
          <w:rFonts w:ascii="Arial" w:hAnsi="Arial" w:cs="Arial"/>
          <w:lang w:val="hr-HR"/>
        </w:rPr>
        <w:t>доспијеће</w:t>
      </w:r>
      <w:r w:rsidR="007B6BE3" w:rsidRPr="0087376B">
        <w:rPr>
          <w:rFonts w:ascii="Arial" w:hAnsi="Arial" w:cs="Arial"/>
          <w:lang w:val="hr-HR"/>
        </w:rPr>
        <w:t xml:space="preserve"> </w:t>
      </w:r>
      <w:r>
        <w:rPr>
          <w:rFonts w:ascii="Arial" w:hAnsi="Arial" w:cs="Arial"/>
          <w:lang w:val="hr-HR"/>
        </w:rPr>
        <w:t>портфолија</w:t>
      </w:r>
      <w:r w:rsidR="007B6BE3" w:rsidRPr="0087376B">
        <w:rPr>
          <w:rFonts w:ascii="Arial" w:hAnsi="Arial" w:cs="Arial"/>
          <w:lang w:val="hr-HR"/>
        </w:rPr>
        <w:t xml:space="preserve"> </w:t>
      </w:r>
      <w:r>
        <w:rPr>
          <w:rFonts w:ascii="Arial" w:hAnsi="Arial" w:cs="Arial"/>
          <w:lang w:val="hr-HR"/>
        </w:rPr>
        <w:t>дуга</w:t>
      </w:r>
      <w:r w:rsidR="007B6BE3" w:rsidRPr="0087376B">
        <w:rPr>
          <w:rFonts w:ascii="Arial" w:hAnsi="Arial" w:cs="Arial"/>
          <w:lang w:val="hr-HR"/>
        </w:rPr>
        <w:t xml:space="preserve"> </w:t>
      </w:r>
      <w:r>
        <w:rPr>
          <w:rFonts w:ascii="Arial" w:hAnsi="Arial" w:cs="Arial"/>
          <w:lang w:val="hr-HR"/>
        </w:rPr>
        <w:t>продужити</w:t>
      </w:r>
      <w:r w:rsidR="007B6BE3" w:rsidRPr="0087376B">
        <w:rPr>
          <w:rFonts w:ascii="Arial" w:hAnsi="Arial" w:cs="Arial"/>
          <w:lang w:val="hr-HR"/>
        </w:rPr>
        <w:t xml:space="preserve"> </w:t>
      </w:r>
      <w:r>
        <w:rPr>
          <w:rFonts w:ascii="Arial" w:hAnsi="Arial" w:cs="Arial"/>
          <w:lang w:val="hr-HR"/>
        </w:rPr>
        <w:t>на</w:t>
      </w:r>
      <w:r w:rsidR="007B6BE3" w:rsidRPr="0087376B">
        <w:rPr>
          <w:rFonts w:ascii="Arial" w:hAnsi="Arial" w:cs="Arial"/>
          <w:lang w:val="hr-HR"/>
        </w:rPr>
        <w:t xml:space="preserve"> </w:t>
      </w:r>
      <w:r>
        <w:rPr>
          <w:rFonts w:ascii="Arial" w:hAnsi="Arial" w:cs="Arial"/>
          <w:lang w:val="hr-HR"/>
        </w:rPr>
        <w:t>најмање</w:t>
      </w:r>
      <w:r w:rsidR="007B6BE3" w:rsidRPr="0087376B">
        <w:rPr>
          <w:rFonts w:ascii="Arial" w:hAnsi="Arial" w:cs="Arial"/>
          <w:lang w:val="hr-HR"/>
        </w:rPr>
        <w:t xml:space="preserve"> 6,5 </w:t>
      </w:r>
      <w:r>
        <w:rPr>
          <w:rFonts w:ascii="Arial" w:hAnsi="Arial" w:cs="Arial"/>
          <w:lang w:val="hr-HR"/>
        </w:rPr>
        <w:t>година</w:t>
      </w:r>
      <w:r w:rsidR="007B6BE3" w:rsidRPr="0087376B">
        <w:rPr>
          <w:rFonts w:ascii="Arial" w:hAnsi="Arial" w:cs="Arial"/>
          <w:lang w:val="hr-HR"/>
        </w:rPr>
        <w:t>.</w:t>
      </w:r>
    </w:p>
    <w:p w14:paraId="53AC3E7F" w14:textId="77777777" w:rsidR="007B6BE3" w:rsidRPr="0087376B" w:rsidRDefault="007B6BE3" w:rsidP="007B6BE3">
      <w:pPr>
        <w:pStyle w:val="NoSpacing"/>
        <w:spacing w:line="276" w:lineRule="auto"/>
        <w:ind w:left="720"/>
        <w:jc w:val="both"/>
        <w:rPr>
          <w:rFonts w:ascii="Arial" w:hAnsi="Arial" w:cs="Arial"/>
          <w:lang w:val="hr-HR"/>
        </w:rPr>
      </w:pPr>
    </w:p>
    <w:p w14:paraId="11E66D9A" w14:textId="2E8C989B" w:rsidR="007B6BE3" w:rsidRPr="0092788C" w:rsidRDefault="005B20F8" w:rsidP="0092788C">
      <w:pPr>
        <w:pStyle w:val="Heading2"/>
        <w:numPr>
          <w:ilvl w:val="1"/>
          <w:numId w:val="1"/>
        </w:numPr>
        <w:spacing w:before="0"/>
        <w:ind w:left="993" w:hanging="709"/>
        <w:rPr>
          <w:rFonts w:ascii="Arial" w:hAnsi="Arial" w:cs="Arial"/>
          <w:b w:val="0"/>
          <w:color w:val="auto"/>
          <w:sz w:val="24"/>
          <w:szCs w:val="24"/>
        </w:rPr>
      </w:pPr>
      <w:bookmarkStart w:id="150" w:name="_Toc149810628"/>
      <w:r w:rsidRPr="0092788C">
        <w:rPr>
          <w:rFonts w:ascii="Arial" w:hAnsi="Arial" w:cs="Arial"/>
          <w:b w:val="0"/>
          <w:color w:val="auto"/>
          <w:sz w:val="24"/>
          <w:szCs w:val="24"/>
        </w:rPr>
        <w:t>Квантитативни</w:t>
      </w:r>
      <w:r w:rsidR="007B6BE3" w:rsidRPr="0092788C">
        <w:rPr>
          <w:rFonts w:ascii="Arial" w:hAnsi="Arial" w:cs="Arial"/>
          <w:b w:val="0"/>
          <w:color w:val="auto"/>
          <w:sz w:val="24"/>
          <w:szCs w:val="24"/>
        </w:rPr>
        <w:t xml:space="preserve"> </w:t>
      </w:r>
      <w:r w:rsidRPr="0092788C">
        <w:rPr>
          <w:rFonts w:ascii="Arial" w:hAnsi="Arial" w:cs="Arial"/>
          <w:b w:val="0"/>
          <w:color w:val="auto"/>
          <w:sz w:val="24"/>
          <w:szCs w:val="24"/>
        </w:rPr>
        <w:t>циљеви</w:t>
      </w:r>
      <w:bookmarkEnd w:id="150"/>
    </w:p>
    <w:p w14:paraId="5007582E" w14:textId="77777777" w:rsidR="007B6BE3" w:rsidRPr="0087376B" w:rsidRDefault="007B6BE3" w:rsidP="007B6BE3">
      <w:pPr>
        <w:pStyle w:val="NoSpacing"/>
        <w:spacing w:line="276" w:lineRule="auto"/>
        <w:jc w:val="both"/>
        <w:rPr>
          <w:rFonts w:ascii="Arial" w:hAnsi="Arial" w:cs="Arial"/>
          <w:lang w:val="hr-HR"/>
        </w:rPr>
      </w:pPr>
    </w:p>
    <w:p w14:paraId="44CEAF22" w14:textId="77777777" w:rsidR="007B6BE3" w:rsidRPr="0087376B" w:rsidRDefault="005B20F8" w:rsidP="007B6BE3">
      <w:pPr>
        <w:pStyle w:val="NoSpacing"/>
        <w:spacing w:line="276" w:lineRule="auto"/>
        <w:ind w:firstLine="284"/>
        <w:jc w:val="both"/>
        <w:rPr>
          <w:rFonts w:ascii="Arial" w:hAnsi="Arial" w:cs="Arial"/>
          <w:lang w:val="hr-HR"/>
        </w:rPr>
      </w:pPr>
      <w:r>
        <w:rPr>
          <w:rFonts w:ascii="Arial" w:hAnsi="Arial" w:cs="Arial"/>
          <w:lang w:val="hr-HR"/>
        </w:rPr>
        <w:t>На</w:t>
      </w:r>
      <w:r w:rsidR="007B6BE3" w:rsidRPr="0087376B">
        <w:rPr>
          <w:rFonts w:ascii="Arial" w:hAnsi="Arial" w:cs="Arial"/>
          <w:lang w:val="hr-HR"/>
        </w:rPr>
        <w:t xml:space="preserve"> </w:t>
      </w:r>
      <w:r>
        <w:rPr>
          <w:rFonts w:ascii="Arial" w:hAnsi="Arial" w:cs="Arial"/>
          <w:lang w:val="hr-HR"/>
        </w:rPr>
        <w:t>основу</w:t>
      </w:r>
      <w:r w:rsidR="007B6BE3" w:rsidRPr="0087376B">
        <w:rPr>
          <w:rFonts w:ascii="Arial" w:hAnsi="Arial" w:cs="Arial"/>
          <w:lang w:val="hr-HR"/>
        </w:rPr>
        <w:t xml:space="preserve"> </w:t>
      </w:r>
      <w:r>
        <w:rPr>
          <w:rFonts w:ascii="Arial" w:hAnsi="Arial" w:cs="Arial"/>
          <w:lang w:val="hr-HR"/>
        </w:rPr>
        <w:t>тренутног</w:t>
      </w:r>
      <w:r w:rsidR="007B6BE3" w:rsidRPr="0087376B">
        <w:rPr>
          <w:rFonts w:ascii="Arial" w:hAnsi="Arial" w:cs="Arial"/>
          <w:lang w:val="hr-HR"/>
        </w:rPr>
        <w:t xml:space="preserve"> </w:t>
      </w:r>
      <w:r>
        <w:rPr>
          <w:rFonts w:ascii="Arial" w:hAnsi="Arial" w:cs="Arial"/>
          <w:lang w:val="hr-HR"/>
        </w:rPr>
        <w:t>макроекономског</w:t>
      </w:r>
      <w:r w:rsidR="007B6BE3" w:rsidRPr="0087376B">
        <w:rPr>
          <w:rFonts w:ascii="Arial" w:hAnsi="Arial" w:cs="Arial"/>
          <w:lang w:val="hr-HR"/>
        </w:rPr>
        <w:t xml:space="preserve"> </w:t>
      </w:r>
      <w:r>
        <w:rPr>
          <w:rFonts w:ascii="Arial" w:hAnsi="Arial" w:cs="Arial"/>
          <w:lang w:val="hr-HR"/>
        </w:rPr>
        <w:t>оквира</w:t>
      </w:r>
      <w:r w:rsidR="007B6BE3" w:rsidRPr="0087376B">
        <w:rPr>
          <w:rFonts w:ascii="Arial" w:hAnsi="Arial" w:cs="Arial"/>
          <w:lang w:val="hr-HR"/>
        </w:rPr>
        <w:t xml:space="preserve"> </w:t>
      </w:r>
      <w:r>
        <w:rPr>
          <w:rFonts w:ascii="Arial" w:hAnsi="Arial" w:cs="Arial"/>
          <w:lang w:val="hr-HR"/>
        </w:rPr>
        <w:t>праћењем</w:t>
      </w:r>
      <w:r w:rsidR="007B6BE3" w:rsidRPr="0087376B">
        <w:rPr>
          <w:rFonts w:ascii="Arial" w:hAnsi="Arial" w:cs="Arial"/>
          <w:lang w:val="hr-HR"/>
        </w:rPr>
        <w:t xml:space="preserve"> </w:t>
      </w:r>
      <w:r>
        <w:rPr>
          <w:rFonts w:ascii="Arial" w:hAnsi="Arial" w:cs="Arial"/>
          <w:lang w:val="hr-HR"/>
        </w:rPr>
        <w:t>префериране</w:t>
      </w:r>
      <w:r w:rsidR="007B6BE3" w:rsidRPr="0087376B">
        <w:rPr>
          <w:rFonts w:ascii="Arial" w:hAnsi="Arial" w:cs="Arial"/>
          <w:lang w:val="hr-HR"/>
        </w:rPr>
        <w:t xml:space="preserve"> </w:t>
      </w:r>
      <w:r>
        <w:rPr>
          <w:rFonts w:ascii="Arial" w:hAnsi="Arial" w:cs="Arial"/>
          <w:lang w:val="hr-HR"/>
        </w:rPr>
        <w:t>стратегије</w:t>
      </w:r>
      <w:r w:rsidR="007B6BE3" w:rsidRPr="0087376B">
        <w:rPr>
          <w:rFonts w:ascii="Arial" w:hAnsi="Arial" w:cs="Arial"/>
          <w:lang w:val="hr-HR"/>
        </w:rPr>
        <w:t xml:space="preserve"> </w:t>
      </w:r>
      <w:r>
        <w:rPr>
          <w:rFonts w:ascii="Arial" w:hAnsi="Arial" w:cs="Arial"/>
          <w:lang w:val="hr-HR"/>
        </w:rPr>
        <w:t>задуживања</w:t>
      </w:r>
      <w:r w:rsidR="007B6BE3" w:rsidRPr="0087376B">
        <w:rPr>
          <w:rFonts w:ascii="Arial" w:hAnsi="Arial" w:cs="Arial"/>
          <w:lang w:val="hr-HR"/>
        </w:rPr>
        <w:t xml:space="preserve"> </w:t>
      </w:r>
      <w:r>
        <w:rPr>
          <w:rFonts w:ascii="Arial" w:hAnsi="Arial" w:cs="Arial"/>
          <w:lang w:val="hr-HR"/>
        </w:rPr>
        <w:t>на</w:t>
      </w:r>
      <w:r w:rsidR="007B6BE3" w:rsidRPr="0087376B">
        <w:rPr>
          <w:rFonts w:ascii="Arial" w:hAnsi="Arial" w:cs="Arial"/>
          <w:lang w:val="hr-HR"/>
        </w:rPr>
        <w:t xml:space="preserve"> </w:t>
      </w:r>
      <w:r>
        <w:rPr>
          <w:rFonts w:ascii="Arial" w:hAnsi="Arial" w:cs="Arial"/>
          <w:lang w:val="hr-HR"/>
        </w:rPr>
        <w:t>крају</w:t>
      </w:r>
      <w:r w:rsidR="007B6BE3" w:rsidRPr="0087376B">
        <w:rPr>
          <w:rFonts w:ascii="Arial" w:hAnsi="Arial" w:cs="Arial"/>
          <w:lang w:val="hr-HR"/>
        </w:rPr>
        <w:t xml:space="preserve"> 2025. </w:t>
      </w:r>
      <w:r>
        <w:rPr>
          <w:rFonts w:ascii="Arial" w:hAnsi="Arial" w:cs="Arial"/>
          <w:lang w:val="hr-HR"/>
        </w:rPr>
        <w:t>године</w:t>
      </w:r>
      <w:r w:rsidR="007B6BE3" w:rsidRPr="0087376B">
        <w:rPr>
          <w:rFonts w:ascii="Arial" w:hAnsi="Arial" w:cs="Arial"/>
          <w:lang w:val="hr-HR"/>
        </w:rPr>
        <w:t xml:space="preserve"> </w:t>
      </w:r>
      <w:r>
        <w:rPr>
          <w:rFonts w:ascii="Arial" w:hAnsi="Arial" w:cs="Arial"/>
          <w:lang w:val="hr-HR"/>
        </w:rPr>
        <w:t>очекивани</w:t>
      </w:r>
      <w:r w:rsidR="007B6BE3" w:rsidRPr="0087376B">
        <w:rPr>
          <w:rFonts w:ascii="Arial" w:hAnsi="Arial" w:cs="Arial"/>
          <w:lang w:val="hr-HR"/>
        </w:rPr>
        <w:t xml:space="preserve"> </w:t>
      </w:r>
      <w:r>
        <w:rPr>
          <w:rFonts w:ascii="Arial" w:hAnsi="Arial" w:cs="Arial"/>
          <w:lang w:val="hr-HR"/>
        </w:rPr>
        <w:t>индикатори</w:t>
      </w:r>
      <w:r w:rsidR="007B6BE3" w:rsidRPr="0087376B">
        <w:rPr>
          <w:rFonts w:ascii="Arial" w:hAnsi="Arial" w:cs="Arial"/>
          <w:lang w:val="hr-HR"/>
        </w:rPr>
        <w:t xml:space="preserve"> </w:t>
      </w:r>
      <w:r>
        <w:rPr>
          <w:rFonts w:ascii="Arial" w:hAnsi="Arial" w:cs="Arial"/>
          <w:lang w:val="hr-HR"/>
        </w:rPr>
        <w:t>ризика</w:t>
      </w:r>
      <w:r w:rsidR="007B6BE3" w:rsidRPr="0087376B">
        <w:rPr>
          <w:rFonts w:ascii="Arial" w:hAnsi="Arial" w:cs="Arial"/>
          <w:lang w:val="hr-HR"/>
        </w:rPr>
        <w:t xml:space="preserve"> </w:t>
      </w:r>
      <w:r>
        <w:rPr>
          <w:rFonts w:ascii="Arial" w:hAnsi="Arial" w:cs="Arial"/>
          <w:lang w:val="hr-HR"/>
        </w:rPr>
        <w:t>портфолија</w:t>
      </w:r>
      <w:r w:rsidR="007B6BE3" w:rsidRPr="0087376B">
        <w:rPr>
          <w:rFonts w:ascii="Arial" w:hAnsi="Arial" w:cs="Arial"/>
          <w:lang w:val="hr-HR"/>
        </w:rPr>
        <w:t xml:space="preserve"> </w:t>
      </w:r>
      <w:r>
        <w:rPr>
          <w:rFonts w:ascii="Arial" w:hAnsi="Arial" w:cs="Arial"/>
          <w:lang w:val="hr-HR"/>
        </w:rPr>
        <w:t>дуга</w:t>
      </w:r>
      <w:r w:rsidR="007B6BE3" w:rsidRPr="0087376B">
        <w:rPr>
          <w:rFonts w:ascii="Arial" w:hAnsi="Arial" w:cs="Arial"/>
          <w:lang w:val="hr-HR"/>
        </w:rPr>
        <w:t xml:space="preserve"> </w:t>
      </w:r>
      <w:r>
        <w:rPr>
          <w:rFonts w:ascii="Arial" w:hAnsi="Arial" w:cs="Arial"/>
          <w:lang w:val="hr-HR"/>
        </w:rPr>
        <w:t>били</w:t>
      </w:r>
      <w:r w:rsidR="007B6BE3" w:rsidRPr="0087376B">
        <w:rPr>
          <w:rFonts w:ascii="Arial" w:hAnsi="Arial" w:cs="Arial"/>
          <w:lang w:val="hr-HR"/>
        </w:rPr>
        <w:t xml:space="preserve"> </w:t>
      </w:r>
      <w:r>
        <w:rPr>
          <w:rFonts w:ascii="Arial" w:hAnsi="Arial" w:cs="Arial"/>
          <w:lang w:val="hr-HR"/>
        </w:rPr>
        <w:t>би</w:t>
      </w:r>
      <w:r w:rsidR="007B6BE3" w:rsidRPr="0087376B">
        <w:rPr>
          <w:rFonts w:ascii="Arial" w:hAnsi="Arial" w:cs="Arial"/>
          <w:lang w:val="hr-HR"/>
        </w:rPr>
        <w:t xml:space="preserve"> </w:t>
      </w:r>
      <w:r>
        <w:rPr>
          <w:rFonts w:ascii="Arial" w:hAnsi="Arial" w:cs="Arial"/>
          <w:lang w:val="hr-HR"/>
        </w:rPr>
        <w:t>сљедећи</w:t>
      </w:r>
      <w:r w:rsidR="007B6BE3" w:rsidRPr="0087376B">
        <w:rPr>
          <w:rFonts w:ascii="Arial" w:hAnsi="Arial" w:cs="Arial"/>
          <w:lang w:val="hr-HR"/>
        </w:rPr>
        <w:t>:</w:t>
      </w:r>
    </w:p>
    <w:p w14:paraId="48217DB3" w14:textId="77777777" w:rsidR="007B6BE3" w:rsidRPr="0087376B" w:rsidRDefault="007B6BE3" w:rsidP="007B6BE3">
      <w:pPr>
        <w:pStyle w:val="NoSpacing"/>
        <w:spacing w:line="276" w:lineRule="auto"/>
        <w:ind w:firstLine="284"/>
        <w:jc w:val="both"/>
        <w:rPr>
          <w:rFonts w:ascii="Arial" w:hAnsi="Arial" w:cs="Arial"/>
          <w:lang w:val="hr-HR"/>
        </w:rPr>
      </w:pPr>
    </w:p>
    <w:p w14:paraId="47E00768" w14:textId="77777777" w:rsidR="007B6BE3" w:rsidRPr="00C7294F" w:rsidRDefault="005B20F8" w:rsidP="007B6BE3">
      <w:pPr>
        <w:pStyle w:val="NoSpacing"/>
        <w:numPr>
          <w:ilvl w:val="0"/>
          <w:numId w:val="4"/>
        </w:numPr>
        <w:spacing w:line="276" w:lineRule="auto"/>
        <w:jc w:val="both"/>
        <w:rPr>
          <w:rFonts w:ascii="Arial" w:hAnsi="Arial" w:cs="Arial"/>
          <w:lang w:val="hr-HR"/>
        </w:rPr>
      </w:pPr>
      <w:r>
        <w:rPr>
          <w:rFonts w:ascii="Arial" w:hAnsi="Arial" w:cs="Arial"/>
          <w:lang w:val="hr-HR"/>
        </w:rPr>
        <w:t>просјечно</w:t>
      </w:r>
      <w:r w:rsidR="007B6BE3" w:rsidRPr="0087376B">
        <w:rPr>
          <w:rFonts w:ascii="Arial" w:hAnsi="Arial" w:cs="Arial"/>
          <w:lang w:val="hr-HR"/>
        </w:rPr>
        <w:t xml:space="preserve"> </w:t>
      </w:r>
      <w:r>
        <w:rPr>
          <w:rFonts w:ascii="Arial" w:hAnsi="Arial" w:cs="Arial"/>
          <w:lang w:val="hr-HR"/>
        </w:rPr>
        <w:t>вријеме</w:t>
      </w:r>
      <w:r w:rsidR="007B6BE3" w:rsidRPr="0087376B">
        <w:rPr>
          <w:rFonts w:ascii="Arial" w:hAnsi="Arial" w:cs="Arial"/>
          <w:lang w:val="hr-HR"/>
        </w:rPr>
        <w:t xml:space="preserve"> </w:t>
      </w:r>
      <w:r>
        <w:rPr>
          <w:rFonts w:ascii="Arial" w:hAnsi="Arial" w:cs="Arial"/>
          <w:lang w:val="hr-HR"/>
        </w:rPr>
        <w:t>доспијећа</w:t>
      </w:r>
      <w:r w:rsidR="007B6BE3" w:rsidRPr="0087376B">
        <w:rPr>
          <w:rFonts w:ascii="Arial" w:hAnsi="Arial" w:cs="Arial"/>
          <w:lang w:val="hr-HR"/>
        </w:rPr>
        <w:t xml:space="preserve"> </w:t>
      </w:r>
      <w:r>
        <w:rPr>
          <w:rFonts w:ascii="Arial" w:hAnsi="Arial" w:cs="Arial"/>
          <w:lang w:val="hr-HR"/>
        </w:rPr>
        <w:t>кредита</w:t>
      </w:r>
      <w:r w:rsidR="007B6BE3" w:rsidRPr="0087376B">
        <w:rPr>
          <w:rFonts w:ascii="Arial" w:hAnsi="Arial" w:cs="Arial"/>
          <w:lang w:val="hr-HR"/>
        </w:rPr>
        <w:t xml:space="preserve"> </w:t>
      </w:r>
      <w:r w:rsidR="007B6BE3" w:rsidRPr="00C7294F">
        <w:rPr>
          <w:rFonts w:ascii="Arial" w:hAnsi="Arial" w:cs="Arial"/>
          <w:lang w:val="hr-HR"/>
        </w:rPr>
        <w:t>(</w:t>
      </w:r>
      <w:r w:rsidRPr="00C7294F">
        <w:rPr>
          <w:rFonts w:ascii="Arial" w:hAnsi="Arial" w:cs="Arial"/>
          <w:lang w:val="hr-HR"/>
        </w:rPr>
        <w:t>АТМ</w:t>
      </w:r>
      <w:r w:rsidR="007B6BE3" w:rsidRPr="00C7294F">
        <w:rPr>
          <w:rFonts w:ascii="Arial" w:hAnsi="Arial" w:cs="Arial"/>
          <w:lang w:val="hr-HR"/>
        </w:rPr>
        <w:t xml:space="preserve">) </w:t>
      </w:r>
      <w:r w:rsidRPr="00C7294F">
        <w:rPr>
          <w:rFonts w:ascii="Arial" w:hAnsi="Arial" w:cs="Arial"/>
          <w:lang w:val="hr-HR"/>
        </w:rPr>
        <w:t>не</w:t>
      </w:r>
      <w:r w:rsidR="007B6BE3" w:rsidRPr="00C7294F">
        <w:rPr>
          <w:rFonts w:ascii="Arial" w:hAnsi="Arial" w:cs="Arial"/>
          <w:lang w:val="hr-HR"/>
        </w:rPr>
        <w:t xml:space="preserve"> </w:t>
      </w:r>
      <w:r w:rsidRPr="00C7294F">
        <w:rPr>
          <w:rFonts w:ascii="Arial" w:hAnsi="Arial" w:cs="Arial"/>
          <w:lang w:val="hr-HR"/>
        </w:rPr>
        <w:t>би</w:t>
      </w:r>
      <w:r w:rsidR="007B6BE3" w:rsidRPr="00C7294F">
        <w:rPr>
          <w:rFonts w:ascii="Arial" w:hAnsi="Arial" w:cs="Arial"/>
          <w:lang w:val="hr-HR"/>
        </w:rPr>
        <w:t xml:space="preserve"> </w:t>
      </w:r>
      <w:r w:rsidRPr="00C7294F">
        <w:rPr>
          <w:rFonts w:ascii="Arial" w:hAnsi="Arial" w:cs="Arial"/>
          <w:lang w:val="hr-HR"/>
        </w:rPr>
        <w:t>требало</w:t>
      </w:r>
      <w:r w:rsidR="007B6BE3" w:rsidRPr="00C7294F">
        <w:rPr>
          <w:rFonts w:ascii="Arial" w:hAnsi="Arial" w:cs="Arial"/>
          <w:lang w:val="hr-HR"/>
        </w:rPr>
        <w:t xml:space="preserve"> </w:t>
      </w:r>
      <w:r w:rsidRPr="00C7294F">
        <w:rPr>
          <w:rFonts w:ascii="Arial" w:hAnsi="Arial" w:cs="Arial"/>
          <w:lang w:val="hr-HR"/>
        </w:rPr>
        <w:t>бити</w:t>
      </w:r>
      <w:r w:rsidR="007B6BE3" w:rsidRPr="00C7294F">
        <w:rPr>
          <w:rFonts w:ascii="Arial" w:hAnsi="Arial" w:cs="Arial"/>
          <w:lang w:val="hr-HR"/>
        </w:rPr>
        <w:t xml:space="preserve"> </w:t>
      </w:r>
      <w:r w:rsidRPr="00C7294F">
        <w:rPr>
          <w:rFonts w:ascii="Arial" w:hAnsi="Arial" w:cs="Arial"/>
          <w:lang w:val="hr-HR"/>
        </w:rPr>
        <w:t>мање</w:t>
      </w:r>
      <w:r w:rsidR="007B6BE3" w:rsidRPr="00C7294F">
        <w:rPr>
          <w:rFonts w:ascii="Arial" w:hAnsi="Arial" w:cs="Arial"/>
          <w:lang w:val="hr-HR"/>
        </w:rPr>
        <w:t xml:space="preserve"> </w:t>
      </w:r>
      <w:r w:rsidRPr="00C7294F">
        <w:rPr>
          <w:rFonts w:ascii="Arial" w:hAnsi="Arial" w:cs="Arial"/>
          <w:lang w:val="hr-HR"/>
        </w:rPr>
        <w:t>од</w:t>
      </w:r>
      <w:r w:rsidR="007B6BE3" w:rsidRPr="00C7294F">
        <w:rPr>
          <w:rFonts w:ascii="Arial" w:hAnsi="Arial" w:cs="Arial"/>
          <w:lang w:val="hr-HR"/>
        </w:rPr>
        <w:t xml:space="preserve"> 6,44 </w:t>
      </w:r>
      <w:r w:rsidRPr="00C7294F">
        <w:rPr>
          <w:rFonts w:ascii="Arial" w:hAnsi="Arial" w:cs="Arial"/>
          <w:lang w:val="hr-HR"/>
        </w:rPr>
        <w:t>година</w:t>
      </w:r>
      <w:r w:rsidR="007B6BE3" w:rsidRPr="00C7294F">
        <w:rPr>
          <w:rFonts w:ascii="Arial" w:hAnsi="Arial" w:cs="Arial"/>
          <w:lang w:val="hr-HR"/>
        </w:rPr>
        <w:t>;</w:t>
      </w:r>
    </w:p>
    <w:p w14:paraId="7888F047" w14:textId="77777777" w:rsidR="007B6BE3" w:rsidRPr="0087376B" w:rsidRDefault="005B20F8" w:rsidP="007B6BE3">
      <w:pPr>
        <w:pStyle w:val="NoSpacing"/>
        <w:numPr>
          <w:ilvl w:val="0"/>
          <w:numId w:val="4"/>
        </w:numPr>
        <w:spacing w:line="276" w:lineRule="auto"/>
        <w:jc w:val="both"/>
        <w:rPr>
          <w:rFonts w:ascii="Arial" w:hAnsi="Arial" w:cs="Arial"/>
          <w:lang w:val="hr-HR"/>
        </w:rPr>
      </w:pPr>
      <w:r w:rsidRPr="00C7294F">
        <w:rPr>
          <w:rFonts w:ascii="Arial" w:hAnsi="Arial" w:cs="Arial"/>
          <w:lang w:val="hr-HR"/>
        </w:rPr>
        <w:t>просјечно</w:t>
      </w:r>
      <w:r w:rsidR="007B6BE3" w:rsidRPr="00C7294F">
        <w:rPr>
          <w:rFonts w:ascii="Arial" w:hAnsi="Arial" w:cs="Arial"/>
          <w:lang w:val="hr-HR"/>
        </w:rPr>
        <w:t xml:space="preserve"> </w:t>
      </w:r>
      <w:r w:rsidRPr="00C7294F">
        <w:rPr>
          <w:rFonts w:ascii="Arial" w:hAnsi="Arial" w:cs="Arial"/>
          <w:lang w:val="hr-HR"/>
        </w:rPr>
        <w:t>вријеме</w:t>
      </w:r>
      <w:r w:rsidR="007B6BE3" w:rsidRPr="00C7294F">
        <w:rPr>
          <w:rFonts w:ascii="Arial" w:hAnsi="Arial" w:cs="Arial"/>
          <w:lang w:val="hr-HR"/>
        </w:rPr>
        <w:t xml:space="preserve"> </w:t>
      </w:r>
      <w:r w:rsidRPr="00C7294F">
        <w:rPr>
          <w:rFonts w:ascii="Arial" w:hAnsi="Arial" w:cs="Arial"/>
          <w:lang w:val="hr-HR"/>
        </w:rPr>
        <w:t>рефиксирања</w:t>
      </w:r>
      <w:r w:rsidR="007B6BE3" w:rsidRPr="00C7294F">
        <w:rPr>
          <w:rFonts w:ascii="Arial" w:hAnsi="Arial" w:cs="Arial"/>
          <w:lang w:val="hr-HR"/>
        </w:rPr>
        <w:t xml:space="preserve"> </w:t>
      </w:r>
      <w:r w:rsidRPr="00C7294F">
        <w:rPr>
          <w:rFonts w:ascii="Arial" w:hAnsi="Arial" w:cs="Arial"/>
          <w:lang w:val="hr-HR"/>
        </w:rPr>
        <w:t>кредита</w:t>
      </w:r>
      <w:r w:rsidR="007B6BE3" w:rsidRPr="00C7294F">
        <w:rPr>
          <w:rFonts w:ascii="Arial" w:hAnsi="Arial" w:cs="Arial"/>
          <w:lang w:val="hr-HR"/>
        </w:rPr>
        <w:t xml:space="preserve"> (</w:t>
      </w:r>
      <w:r w:rsidRPr="00C7294F">
        <w:rPr>
          <w:rFonts w:ascii="Arial" w:hAnsi="Arial" w:cs="Arial"/>
          <w:lang w:val="hr-HR"/>
        </w:rPr>
        <w:t>АТ</w:t>
      </w:r>
      <w:r w:rsidR="00C7294F" w:rsidRPr="00C7294F">
        <w:rPr>
          <w:rFonts w:ascii="Arial" w:hAnsi="Arial" w:cs="Arial"/>
          <w:lang w:val="hr-HR"/>
        </w:rPr>
        <w:t>R</w:t>
      </w:r>
      <w:r w:rsidR="007B6BE3" w:rsidRPr="00C7294F">
        <w:rPr>
          <w:rFonts w:ascii="Arial" w:hAnsi="Arial" w:cs="Arial"/>
          <w:lang w:val="hr-HR"/>
        </w:rPr>
        <w:t xml:space="preserve">) </w:t>
      </w:r>
      <w:r>
        <w:rPr>
          <w:rFonts w:ascii="Arial" w:hAnsi="Arial" w:cs="Arial"/>
          <w:lang w:val="hr-HR"/>
        </w:rPr>
        <w:t>ће</w:t>
      </w:r>
      <w:r w:rsidR="007B6BE3" w:rsidRPr="0087376B">
        <w:rPr>
          <w:rFonts w:ascii="Arial" w:hAnsi="Arial" w:cs="Arial"/>
          <w:lang w:val="hr-HR"/>
        </w:rPr>
        <w:t xml:space="preserve"> </w:t>
      </w:r>
      <w:r>
        <w:rPr>
          <w:rFonts w:ascii="Arial" w:hAnsi="Arial" w:cs="Arial"/>
          <w:lang w:val="hr-HR"/>
        </w:rPr>
        <w:t>износити</w:t>
      </w:r>
      <w:r w:rsidR="007B6BE3" w:rsidRPr="0087376B">
        <w:rPr>
          <w:rFonts w:ascii="Arial" w:hAnsi="Arial" w:cs="Arial"/>
          <w:lang w:val="hr-HR"/>
        </w:rPr>
        <w:t xml:space="preserve"> 4,75 </w:t>
      </w:r>
      <w:r>
        <w:rPr>
          <w:rFonts w:ascii="Arial" w:hAnsi="Arial" w:cs="Arial"/>
          <w:lang w:val="hr-HR"/>
        </w:rPr>
        <w:t>годину</w:t>
      </w:r>
      <w:r w:rsidR="007B6BE3" w:rsidRPr="0087376B">
        <w:rPr>
          <w:rFonts w:ascii="Arial" w:hAnsi="Arial" w:cs="Arial"/>
          <w:lang w:val="hr-HR"/>
        </w:rPr>
        <w:t>;</w:t>
      </w:r>
    </w:p>
    <w:p w14:paraId="3876C948" w14:textId="1C83586D" w:rsidR="007B6BE3" w:rsidRPr="00E655AE" w:rsidRDefault="005B20F8" w:rsidP="007B6BE3">
      <w:pPr>
        <w:pStyle w:val="NoSpacing"/>
        <w:numPr>
          <w:ilvl w:val="0"/>
          <w:numId w:val="4"/>
        </w:numPr>
        <w:spacing w:line="276" w:lineRule="auto"/>
        <w:jc w:val="both"/>
        <w:rPr>
          <w:rFonts w:ascii="Arial" w:hAnsi="Arial" w:cs="Arial"/>
          <w:lang w:val="hr-HR"/>
        </w:rPr>
      </w:pPr>
      <w:r w:rsidRPr="00E655AE">
        <w:rPr>
          <w:rFonts w:ascii="Arial" w:hAnsi="Arial" w:cs="Arial"/>
          <w:lang w:val="hr-HR"/>
        </w:rPr>
        <w:t>учешће</w:t>
      </w:r>
      <w:r w:rsidR="007B6BE3" w:rsidRPr="00E655AE">
        <w:rPr>
          <w:rFonts w:ascii="Arial" w:hAnsi="Arial" w:cs="Arial"/>
          <w:lang w:val="hr-HR"/>
        </w:rPr>
        <w:t xml:space="preserve"> </w:t>
      </w:r>
      <w:r w:rsidRPr="00E655AE">
        <w:rPr>
          <w:rFonts w:ascii="Arial" w:hAnsi="Arial" w:cs="Arial"/>
          <w:lang w:val="hr-HR"/>
        </w:rPr>
        <w:t>сервисирања</w:t>
      </w:r>
      <w:r w:rsidR="007B6BE3" w:rsidRPr="00E655AE">
        <w:rPr>
          <w:rFonts w:ascii="Arial" w:hAnsi="Arial" w:cs="Arial"/>
          <w:lang w:val="hr-HR"/>
        </w:rPr>
        <w:t xml:space="preserve"> </w:t>
      </w:r>
      <w:r w:rsidRPr="00E655AE">
        <w:rPr>
          <w:rFonts w:ascii="Arial" w:hAnsi="Arial" w:cs="Arial"/>
          <w:lang w:val="hr-HR"/>
        </w:rPr>
        <w:t>камата</w:t>
      </w:r>
      <w:r w:rsidR="007B6BE3" w:rsidRPr="00E655AE">
        <w:rPr>
          <w:rFonts w:ascii="Arial" w:hAnsi="Arial" w:cs="Arial"/>
          <w:lang w:val="hr-HR"/>
        </w:rPr>
        <w:t xml:space="preserve"> </w:t>
      </w:r>
      <w:r w:rsidRPr="00E655AE">
        <w:rPr>
          <w:rFonts w:ascii="Arial" w:hAnsi="Arial" w:cs="Arial"/>
          <w:lang w:val="hr-HR"/>
        </w:rPr>
        <w:t>по</w:t>
      </w:r>
      <w:r w:rsidR="007B6BE3" w:rsidRPr="00E655AE">
        <w:rPr>
          <w:rFonts w:ascii="Arial" w:hAnsi="Arial" w:cs="Arial"/>
          <w:lang w:val="hr-HR"/>
        </w:rPr>
        <w:t xml:space="preserve"> </w:t>
      </w:r>
      <w:r w:rsidRPr="00E655AE">
        <w:rPr>
          <w:rFonts w:ascii="Arial" w:hAnsi="Arial" w:cs="Arial"/>
          <w:lang w:val="hr-HR"/>
        </w:rPr>
        <w:t>основу</w:t>
      </w:r>
      <w:r w:rsidR="007B6BE3" w:rsidRPr="00E655AE">
        <w:rPr>
          <w:rFonts w:ascii="Arial" w:hAnsi="Arial" w:cs="Arial"/>
          <w:lang w:val="hr-HR"/>
        </w:rPr>
        <w:t xml:space="preserve"> </w:t>
      </w:r>
      <w:r w:rsidRPr="00E655AE">
        <w:rPr>
          <w:rFonts w:ascii="Arial" w:hAnsi="Arial" w:cs="Arial"/>
          <w:lang w:val="hr-HR"/>
        </w:rPr>
        <w:t>дуга</w:t>
      </w:r>
      <w:r w:rsidR="007B6BE3" w:rsidRPr="00E655AE">
        <w:rPr>
          <w:rFonts w:ascii="Arial" w:hAnsi="Arial" w:cs="Arial"/>
          <w:lang w:val="hr-HR"/>
        </w:rPr>
        <w:t xml:space="preserve"> </w:t>
      </w:r>
      <w:r w:rsidRPr="00E655AE">
        <w:rPr>
          <w:rFonts w:ascii="Arial" w:hAnsi="Arial" w:cs="Arial"/>
          <w:lang w:val="hr-HR"/>
        </w:rPr>
        <w:t>у</w:t>
      </w:r>
      <w:r w:rsidR="007B6BE3" w:rsidRPr="00E655AE">
        <w:rPr>
          <w:rFonts w:ascii="Arial" w:hAnsi="Arial" w:cs="Arial"/>
          <w:lang w:val="hr-HR"/>
        </w:rPr>
        <w:t xml:space="preserve"> </w:t>
      </w:r>
      <w:r w:rsidRPr="00E655AE">
        <w:rPr>
          <w:rFonts w:ascii="Arial" w:hAnsi="Arial" w:cs="Arial"/>
          <w:lang w:val="hr-HR"/>
        </w:rPr>
        <w:t>приходима</w:t>
      </w:r>
      <w:r w:rsidR="007B6BE3" w:rsidRPr="00E655AE">
        <w:rPr>
          <w:rFonts w:ascii="Arial" w:hAnsi="Arial" w:cs="Arial"/>
          <w:lang w:val="hr-HR"/>
        </w:rPr>
        <w:t xml:space="preserve"> </w:t>
      </w:r>
      <w:r w:rsidRPr="00E655AE">
        <w:rPr>
          <w:rFonts w:ascii="Arial" w:hAnsi="Arial" w:cs="Arial"/>
          <w:lang w:val="hr-HR"/>
        </w:rPr>
        <w:t>ће</w:t>
      </w:r>
      <w:r w:rsidR="007B6BE3" w:rsidRPr="00E655AE">
        <w:rPr>
          <w:rFonts w:ascii="Arial" w:hAnsi="Arial" w:cs="Arial"/>
          <w:lang w:val="hr-HR"/>
        </w:rPr>
        <w:t xml:space="preserve"> </w:t>
      </w:r>
      <w:r w:rsidRPr="00E655AE">
        <w:rPr>
          <w:rFonts w:ascii="Arial" w:hAnsi="Arial" w:cs="Arial"/>
          <w:lang w:val="hr-HR"/>
        </w:rPr>
        <w:t>износити</w:t>
      </w:r>
      <w:r w:rsidR="007B6BE3" w:rsidRPr="00E655AE">
        <w:rPr>
          <w:rFonts w:ascii="Arial" w:hAnsi="Arial" w:cs="Arial"/>
          <w:lang w:val="hr-HR"/>
        </w:rPr>
        <w:t xml:space="preserve"> </w:t>
      </w:r>
      <w:r w:rsidRPr="00E655AE">
        <w:rPr>
          <w:rFonts w:ascii="Arial" w:hAnsi="Arial" w:cs="Arial"/>
          <w:lang w:val="hr-HR"/>
        </w:rPr>
        <w:t>мање</w:t>
      </w:r>
      <w:r w:rsidR="007B6BE3" w:rsidRPr="00E655AE">
        <w:rPr>
          <w:rFonts w:ascii="Arial" w:hAnsi="Arial" w:cs="Arial"/>
          <w:lang w:val="hr-HR"/>
        </w:rPr>
        <w:t xml:space="preserve"> </w:t>
      </w:r>
      <w:r w:rsidRPr="00E655AE">
        <w:rPr>
          <w:rFonts w:ascii="Arial" w:hAnsi="Arial" w:cs="Arial"/>
          <w:lang w:val="hr-HR"/>
        </w:rPr>
        <w:t>од</w:t>
      </w:r>
      <w:r w:rsidR="007B6BE3" w:rsidRPr="00E655AE">
        <w:rPr>
          <w:rFonts w:ascii="Arial" w:hAnsi="Arial" w:cs="Arial"/>
          <w:lang w:val="hr-HR"/>
        </w:rPr>
        <w:t xml:space="preserve"> </w:t>
      </w:r>
      <w:r w:rsidR="00E655AE" w:rsidRPr="00E655AE">
        <w:rPr>
          <w:rFonts w:ascii="Arial" w:hAnsi="Arial" w:cs="Arial"/>
          <w:lang w:val="hr-HR"/>
        </w:rPr>
        <w:t>4</w:t>
      </w:r>
      <w:r w:rsidR="007B6BE3" w:rsidRPr="00E655AE">
        <w:rPr>
          <w:rFonts w:ascii="Arial" w:hAnsi="Arial" w:cs="Arial"/>
          <w:lang w:val="hr-HR"/>
        </w:rPr>
        <w:t>%.</w:t>
      </w:r>
    </w:p>
    <w:p w14:paraId="4014A1CD" w14:textId="77777777" w:rsidR="007B6BE3" w:rsidRPr="0087376B" w:rsidRDefault="007B6BE3" w:rsidP="007B6BE3">
      <w:pPr>
        <w:pStyle w:val="NoSpacing"/>
        <w:spacing w:line="276" w:lineRule="auto"/>
        <w:ind w:firstLine="360"/>
        <w:jc w:val="both"/>
        <w:rPr>
          <w:rFonts w:ascii="Arial" w:hAnsi="Arial" w:cs="Arial"/>
          <w:lang w:val="hr-HR"/>
        </w:rPr>
      </w:pPr>
    </w:p>
    <w:p w14:paraId="72901CB9" w14:textId="77777777" w:rsidR="007B6BE3" w:rsidRPr="0087376B" w:rsidRDefault="005B20F8" w:rsidP="007B6BE3">
      <w:pPr>
        <w:pStyle w:val="NoSpacing"/>
        <w:spacing w:line="276" w:lineRule="auto"/>
        <w:ind w:firstLine="360"/>
        <w:jc w:val="both"/>
        <w:rPr>
          <w:rFonts w:ascii="Arial" w:hAnsi="Arial" w:cs="Arial"/>
          <w:lang w:val="hr-HR"/>
        </w:rPr>
      </w:pPr>
      <w:r>
        <w:rPr>
          <w:rFonts w:ascii="Arial" w:hAnsi="Arial" w:cs="Arial"/>
          <w:lang w:val="hr-HR"/>
        </w:rPr>
        <w:t>Циљеви</w:t>
      </w:r>
      <w:r w:rsidR="007B6BE3" w:rsidRPr="0087376B">
        <w:rPr>
          <w:rFonts w:ascii="Arial" w:hAnsi="Arial" w:cs="Arial"/>
          <w:lang w:val="hr-HR"/>
        </w:rPr>
        <w:t xml:space="preserve"> </w:t>
      </w:r>
      <w:r>
        <w:rPr>
          <w:rFonts w:ascii="Arial" w:hAnsi="Arial" w:cs="Arial"/>
          <w:lang w:val="hr-HR"/>
        </w:rPr>
        <w:t>дефинисани</w:t>
      </w:r>
      <w:r w:rsidR="007B6BE3" w:rsidRPr="0087376B">
        <w:rPr>
          <w:rFonts w:ascii="Arial" w:hAnsi="Arial" w:cs="Arial"/>
          <w:lang w:val="hr-HR"/>
        </w:rPr>
        <w:t xml:space="preserve"> </w:t>
      </w:r>
      <w:r>
        <w:rPr>
          <w:rFonts w:ascii="Arial" w:hAnsi="Arial" w:cs="Arial"/>
          <w:lang w:val="hr-HR"/>
        </w:rPr>
        <w:t>овом</w:t>
      </w:r>
      <w:r w:rsidR="007B6BE3" w:rsidRPr="0087376B">
        <w:rPr>
          <w:rFonts w:ascii="Arial" w:hAnsi="Arial" w:cs="Arial"/>
          <w:lang w:val="hr-HR"/>
        </w:rPr>
        <w:t xml:space="preserve"> </w:t>
      </w:r>
      <w:r>
        <w:rPr>
          <w:rFonts w:ascii="Arial" w:hAnsi="Arial" w:cs="Arial"/>
          <w:lang w:val="hr-HR"/>
        </w:rPr>
        <w:t>Стратегијом</w:t>
      </w:r>
      <w:r w:rsidR="007B6BE3" w:rsidRPr="0087376B">
        <w:rPr>
          <w:rFonts w:ascii="Arial" w:hAnsi="Arial" w:cs="Arial"/>
          <w:lang w:val="hr-HR"/>
        </w:rPr>
        <w:t xml:space="preserve"> </w:t>
      </w:r>
      <w:r>
        <w:rPr>
          <w:rFonts w:ascii="Arial" w:hAnsi="Arial" w:cs="Arial"/>
          <w:lang w:val="hr-HR"/>
        </w:rPr>
        <w:t>су</w:t>
      </w:r>
      <w:r w:rsidR="007B6BE3" w:rsidRPr="0087376B">
        <w:rPr>
          <w:rFonts w:ascii="Arial" w:hAnsi="Arial" w:cs="Arial"/>
          <w:lang w:val="hr-HR"/>
        </w:rPr>
        <w:t xml:space="preserve"> </w:t>
      </w:r>
      <w:r>
        <w:rPr>
          <w:rFonts w:ascii="Arial" w:hAnsi="Arial" w:cs="Arial"/>
          <w:lang w:val="hr-HR"/>
        </w:rPr>
        <w:t>осјетљиви</w:t>
      </w:r>
      <w:r w:rsidR="007B6BE3" w:rsidRPr="0087376B">
        <w:rPr>
          <w:rFonts w:ascii="Arial" w:hAnsi="Arial" w:cs="Arial"/>
          <w:lang w:val="hr-HR"/>
        </w:rPr>
        <w:t xml:space="preserve"> </w:t>
      </w:r>
      <w:r>
        <w:rPr>
          <w:rFonts w:ascii="Arial" w:hAnsi="Arial" w:cs="Arial"/>
          <w:lang w:val="hr-HR"/>
        </w:rPr>
        <w:t>на</w:t>
      </w:r>
      <w:r w:rsidR="007B6BE3" w:rsidRPr="0087376B">
        <w:rPr>
          <w:rFonts w:ascii="Arial" w:hAnsi="Arial" w:cs="Arial"/>
          <w:lang w:val="hr-HR"/>
        </w:rPr>
        <w:t xml:space="preserve"> </w:t>
      </w:r>
      <w:r>
        <w:rPr>
          <w:rFonts w:ascii="Arial" w:hAnsi="Arial" w:cs="Arial"/>
          <w:lang w:val="hr-HR"/>
        </w:rPr>
        <w:t>промјене</w:t>
      </w:r>
      <w:r w:rsidR="007B6BE3" w:rsidRPr="0087376B">
        <w:rPr>
          <w:rFonts w:ascii="Arial" w:hAnsi="Arial" w:cs="Arial"/>
          <w:lang w:val="hr-HR"/>
        </w:rPr>
        <w:t xml:space="preserve"> </w:t>
      </w:r>
      <w:r>
        <w:rPr>
          <w:rFonts w:ascii="Arial" w:hAnsi="Arial" w:cs="Arial"/>
          <w:lang w:val="hr-HR"/>
        </w:rPr>
        <w:t>претпоставки</w:t>
      </w:r>
      <w:r w:rsidR="007B6BE3" w:rsidRPr="0087376B">
        <w:rPr>
          <w:rFonts w:ascii="Arial" w:hAnsi="Arial" w:cs="Arial"/>
          <w:lang w:val="hr-HR"/>
        </w:rPr>
        <w:t xml:space="preserve"> </w:t>
      </w:r>
      <w:r>
        <w:rPr>
          <w:rFonts w:ascii="Arial" w:hAnsi="Arial" w:cs="Arial"/>
          <w:lang w:val="hr-HR"/>
        </w:rPr>
        <w:t>о</w:t>
      </w:r>
      <w:r w:rsidR="007B6BE3" w:rsidRPr="0087376B">
        <w:rPr>
          <w:rFonts w:ascii="Arial" w:hAnsi="Arial" w:cs="Arial"/>
          <w:lang w:val="hr-HR"/>
        </w:rPr>
        <w:t xml:space="preserve"> </w:t>
      </w:r>
      <w:r>
        <w:rPr>
          <w:rFonts w:ascii="Arial" w:hAnsi="Arial" w:cs="Arial"/>
          <w:lang w:val="hr-HR"/>
        </w:rPr>
        <w:t>расту</w:t>
      </w:r>
      <w:r w:rsidR="007B6BE3" w:rsidRPr="0087376B">
        <w:rPr>
          <w:rFonts w:ascii="Arial" w:hAnsi="Arial" w:cs="Arial"/>
          <w:lang w:val="hr-HR"/>
        </w:rPr>
        <w:t xml:space="preserve">, </w:t>
      </w:r>
      <w:r>
        <w:rPr>
          <w:rFonts w:ascii="Arial" w:hAnsi="Arial" w:cs="Arial"/>
          <w:lang w:val="hr-HR"/>
        </w:rPr>
        <w:t>фискалном</w:t>
      </w:r>
      <w:r w:rsidR="007B6BE3" w:rsidRPr="0087376B">
        <w:rPr>
          <w:rFonts w:ascii="Arial" w:hAnsi="Arial" w:cs="Arial"/>
          <w:lang w:val="hr-HR"/>
        </w:rPr>
        <w:t xml:space="preserve"> </w:t>
      </w:r>
      <w:r>
        <w:rPr>
          <w:rFonts w:ascii="Arial" w:hAnsi="Arial" w:cs="Arial"/>
          <w:lang w:val="hr-HR"/>
        </w:rPr>
        <w:t>дефициту</w:t>
      </w:r>
      <w:r w:rsidR="007B6BE3" w:rsidRPr="0087376B">
        <w:rPr>
          <w:rFonts w:ascii="Arial" w:hAnsi="Arial" w:cs="Arial"/>
          <w:lang w:val="hr-HR"/>
        </w:rPr>
        <w:t xml:space="preserve"> </w:t>
      </w:r>
      <w:r>
        <w:rPr>
          <w:rFonts w:ascii="Arial" w:hAnsi="Arial" w:cs="Arial"/>
          <w:lang w:val="hr-HR"/>
        </w:rPr>
        <w:t>и</w:t>
      </w:r>
      <w:r w:rsidR="007B6BE3" w:rsidRPr="0087376B">
        <w:rPr>
          <w:rFonts w:ascii="Arial" w:hAnsi="Arial" w:cs="Arial"/>
          <w:lang w:val="hr-HR"/>
        </w:rPr>
        <w:t xml:space="preserve"> </w:t>
      </w:r>
      <w:r>
        <w:rPr>
          <w:rFonts w:ascii="Arial" w:hAnsi="Arial" w:cs="Arial"/>
          <w:lang w:val="hr-HR"/>
        </w:rPr>
        <w:t>доступности</w:t>
      </w:r>
      <w:r w:rsidR="007B6BE3" w:rsidRPr="0087376B">
        <w:rPr>
          <w:rFonts w:ascii="Arial" w:hAnsi="Arial" w:cs="Arial"/>
          <w:lang w:val="hr-HR"/>
        </w:rPr>
        <w:t xml:space="preserve"> </w:t>
      </w:r>
      <w:r>
        <w:rPr>
          <w:rFonts w:ascii="Arial" w:hAnsi="Arial" w:cs="Arial"/>
          <w:lang w:val="hr-HR"/>
        </w:rPr>
        <w:t>предвиђених</w:t>
      </w:r>
      <w:r w:rsidR="007B6BE3" w:rsidRPr="0087376B">
        <w:rPr>
          <w:rFonts w:ascii="Arial" w:hAnsi="Arial" w:cs="Arial"/>
          <w:lang w:val="hr-HR"/>
        </w:rPr>
        <w:t xml:space="preserve"> </w:t>
      </w:r>
      <w:r>
        <w:rPr>
          <w:rFonts w:ascii="Arial" w:hAnsi="Arial" w:cs="Arial"/>
          <w:lang w:val="hr-HR"/>
        </w:rPr>
        <w:t>извора</w:t>
      </w:r>
      <w:r w:rsidR="007B6BE3" w:rsidRPr="0087376B">
        <w:rPr>
          <w:rFonts w:ascii="Arial" w:hAnsi="Arial" w:cs="Arial"/>
          <w:lang w:val="hr-HR"/>
        </w:rPr>
        <w:t xml:space="preserve"> </w:t>
      </w:r>
      <w:r>
        <w:rPr>
          <w:rFonts w:ascii="Arial" w:hAnsi="Arial" w:cs="Arial"/>
          <w:lang w:val="hr-HR"/>
        </w:rPr>
        <w:t>финансирања</w:t>
      </w:r>
      <w:r w:rsidR="007B6BE3" w:rsidRPr="0087376B">
        <w:rPr>
          <w:rFonts w:ascii="Arial" w:hAnsi="Arial" w:cs="Arial"/>
          <w:lang w:val="hr-HR"/>
        </w:rPr>
        <w:t xml:space="preserve">, </w:t>
      </w:r>
      <w:r>
        <w:rPr>
          <w:rFonts w:ascii="Arial" w:hAnsi="Arial" w:cs="Arial"/>
          <w:lang w:val="hr-HR"/>
        </w:rPr>
        <w:t>првенствено</w:t>
      </w:r>
      <w:r w:rsidR="007B6BE3" w:rsidRPr="0087376B">
        <w:rPr>
          <w:rFonts w:ascii="Arial" w:hAnsi="Arial" w:cs="Arial"/>
          <w:lang w:val="hr-HR"/>
        </w:rPr>
        <w:t xml:space="preserve"> </w:t>
      </w:r>
      <w:r>
        <w:rPr>
          <w:rFonts w:ascii="Arial" w:hAnsi="Arial" w:cs="Arial"/>
          <w:lang w:val="hr-HR"/>
        </w:rPr>
        <w:t>концесионалних</w:t>
      </w:r>
      <w:r w:rsidR="007B6BE3" w:rsidRPr="0087376B">
        <w:rPr>
          <w:rFonts w:ascii="Arial" w:hAnsi="Arial" w:cs="Arial"/>
          <w:lang w:val="hr-HR"/>
        </w:rPr>
        <w:t xml:space="preserve"> </w:t>
      </w:r>
      <w:r>
        <w:rPr>
          <w:rFonts w:ascii="Arial" w:hAnsi="Arial" w:cs="Arial"/>
          <w:lang w:val="hr-HR"/>
        </w:rPr>
        <w:t>извора</w:t>
      </w:r>
      <w:r w:rsidR="007B6BE3" w:rsidRPr="0087376B">
        <w:rPr>
          <w:rFonts w:ascii="Arial" w:hAnsi="Arial" w:cs="Arial"/>
          <w:lang w:val="hr-HR"/>
        </w:rPr>
        <w:t xml:space="preserve"> </w:t>
      </w:r>
      <w:r>
        <w:rPr>
          <w:rFonts w:ascii="Arial" w:hAnsi="Arial" w:cs="Arial"/>
          <w:lang w:val="hr-HR"/>
        </w:rPr>
        <w:t>финансирања</w:t>
      </w:r>
      <w:r w:rsidR="007B6BE3" w:rsidRPr="0087376B">
        <w:rPr>
          <w:rFonts w:ascii="Arial" w:hAnsi="Arial" w:cs="Arial"/>
          <w:lang w:val="hr-HR"/>
        </w:rPr>
        <w:t>.</w:t>
      </w:r>
    </w:p>
    <w:p w14:paraId="1DAACA96" w14:textId="77777777" w:rsidR="007B6BE3" w:rsidRPr="0087376B" w:rsidRDefault="007B6BE3" w:rsidP="007B6BE3">
      <w:pPr>
        <w:pStyle w:val="NoSpacing"/>
        <w:spacing w:line="276" w:lineRule="auto"/>
        <w:ind w:firstLine="360"/>
        <w:jc w:val="both"/>
        <w:rPr>
          <w:rFonts w:ascii="Arial" w:hAnsi="Arial" w:cs="Arial"/>
          <w:lang w:val="hr-HR"/>
        </w:rPr>
      </w:pPr>
    </w:p>
    <w:p w14:paraId="3C2AAD31" w14:textId="77777777" w:rsidR="007B6BE3" w:rsidRPr="0087376B" w:rsidRDefault="007B6BE3" w:rsidP="007B6BE3">
      <w:pPr>
        <w:pStyle w:val="NoSpacing"/>
        <w:spacing w:line="276" w:lineRule="auto"/>
        <w:ind w:firstLine="360"/>
        <w:jc w:val="both"/>
        <w:rPr>
          <w:rFonts w:ascii="Arial" w:hAnsi="Arial" w:cs="Arial"/>
          <w:lang w:val="hr-HR"/>
        </w:rPr>
      </w:pPr>
    </w:p>
    <w:p w14:paraId="4C42FC54" w14:textId="77777777" w:rsidR="007B6BE3" w:rsidRPr="0087376B" w:rsidRDefault="007B6BE3" w:rsidP="007B6BE3">
      <w:r w:rsidRPr="0087376B">
        <w:br w:type="page"/>
      </w:r>
    </w:p>
    <w:p w14:paraId="50D7C73A" w14:textId="77777777" w:rsidR="00732673" w:rsidRDefault="00732673" w:rsidP="007B6BE3">
      <w:pPr>
        <w:ind w:right="49" w:firstLine="284"/>
        <w:jc w:val="both"/>
        <w:rPr>
          <w:rFonts w:ascii="Arial" w:hAnsi="Arial" w:cs="Arial"/>
          <w:sz w:val="24"/>
          <w:szCs w:val="24"/>
        </w:rPr>
        <w:sectPr w:rsidR="00732673" w:rsidSect="007B6BE3">
          <w:footerReference w:type="default" r:id="rId24"/>
          <w:footerReference w:type="first" r:id="rId25"/>
          <w:pgSz w:w="11906" w:h="16838"/>
          <w:pgMar w:top="1135" w:right="1133" w:bottom="709" w:left="1440" w:header="708" w:footer="708" w:gutter="0"/>
          <w:pgNumType w:start="1" w:chapStyle="1"/>
          <w:cols w:space="708"/>
          <w:titlePg/>
          <w:docGrid w:linePitch="360"/>
        </w:sectPr>
      </w:pPr>
    </w:p>
    <w:p w14:paraId="40D6FFF4" w14:textId="1C7BB4E7" w:rsidR="007B6BE3" w:rsidRPr="0087376B" w:rsidRDefault="005B20F8" w:rsidP="007B6BE3">
      <w:pPr>
        <w:ind w:right="49" w:firstLine="284"/>
        <w:jc w:val="both"/>
        <w:rPr>
          <w:rFonts w:ascii="Arial" w:hAnsi="Arial" w:cs="Arial"/>
          <w:sz w:val="24"/>
          <w:szCs w:val="24"/>
        </w:rPr>
      </w:pPr>
      <w:r>
        <w:rPr>
          <w:rFonts w:ascii="Arial" w:hAnsi="Arial" w:cs="Arial"/>
          <w:sz w:val="24"/>
          <w:szCs w:val="24"/>
        </w:rPr>
        <w:lastRenderedPageBreak/>
        <w:t>На</w:t>
      </w:r>
      <w:r w:rsidR="007B6BE3" w:rsidRPr="0087376B">
        <w:rPr>
          <w:rFonts w:ascii="Arial" w:hAnsi="Arial" w:cs="Arial"/>
          <w:sz w:val="24"/>
          <w:szCs w:val="24"/>
        </w:rPr>
        <w:t xml:space="preserve"> </w:t>
      </w:r>
      <w:r>
        <w:rPr>
          <w:rFonts w:ascii="Arial" w:hAnsi="Arial" w:cs="Arial"/>
          <w:sz w:val="24"/>
          <w:szCs w:val="24"/>
        </w:rPr>
        <w:t>основу</w:t>
      </w:r>
      <w:r w:rsidR="007B6BE3" w:rsidRPr="0087376B">
        <w:rPr>
          <w:rFonts w:ascii="Arial" w:hAnsi="Arial" w:cs="Arial"/>
          <w:sz w:val="24"/>
          <w:szCs w:val="24"/>
        </w:rPr>
        <w:t xml:space="preserve"> </w:t>
      </w:r>
      <w:r>
        <w:rPr>
          <w:rFonts w:ascii="Arial" w:hAnsi="Arial" w:cs="Arial"/>
          <w:sz w:val="24"/>
          <w:szCs w:val="24"/>
        </w:rPr>
        <w:t>члана</w:t>
      </w:r>
      <w:r w:rsidR="007B6BE3" w:rsidRPr="0087376B">
        <w:rPr>
          <w:rFonts w:ascii="Arial" w:hAnsi="Arial" w:cs="Arial"/>
          <w:sz w:val="24"/>
          <w:szCs w:val="24"/>
        </w:rPr>
        <w:t xml:space="preserve"> 19. </w:t>
      </w:r>
      <w:r>
        <w:rPr>
          <w:rFonts w:ascii="Arial" w:hAnsi="Arial" w:cs="Arial"/>
          <w:sz w:val="24"/>
          <w:szCs w:val="24"/>
        </w:rPr>
        <w:t>став</w:t>
      </w:r>
      <w:r w:rsidR="007B6BE3" w:rsidRPr="0087376B">
        <w:rPr>
          <w:rFonts w:ascii="Arial" w:hAnsi="Arial" w:cs="Arial"/>
          <w:sz w:val="24"/>
          <w:szCs w:val="24"/>
        </w:rPr>
        <w:t xml:space="preserve"> 4. </w:t>
      </w:r>
      <w:r>
        <w:rPr>
          <w:rFonts w:ascii="Arial" w:hAnsi="Arial" w:cs="Arial"/>
          <w:sz w:val="24"/>
          <w:szCs w:val="24"/>
        </w:rPr>
        <w:t>Закона</w:t>
      </w:r>
      <w:r w:rsidR="007B6BE3" w:rsidRPr="0087376B">
        <w:rPr>
          <w:rFonts w:ascii="Arial" w:hAnsi="Arial" w:cs="Arial"/>
          <w:sz w:val="24"/>
          <w:szCs w:val="24"/>
        </w:rPr>
        <w:t xml:space="preserve"> </w:t>
      </w:r>
      <w:r>
        <w:rPr>
          <w:rFonts w:ascii="Arial" w:hAnsi="Arial" w:cs="Arial"/>
          <w:sz w:val="24"/>
          <w:szCs w:val="24"/>
        </w:rPr>
        <w:t>о</w:t>
      </w:r>
      <w:r w:rsidR="007B6BE3" w:rsidRPr="0087376B">
        <w:rPr>
          <w:rFonts w:ascii="Arial" w:hAnsi="Arial" w:cs="Arial"/>
          <w:sz w:val="24"/>
          <w:szCs w:val="24"/>
        </w:rPr>
        <w:t xml:space="preserve"> </w:t>
      </w:r>
      <w:r>
        <w:rPr>
          <w:rFonts w:ascii="Arial" w:hAnsi="Arial" w:cs="Arial"/>
          <w:sz w:val="24"/>
          <w:szCs w:val="24"/>
        </w:rPr>
        <w:t>Влади</w:t>
      </w:r>
      <w:r w:rsidR="007B6BE3" w:rsidRPr="0087376B">
        <w:rPr>
          <w:rFonts w:ascii="Arial" w:hAnsi="Arial" w:cs="Arial"/>
          <w:sz w:val="24"/>
          <w:szCs w:val="24"/>
        </w:rPr>
        <w:t xml:space="preserve"> </w:t>
      </w:r>
      <w:r>
        <w:rPr>
          <w:rFonts w:ascii="Arial" w:hAnsi="Arial" w:cs="Arial"/>
          <w:sz w:val="24"/>
          <w:szCs w:val="24"/>
        </w:rPr>
        <w:t>Федерације</w:t>
      </w:r>
      <w:r w:rsidR="007B6BE3" w:rsidRPr="0087376B">
        <w:rPr>
          <w:rFonts w:ascii="Arial" w:hAnsi="Arial" w:cs="Arial"/>
          <w:sz w:val="24"/>
          <w:szCs w:val="24"/>
        </w:rPr>
        <w:t xml:space="preserve"> </w:t>
      </w:r>
      <w:r>
        <w:rPr>
          <w:rFonts w:ascii="Arial" w:hAnsi="Arial" w:cs="Arial"/>
          <w:sz w:val="24"/>
          <w:szCs w:val="24"/>
        </w:rPr>
        <w:t>Босне</w:t>
      </w:r>
      <w:r w:rsidR="007B6BE3" w:rsidRPr="0087376B">
        <w:rPr>
          <w:rFonts w:ascii="Arial" w:hAnsi="Arial" w:cs="Arial"/>
          <w:sz w:val="24"/>
          <w:szCs w:val="24"/>
        </w:rPr>
        <w:t xml:space="preserve"> </w:t>
      </w:r>
      <w:r>
        <w:rPr>
          <w:rFonts w:ascii="Arial" w:hAnsi="Arial" w:cs="Arial"/>
          <w:sz w:val="24"/>
          <w:szCs w:val="24"/>
        </w:rPr>
        <w:t>и</w:t>
      </w:r>
      <w:r w:rsidR="007B6BE3" w:rsidRPr="0087376B">
        <w:rPr>
          <w:rFonts w:ascii="Arial" w:hAnsi="Arial" w:cs="Arial"/>
          <w:sz w:val="24"/>
          <w:szCs w:val="24"/>
        </w:rPr>
        <w:t xml:space="preserve"> </w:t>
      </w:r>
      <w:r>
        <w:rPr>
          <w:rFonts w:ascii="Arial" w:hAnsi="Arial" w:cs="Arial"/>
          <w:sz w:val="24"/>
          <w:szCs w:val="24"/>
        </w:rPr>
        <w:t>Херцеговине</w:t>
      </w:r>
      <w:r w:rsidR="007B6BE3" w:rsidRPr="0087376B">
        <w:rPr>
          <w:rFonts w:ascii="Arial" w:hAnsi="Arial" w:cs="Arial"/>
          <w:sz w:val="24"/>
          <w:szCs w:val="24"/>
        </w:rPr>
        <w:t xml:space="preserve"> („</w:t>
      </w:r>
      <w:r>
        <w:rPr>
          <w:rFonts w:ascii="Arial" w:hAnsi="Arial" w:cs="Arial"/>
          <w:sz w:val="24"/>
          <w:szCs w:val="24"/>
        </w:rPr>
        <w:t>Службене</w:t>
      </w:r>
      <w:r w:rsidR="007B6BE3" w:rsidRPr="0087376B">
        <w:rPr>
          <w:rFonts w:ascii="Arial" w:hAnsi="Arial" w:cs="Arial"/>
          <w:sz w:val="24"/>
          <w:szCs w:val="24"/>
        </w:rPr>
        <w:t xml:space="preserve"> </w:t>
      </w:r>
      <w:r>
        <w:rPr>
          <w:rFonts w:ascii="Arial" w:hAnsi="Arial" w:cs="Arial"/>
          <w:sz w:val="24"/>
          <w:szCs w:val="24"/>
        </w:rPr>
        <w:t>новине</w:t>
      </w:r>
      <w:r w:rsidR="007B6BE3" w:rsidRPr="0087376B">
        <w:rPr>
          <w:rFonts w:ascii="Arial" w:hAnsi="Arial" w:cs="Arial"/>
          <w:sz w:val="24"/>
          <w:szCs w:val="24"/>
        </w:rPr>
        <w:t xml:space="preserve"> </w:t>
      </w:r>
      <w:r>
        <w:rPr>
          <w:rFonts w:ascii="Arial" w:hAnsi="Arial" w:cs="Arial"/>
          <w:sz w:val="24"/>
          <w:szCs w:val="24"/>
        </w:rPr>
        <w:t>Федерације</w:t>
      </w:r>
      <w:r w:rsidR="007B6BE3" w:rsidRPr="0087376B">
        <w:rPr>
          <w:rFonts w:ascii="Arial" w:hAnsi="Arial" w:cs="Arial"/>
          <w:sz w:val="24"/>
          <w:szCs w:val="24"/>
        </w:rPr>
        <w:t xml:space="preserve"> </w:t>
      </w:r>
      <w:r>
        <w:rPr>
          <w:rFonts w:ascii="Arial" w:hAnsi="Arial" w:cs="Arial"/>
          <w:sz w:val="24"/>
          <w:szCs w:val="24"/>
        </w:rPr>
        <w:t>БиХ</w:t>
      </w:r>
      <w:r w:rsidR="007B6BE3" w:rsidRPr="0087376B">
        <w:rPr>
          <w:rFonts w:ascii="Arial" w:hAnsi="Arial" w:cs="Arial"/>
          <w:sz w:val="24"/>
          <w:szCs w:val="24"/>
        </w:rPr>
        <w:t xml:space="preserve">“, </w:t>
      </w:r>
      <w:r>
        <w:rPr>
          <w:rFonts w:ascii="Arial" w:hAnsi="Arial" w:cs="Arial"/>
          <w:sz w:val="24"/>
          <w:szCs w:val="24"/>
        </w:rPr>
        <w:t>бр</w:t>
      </w:r>
      <w:r w:rsidR="007B6BE3" w:rsidRPr="0087376B">
        <w:rPr>
          <w:rFonts w:ascii="Arial" w:hAnsi="Arial" w:cs="Arial"/>
          <w:sz w:val="24"/>
          <w:szCs w:val="24"/>
        </w:rPr>
        <w:t xml:space="preserve">. 1/94, 8/95, 58/02, 19/03, 2/06 </w:t>
      </w:r>
      <w:r>
        <w:rPr>
          <w:rFonts w:ascii="Arial" w:hAnsi="Arial" w:cs="Arial"/>
          <w:sz w:val="24"/>
          <w:szCs w:val="24"/>
        </w:rPr>
        <w:t>и</w:t>
      </w:r>
      <w:r w:rsidR="007B6BE3" w:rsidRPr="0087376B">
        <w:rPr>
          <w:rFonts w:ascii="Arial" w:hAnsi="Arial" w:cs="Arial"/>
          <w:sz w:val="24"/>
          <w:szCs w:val="24"/>
        </w:rPr>
        <w:t xml:space="preserve"> 8/06), </w:t>
      </w:r>
      <w:r>
        <w:rPr>
          <w:rFonts w:ascii="Arial" w:hAnsi="Arial" w:cs="Arial"/>
          <w:sz w:val="24"/>
          <w:szCs w:val="24"/>
        </w:rPr>
        <w:t>Влада</w:t>
      </w:r>
      <w:r w:rsidR="007B6BE3" w:rsidRPr="0087376B">
        <w:rPr>
          <w:rFonts w:ascii="Arial" w:hAnsi="Arial" w:cs="Arial"/>
          <w:sz w:val="24"/>
          <w:szCs w:val="24"/>
        </w:rPr>
        <w:t xml:space="preserve"> </w:t>
      </w:r>
      <w:r>
        <w:rPr>
          <w:rFonts w:ascii="Arial" w:hAnsi="Arial" w:cs="Arial"/>
          <w:sz w:val="24"/>
          <w:szCs w:val="24"/>
        </w:rPr>
        <w:t>Федерације</w:t>
      </w:r>
      <w:r w:rsidR="007B6BE3" w:rsidRPr="0087376B">
        <w:rPr>
          <w:rFonts w:ascii="Arial" w:hAnsi="Arial" w:cs="Arial"/>
          <w:sz w:val="24"/>
          <w:szCs w:val="24"/>
        </w:rPr>
        <w:t xml:space="preserve"> </w:t>
      </w:r>
      <w:r>
        <w:rPr>
          <w:rFonts w:ascii="Arial" w:hAnsi="Arial" w:cs="Arial"/>
          <w:sz w:val="24"/>
          <w:szCs w:val="24"/>
        </w:rPr>
        <w:t>Босне</w:t>
      </w:r>
      <w:r w:rsidR="007B6BE3" w:rsidRPr="0087376B">
        <w:rPr>
          <w:rFonts w:ascii="Arial" w:hAnsi="Arial" w:cs="Arial"/>
          <w:sz w:val="24"/>
          <w:szCs w:val="24"/>
        </w:rPr>
        <w:t xml:space="preserve"> </w:t>
      </w:r>
      <w:r>
        <w:rPr>
          <w:rFonts w:ascii="Arial" w:hAnsi="Arial" w:cs="Arial"/>
          <w:sz w:val="24"/>
          <w:szCs w:val="24"/>
        </w:rPr>
        <w:t>и</w:t>
      </w:r>
      <w:r w:rsidR="007B6BE3" w:rsidRPr="0087376B">
        <w:rPr>
          <w:rFonts w:ascii="Arial" w:hAnsi="Arial" w:cs="Arial"/>
          <w:sz w:val="24"/>
          <w:szCs w:val="24"/>
        </w:rPr>
        <w:t xml:space="preserve"> </w:t>
      </w:r>
      <w:r>
        <w:rPr>
          <w:rFonts w:ascii="Arial" w:hAnsi="Arial" w:cs="Arial"/>
          <w:sz w:val="24"/>
          <w:szCs w:val="24"/>
        </w:rPr>
        <w:t>Херцеговине</w:t>
      </w:r>
      <w:r w:rsidR="007B6BE3" w:rsidRPr="0087376B">
        <w:rPr>
          <w:rFonts w:ascii="Arial" w:hAnsi="Arial" w:cs="Arial"/>
          <w:sz w:val="24"/>
          <w:szCs w:val="24"/>
        </w:rPr>
        <w:t xml:space="preserve"> </w:t>
      </w:r>
      <w:r>
        <w:rPr>
          <w:rFonts w:ascii="Arial" w:hAnsi="Arial" w:cs="Arial"/>
          <w:sz w:val="24"/>
          <w:szCs w:val="24"/>
        </w:rPr>
        <w:t>на</w:t>
      </w:r>
      <w:r w:rsidR="007B6BE3" w:rsidRPr="0087376B">
        <w:rPr>
          <w:rFonts w:ascii="Arial" w:hAnsi="Arial" w:cs="Arial"/>
          <w:sz w:val="24"/>
          <w:szCs w:val="24"/>
        </w:rPr>
        <w:t xml:space="preserve"> _______</w:t>
      </w:r>
      <w:r>
        <w:rPr>
          <w:rFonts w:ascii="Arial" w:hAnsi="Arial" w:cs="Arial"/>
          <w:sz w:val="24"/>
          <w:szCs w:val="24"/>
        </w:rPr>
        <w:t>сједници</w:t>
      </w:r>
      <w:r w:rsidR="007B6BE3" w:rsidRPr="0087376B">
        <w:rPr>
          <w:rFonts w:ascii="Arial" w:hAnsi="Arial" w:cs="Arial"/>
          <w:sz w:val="24"/>
          <w:szCs w:val="24"/>
        </w:rPr>
        <w:t xml:space="preserve">, </w:t>
      </w:r>
      <w:r>
        <w:rPr>
          <w:rFonts w:ascii="Arial" w:hAnsi="Arial" w:cs="Arial"/>
          <w:sz w:val="24"/>
          <w:szCs w:val="24"/>
        </w:rPr>
        <w:t>одржаној</w:t>
      </w:r>
      <w:r w:rsidR="007B6BE3" w:rsidRPr="0087376B">
        <w:rPr>
          <w:rFonts w:ascii="Arial" w:hAnsi="Arial" w:cs="Arial"/>
          <w:sz w:val="24"/>
          <w:szCs w:val="24"/>
        </w:rPr>
        <w:t xml:space="preserve"> ______________202</w:t>
      </w:r>
      <w:r w:rsidR="007B6BE3">
        <w:rPr>
          <w:rFonts w:ascii="Arial" w:hAnsi="Arial" w:cs="Arial"/>
          <w:sz w:val="24"/>
          <w:szCs w:val="24"/>
        </w:rPr>
        <w:t>3</w:t>
      </w:r>
      <w:r w:rsidR="007B6BE3" w:rsidRPr="0087376B">
        <w:rPr>
          <w:rFonts w:ascii="Arial" w:hAnsi="Arial" w:cs="Arial"/>
          <w:sz w:val="24"/>
          <w:szCs w:val="24"/>
        </w:rPr>
        <w:t xml:space="preserve">. </w:t>
      </w:r>
      <w:r>
        <w:rPr>
          <w:rFonts w:ascii="Arial" w:hAnsi="Arial" w:cs="Arial"/>
          <w:sz w:val="24"/>
          <w:szCs w:val="24"/>
        </w:rPr>
        <w:t>године</w:t>
      </w:r>
      <w:r w:rsidR="007B6BE3" w:rsidRPr="0087376B">
        <w:rPr>
          <w:rFonts w:ascii="Arial" w:hAnsi="Arial" w:cs="Arial"/>
          <w:sz w:val="24"/>
          <w:szCs w:val="24"/>
        </w:rPr>
        <w:t xml:space="preserve">, </w:t>
      </w:r>
      <w:r>
        <w:rPr>
          <w:rFonts w:ascii="Arial" w:hAnsi="Arial" w:cs="Arial"/>
          <w:sz w:val="24"/>
          <w:szCs w:val="24"/>
        </w:rPr>
        <w:t>доноси</w:t>
      </w:r>
      <w:r w:rsidR="007B6BE3" w:rsidRPr="0087376B">
        <w:rPr>
          <w:rFonts w:ascii="Arial" w:hAnsi="Arial" w:cs="Arial"/>
          <w:sz w:val="24"/>
          <w:szCs w:val="24"/>
        </w:rPr>
        <w:t>:</w:t>
      </w:r>
    </w:p>
    <w:p w14:paraId="1325FA87" w14:textId="77777777" w:rsidR="007B6BE3" w:rsidRPr="0087376B" w:rsidRDefault="007B6BE3" w:rsidP="007B6BE3">
      <w:pPr>
        <w:ind w:right="49" w:firstLine="284"/>
        <w:jc w:val="both"/>
        <w:rPr>
          <w:rFonts w:ascii="Arial" w:hAnsi="Arial" w:cs="Arial"/>
          <w:sz w:val="24"/>
          <w:szCs w:val="24"/>
        </w:rPr>
      </w:pPr>
    </w:p>
    <w:p w14:paraId="3308BA13" w14:textId="77777777" w:rsidR="007B6BE3" w:rsidRPr="0087376B" w:rsidRDefault="005B20F8" w:rsidP="007B6BE3">
      <w:pPr>
        <w:jc w:val="center"/>
        <w:rPr>
          <w:rFonts w:ascii="Arial" w:hAnsi="Arial" w:cs="Arial"/>
          <w:b/>
          <w:sz w:val="24"/>
        </w:rPr>
      </w:pPr>
      <w:bookmarkStart w:id="151" w:name="_Toc427587426"/>
      <w:bookmarkStart w:id="152" w:name="_Toc427587498"/>
      <w:bookmarkStart w:id="153" w:name="_Toc427760800"/>
      <w:r>
        <w:rPr>
          <w:rFonts w:ascii="Arial" w:hAnsi="Arial" w:cs="Arial"/>
          <w:b/>
          <w:sz w:val="32"/>
        </w:rPr>
        <w:t>З</w:t>
      </w:r>
      <w:r w:rsidR="007B6BE3" w:rsidRPr="0087376B">
        <w:rPr>
          <w:rFonts w:ascii="Arial" w:hAnsi="Arial" w:cs="Arial"/>
          <w:b/>
          <w:sz w:val="32"/>
        </w:rPr>
        <w:t xml:space="preserve"> </w:t>
      </w:r>
      <w:r>
        <w:rPr>
          <w:rFonts w:ascii="Arial" w:hAnsi="Arial" w:cs="Arial"/>
          <w:b/>
          <w:sz w:val="32"/>
        </w:rPr>
        <w:t>А</w:t>
      </w:r>
      <w:r w:rsidR="007B6BE3" w:rsidRPr="0087376B">
        <w:rPr>
          <w:rFonts w:ascii="Arial" w:hAnsi="Arial" w:cs="Arial"/>
          <w:b/>
          <w:sz w:val="32"/>
        </w:rPr>
        <w:t xml:space="preserve"> </w:t>
      </w:r>
      <w:r>
        <w:rPr>
          <w:rFonts w:ascii="Arial" w:hAnsi="Arial" w:cs="Arial"/>
          <w:b/>
          <w:sz w:val="32"/>
        </w:rPr>
        <w:t>К</w:t>
      </w:r>
      <w:r w:rsidR="007B6BE3" w:rsidRPr="0087376B">
        <w:rPr>
          <w:rFonts w:ascii="Arial" w:hAnsi="Arial" w:cs="Arial"/>
          <w:b/>
          <w:sz w:val="32"/>
        </w:rPr>
        <w:t xml:space="preserve"> </w:t>
      </w:r>
      <w:r>
        <w:rPr>
          <w:rFonts w:ascii="Arial" w:hAnsi="Arial" w:cs="Arial"/>
          <w:b/>
          <w:sz w:val="32"/>
        </w:rPr>
        <w:t>Љ</w:t>
      </w:r>
      <w:r w:rsidR="007B6BE3" w:rsidRPr="0087376B">
        <w:rPr>
          <w:rFonts w:ascii="Arial" w:hAnsi="Arial" w:cs="Arial"/>
          <w:b/>
          <w:sz w:val="32"/>
        </w:rPr>
        <w:t xml:space="preserve"> </w:t>
      </w:r>
      <w:r>
        <w:rPr>
          <w:rFonts w:ascii="Arial" w:hAnsi="Arial" w:cs="Arial"/>
          <w:b/>
          <w:sz w:val="32"/>
        </w:rPr>
        <w:t>У</w:t>
      </w:r>
      <w:r w:rsidR="007B6BE3" w:rsidRPr="0087376B">
        <w:rPr>
          <w:rFonts w:ascii="Arial" w:hAnsi="Arial" w:cs="Arial"/>
          <w:b/>
          <w:sz w:val="32"/>
        </w:rPr>
        <w:t xml:space="preserve"> </w:t>
      </w:r>
      <w:r>
        <w:rPr>
          <w:rFonts w:ascii="Arial" w:hAnsi="Arial" w:cs="Arial"/>
          <w:b/>
          <w:sz w:val="32"/>
        </w:rPr>
        <w:t>Ч</w:t>
      </w:r>
      <w:r w:rsidR="007B6BE3" w:rsidRPr="0087376B">
        <w:rPr>
          <w:rFonts w:ascii="Arial" w:hAnsi="Arial" w:cs="Arial"/>
          <w:b/>
          <w:sz w:val="32"/>
        </w:rPr>
        <w:t xml:space="preserve"> </w:t>
      </w:r>
      <w:r>
        <w:rPr>
          <w:rFonts w:ascii="Arial" w:hAnsi="Arial" w:cs="Arial"/>
          <w:b/>
          <w:sz w:val="32"/>
        </w:rPr>
        <w:t>А</w:t>
      </w:r>
      <w:r w:rsidR="007B6BE3" w:rsidRPr="0087376B">
        <w:rPr>
          <w:rFonts w:ascii="Arial" w:hAnsi="Arial" w:cs="Arial"/>
          <w:b/>
          <w:sz w:val="32"/>
        </w:rPr>
        <w:t xml:space="preserve"> </w:t>
      </w:r>
      <w:r>
        <w:rPr>
          <w:rFonts w:ascii="Arial" w:hAnsi="Arial" w:cs="Arial"/>
          <w:b/>
          <w:sz w:val="32"/>
        </w:rPr>
        <w:t>К</w:t>
      </w:r>
      <w:bookmarkEnd w:id="151"/>
      <w:bookmarkEnd w:id="152"/>
      <w:bookmarkEnd w:id="153"/>
    </w:p>
    <w:p w14:paraId="70D74B1C" w14:textId="77777777" w:rsidR="007B6BE3" w:rsidRPr="0087376B" w:rsidRDefault="007B6BE3" w:rsidP="007B6BE3">
      <w:pPr>
        <w:tabs>
          <w:tab w:val="num" w:pos="1260"/>
        </w:tabs>
        <w:ind w:left="709"/>
        <w:jc w:val="both"/>
        <w:rPr>
          <w:rFonts w:ascii="Arial" w:hAnsi="Arial" w:cs="Arial"/>
          <w:sz w:val="24"/>
          <w:szCs w:val="24"/>
        </w:rPr>
      </w:pPr>
    </w:p>
    <w:p w14:paraId="0E6953B5" w14:textId="77777777" w:rsidR="007B6BE3" w:rsidRPr="0087376B" w:rsidRDefault="005B20F8" w:rsidP="007B6BE3">
      <w:pPr>
        <w:pStyle w:val="NoSpacing"/>
        <w:numPr>
          <w:ilvl w:val="0"/>
          <w:numId w:val="18"/>
        </w:numPr>
        <w:ind w:left="0" w:firstLine="0"/>
        <w:jc w:val="both"/>
        <w:rPr>
          <w:rFonts w:ascii="Arial" w:hAnsi="Arial" w:cs="Arial"/>
          <w:sz w:val="24"/>
          <w:szCs w:val="24"/>
          <w:lang w:val="hr-HR"/>
        </w:rPr>
      </w:pPr>
      <w:r>
        <w:rPr>
          <w:rFonts w:ascii="Arial" w:hAnsi="Arial" w:cs="Arial"/>
          <w:sz w:val="24"/>
          <w:szCs w:val="24"/>
          <w:lang w:val="hr-HR"/>
        </w:rPr>
        <w:t>Усваја</w:t>
      </w:r>
      <w:r w:rsidR="007B6BE3" w:rsidRPr="0087376B">
        <w:rPr>
          <w:rFonts w:ascii="Arial" w:hAnsi="Arial" w:cs="Arial"/>
          <w:sz w:val="24"/>
          <w:szCs w:val="24"/>
          <w:lang w:val="hr-HR"/>
        </w:rPr>
        <w:t xml:space="preserve"> </w:t>
      </w:r>
      <w:r>
        <w:rPr>
          <w:rFonts w:ascii="Arial" w:hAnsi="Arial" w:cs="Arial"/>
          <w:sz w:val="24"/>
          <w:szCs w:val="24"/>
          <w:lang w:val="hr-HR"/>
        </w:rPr>
        <w:t>се</w:t>
      </w:r>
      <w:r w:rsidR="007B6BE3" w:rsidRPr="0087376B">
        <w:rPr>
          <w:rFonts w:ascii="Arial" w:hAnsi="Arial" w:cs="Arial"/>
          <w:sz w:val="24"/>
          <w:szCs w:val="24"/>
          <w:lang w:val="hr-HR"/>
        </w:rPr>
        <w:t xml:space="preserve"> </w:t>
      </w:r>
      <w:r>
        <w:rPr>
          <w:rFonts w:ascii="Arial" w:hAnsi="Arial" w:cs="Arial"/>
          <w:sz w:val="24"/>
          <w:szCs w:val="24"/>
          <w:lang w:val="hr-HR"/>
        </w:rPr>
        <w:t>Стратегија</w:t>
      </w:r>
      <w:r w:rsidR="007B6BE3" w:rsidRPr="0087376B">
        <w:rPr>
          <w:rFonts w:ascii="Arial" w:hAnsi="Arial" w:cs="Arial"/>
          <w:sz w:val="24"/>
          <w:szCs w:val="24"/>
          <w:lang w:val="hr-HR"/>
        </w:rPr>
        <w:t xml:space="preserve"> </w:t>
      </w:r>
      <w:r>
        <w:rPr>
          <w:rFonts w:ascii="Arial" w:hAnsi="Arial" w:cs="Arial"/>
          <w:sz w:val="24"/>
          <w:szCs w:val="24"/>
          <w:lang w:val="hr-HR"/>
        </w:rPr>
        <w:t>управљања</w:t>
      </w:r>
      <w:r w:rsidR="007B6BE3" w:rsidRPr="0087376B">
        <w:rPr>
          <w:rFonts w:ascii="Arial" w:hAnsi="Arial" w:cs="Arial"/>
          <w:sz w:val="24"/>
          <w:szCs w:val="24"/>
          <w:lang w:val="hr-HR"/>
        </w:rPr>
        <w:t xml:space="preserve"> </w:t>
      </w:r>
      <w:r>
        <w:rPr>
          <w:rFonts w:ascii="Arial" w:hAnsi="Arial" w:cs="Arial"/>
          <w:sz w:val="24"/>
          <w:szCs w:val="24"/>
          <w:lang w:val="hr-HR"/>
        </w:rPr>
        <w:t>дугом</w:t>
      </w:r>
      <w:r w:rsidR="007B6BE3" w:rsidRPr="0087376B">
        <w:rPr>
          <w:rFonts w:ascii="Arial" w:hAnsi="Arial" w:cs="Arial"/>
          <w:sz w:val="24"/>
          <w:szCs w:val="24"/>
          <w:lang w:val="hr-HR"/>
        </w:rPr>
        <w:t xml:space="preserve"> 2023. – 2025.</w:t>
      </w:r>
    </w:p>
    <w:p w14:paraId="79BCF4D5" w14:textId="77777777" w:rsidR="007B6BE3" w:rsidRPr="0087376B" w:rsidRDefault="007B6BE3" w:rsidP="007B6BE3">
      <w:pPr>
        <w:pStyle w:val="NoSpacing"/>
        <w:jc w:val="both"/>
        <w:rPr>
          <w:rFonts w:ascii="Arial" w:hAnsi="Arial" w:cs="Arial"/>
          <w:sz w:val="24"/>
          <w:szCs w:val="24"/>
          <w:lang w:val="hr-HR"/>
        </w:rPr>
      </w:pPr>
    </w:p>
    <w:p w14:paraId="6109846A" w14:textId="77777777" w:rsidR="007B6BE3" w:rsidRPr="00C7294F" w:rsidRDefault="005B20F8" w:rsidP="007B6BE3">
      <w:pPr>
        <w:pStyle w:val="NoSpacing"/>
        <w:numPr>
          <w:ilvl w:val="0"/>
          <w:numId w:val="18"/>
        </w:numPr>
        <w:spacing w:line="276" w:lineRule="auto"/>
        <w:ind w:left="0" w:firstLine="0"/>
        <w:jc w:val="both"/>
        <w:rPr>
          <w:rFonts w:ascii="Arial" w:eastAsia="Calibri" w:hAnsi="Arial" w:cs="Arial"/>
          <w:sz w:val="24"/>
          <w:szCs w:val="24"/>
          <w:lang w:val="hr-HR"/>
        </w:rPr>
      </w:pPr>
      <w:r>
        <w:rPr>
          <w:rFonts w:ascii="Arial" w:eastAsia="Calibri" w:hAnsi="Arial" w:cs="Arial"/>
          <w:sz w:val="24"/>
          <w:szCs w:val="24"/>
          <w:lang w:val="hr-HR"/>
        </w:rPr>
        <w:t>Задужује</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се</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Федерално</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министарство</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финансија</w:t>
      </w:r>
      <w:r w:rsidR="007B6BE3" w:rsidRPr="0087376B">
        <w:rPr>
          <w:rFonts w:ascii="Arial" w:eastAsia="Calibri" w:hAnsi="Arial" w:cs="Arial"/>
          <w:sz w:val="24"/>
          <w:szCs w:val="24"/>
          <w:lang w:val="hr-HR"/>
        </w:rPr>
        <w:t>-</w:t>
      </w:r>
      <w:r>
        <w:rPr>
          <w:rFonts w:ascii="Arial" w:eastAsia="Calibri" w:hAnsi="Arial" w:cs="Arial"/>
          <w:sz w:val="24"/>
          <w:szCs w:val="24"/>
          <w:lang w:val="hr-HR"/>
        </w:rPr>
        <w:t>Федерално</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министарство</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финанција</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да</w:t>
      </w:r>
      <w:r w:rsidR="007B6BE3" w:rsidRPr="0087376B">
        <w:rPr>
          <w:rFonts w:ascii="Arial" w:eastAsia="Calibri" w:hAnsi="Arial" w:cs="Arial"/>
          <w:sz w:val="24"/>
          <w:szCs w:val="24"/>
          <w:lang w:val="hr-HR"/>
        </w:rPr>
        <w:t xml:space="preserve"> </w:t>
      </w:r>
      <w:r>
        <w:rPr>
          <w:rFonts w:ascii="Arial" w:hAnsi="Arial" w:cs="Arial"/>
          <w:sz w:val="24"/>
          <w:szCs w:val="24"/>
          <w:lang w:val="hr-HR"/>
        </w:rPr>
        <w:t>Стратегију</w:t>
      </w:r>
      <w:r w:rsidR="007B6BE3" w:rsidRPr="0087376B">
        <w:rPr>
          <w:rFonts w:ascii="Arial" w:hAnsi="Arial" w:cs="Arial"/>
          <w:sz w:val="24"/>
          <w:szCs w:val="24"/>
          <w:lang w:val="hr-HR"/>
        </w:rPr>
        <w:t xml:space="preserve"> </w:t>
      </w:r>
      <w:r>
        <w:rPr>
          <w:rFonts w:ascii="Arial" w:hAnsi="Arial" w:cs="Arial"/>
          <w:sz w:val="24"/>
          <w:szCs w:val="24"/>
          <w:lang w:val="hr-HR"/>
        </w:rPr>
        <w:t>управљања</w:t>
      </w:r>
      <w:r w:rsidR="007B6BE3" w:rsidRPr="0087376B">
        <w:rPr>
          <w:rFonts w:ascii="Arial" w:hAnsi="Arial" w:cs="Arial"/>
          <w:sz w:val="24"/>
          <w:szCs w:val="24"/>
          <w:lang w:val="hr-HR"/>
        </w:rPr>
        <w:t xml:space="preserve"> </w:t>
      </w:r>
      <w:r>
        <w:rPr>
          <w:rFonts w:ascii="Arial" w:hAnsi="Arial" w:cs="Arial"/>
          <w:sz w:val="24"/>
          <w:szCs w:val="24"/>
          <w:lang w:val="hr-HR"/>
        </w:rPr>
        <w:t>дугом</w:t>
      </w:r>
      <w:r w:rsidR="007B6BE3" w:rsidRPr="0087376B">
        <w:rPr>
          <w:rFonts w:ascii="Arial" w:hAnsi="Arial" w:cs="Arial"/>
          <w:sz w:val="24"/>
          <w:szCs w:val="24"/>
          <w:lang w:val="hr-HR"/>
        </w:rPr>
        <w:t xml:space="preserve"> 2023 – 2025. </w:t>
      </w:r>
      <w:r>
        <w:rPr>
          <w:rFonts w:ascii="Arial" w:hAnsi="Arial" w:cs="Arial"/>
          <w:sz w:val="24"/>
          <w:szCs w:val="24"/>
          <w:lang w:val="hr-HR"/>
        </w:rPr>
        <w:t>о</w:t>
      </w:r>
      <w:r>
        <w:rPr>
          <w:rFonts w:ascii="Arial" w:eastAsia="Calibri" w:hAnsi="Arial" w:cs="Arial"/>
          <w:sz w:val="24"/>
          <w:szCs w:val="24"/>
          <w:lang w:val="hr-HR"/>
        </w:rPr>
        <w:t>бјави</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на</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својој</w:t>
      </w:r>
      <w:r w:rsidR="007B6BE3" w:rsidRPr="0087376B">
        <w:rPr>
          <w:rFonts w:ascii="Arial" w:eastAsia="Calibri" w:hAnsi="Arial" w:cs="Arial"/>
          <w:sz w:val="24"/>
          <w:szCs w:val="24"/>
          <w:lang w:val="hr-HR"/>
        </w:rPr>
        <w:t xml:space="preserve"> </w:t>
      </w:r>
      <w:r w:rsidR="007B6BE3" w:rsidRPr="00C7294F">
        <w:rPr>
          <w:rFonts w:ascii="Arial" w:eastAsia="Calibri" w:hAnsi="Arial" w:cs="Arial"/>
          <w:sz w:val="24"/>
          <w:szCs w:val="24"/>
          <w:lang w:val="hr-HR"/>
        </w:rPr>
        <w:t>w</w:t>
      </w:r>
      <w:r w:rsidRPr="00C7294F">
        <w:rPr>
          <w:rFonts w:ascii="Arial" w:eastAsia="Calibri" w:hAnsi="Arial" w:cs="Arial"/>
          <w:sz w:val="24"/>
          <w:szCs w:val="24"/>
          <w:lang w:val="hr-HR"/>
        </w:rPr>
        <w:t>е</w:t>
      </w:r>
      <w:r w:rsidR="00C7294F" w:rsidRPr="00C7294F">
        <w:rPr>
          <w:rFonts w:ascii="Arial" w:eastAsia="Calibri" w:hAnsi="Arial" w:cs="Arial"/>
          <w:sz w:val="24"/>
          <w:szCs w:val="24"/>
          <w:lang w:val="hr-HR"/>
        </w:rPr>
        <w:t>b</w:t>
      </w:r>
      <w:r w:rsidR="007B6BE3" w:rsidRPr="00C7294F">
        <w:rPr>
          <w:rFonts w:ascii="Arial" w:eastAsia="Calibri" w:hAnsi="Arial" w:cs="Arial"/>
          <w:sz w:val="24"/>
          <w:szCs w:val="24"/>
          <w:lang w:val="hr-HR"/>
        </w:rPr>
        <w:t xml:space="preserve"> </w:t>
      </w:r>
      <w:r w:rsidRPr="00C7294F">
        <w:rPr>
          <w:rFonts w:ascii="Arial" w:eastAsia="Calibri" w:hAnsi="Arial" w:cs="Arial"/>
          <w:sz w:val="24"/>
          <w:szCs w:val="24"/>
          <w:lang w:val="hr-HR"/>
        </w:rPr>
        <w:t>страници</w:t>
      </w:r>
      <w:r w:rsidR="007B6BE3" w:rsidRPr="00C7294F">
        <w:rPr>
          <w:rFonts w:ascii="Arial" w:eastAsia="Calibri" w:hAnsi="Arial" w:cs="Arial"/>
          <w:sz w:val="24"/>
          <w:szCs w:val="24"/>
          <w:lang w:val="hr-HR"/>
        </w:rPr>
        <w:t>.</w:t>
      </w:r>
    </w:p>
    <w:p w14:paraId="4529CC38" w14:textId="77777777" w:rsidR="007B6BE3" w:rsidRPr="0087376B" w:rsidRDefault="007B6BE3" w:rsidP="007B6BE3">
      <w:pPr>
        <w:pStyle w:val="NoSpacing"/>
        <w:spacing w:line="276" w:lineRule="auto"/>
        <w:jc w:val="both"/>
        <w:rPr>
          <w:rFonts w:ascii="Arial" w:eastAsia="Calibri" w:hAnsi="Arial" w:cs="Arial"/>
          <w:sz w:val="24"/>
          <w:szCs w:val="24"/>
          <w:lang w:val="hr-HR"/>
        </w:rPr>
      </w:pPr>
    </w:p>
    <w:p w14:paraId="6F8C67E4" w14:textId="77777777" w:rsidR="007B6BE3" w:rsidRPr="0087376B" w:rsidRDefault="005B20F8" w:rsidP="007B6BE3">
      <w:pPr>
        <w:pStyle w:val="NoSpacing"/>
        <w:numPr>
          <w:ilvl w:val="0"/>
          <w:numId w:val="18"/>
        </w:numPr>
        <w:spacing w:line="276" w:lineRule="auto"/>
        <w:ind w:left="0" w:firstLine="0"/>
        <w:jc w:val="both"/>
        <w:rPr>
          <w:rFonts w:ascii="Arial" w:eastAsia="Calibri" w:hAnsi="Arial" w:cs="Arial"/>
          <w:sz w:val="24"/>
          <w:szCs w:val="24"/>
          <w:lang w:val="hr-HR"/>
        </w:rPr>
      </w:pPr>
      <w:r>
        <w:rPr>
          <w:rFonts w:ascii="Arial" w:eastAsia="Calibri" w:hAnsi="Arial" w:cs="Arial"/>
          <w:sz w:val="24"/>
          <w:szCs w:val="24"/>
          <w:lang w:val="hr-HR"/>
        </w:rPr>
        <w:t>Задужује</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се</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Генерални</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секретаријат</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Владе</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Федерације</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Босне</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и</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Херцеговине</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да</w:t>
      </w:r>
      <w:r w:rsidR="007B6BE3" w:rsidRPr="0087376B">
        <w:rPr>
          <w:rFonts w:ascii="Arial" w:eastAsia="Calibri" w:hAnsi="Arial" w:cs="Arial"/>
          <w:sz w:val="24"/>
          <w:szCs w:val="24"/>
          <w:lang w:val="hr-HR"/>
        </w:rPr>
        <w:t xml:space="preserve"> </w:t>
      </w:r>
      <w:r>
        <w:rPr>
          <w:rFonts w:ascii="Arial" w:hAnsi="Arial" w:cs="Arial"/>
          <w:sz w:val="24"/>
          <w:szCs w:val="24"/>
          <w:lang w:val="hr-HR"/>
        </w:rPr>
        <w:t>Стратегију</w:t>
      </w:r>
      <w:r w:rsidR="007B6BE3" w:rsidRPr="0087376B">
        <w:rPr>
          <w:rFonts w:ascii="Arial" w:hAnsi="Arial" w:cs="Arial"/>
          <w:sz w:val="24"/>
          <w:szCs w:val="24"/>
          <w:lang w:val="hr-HR"/>
        </w:rPr>
        <w:t xml:space="preserve"> </w:t>
      </w:r>
      <w:r>
        <w:rPr>
          <w:rFonts w:ascii="Arial" w:hAnsi="Arial" w:cs="Arial"/>
          <w:sz w:val="24"/>
          <w:szCs w:val="24"/>
          <w:lang w:val="hr-HR"/>
        </w:rPr>
        <w:t>управљања</w:t>
      </w:r>
      <w:r w:rsidR="007B6BE3" w:rsidRPr="0087376B">
        <w:rPr>
          <w:rFonts w:ascii="Arial" w:hAnsi="Arial" w:cs="Arial"/>
          <w:sz w:val="24"/>
          <w:szCs w:val="24"/>
          <w:lang w:val="hr-HR"/>
        </w:rPr>
        <w:t xml:space="preserve"> </w:t>
      </w:r>
      <w:r>
        <w:rPr>
          <w:rFonts w:ascii="Arial" w:hAnsi="Arial" w:cs="Arial"/>
          <w:sz w:val="24"/>
          <w:szCs w:val="24"/>
          <w:lang w:val="hr-HR"/>
        </w:rPr>
        <w:t>дугом</w:t>
      </w:r>
      <w:r w:rsidR="007B6BE3" w:rsidRPr="0087376B">
        <w:rPr>
          <w:rFonts w:ascii="Arial" w:hAnsi="Arial" w:cs="Arial"/>
          <w:sz w:val="24"/>
          <w:szCs w:val="24"/>
          <w:lang w:val="hr-HR"/>
        </w:rPr>
        <w:t xml:space="preserve"> 2023 – 2025</w:t>
      </w:r>
      <w:r w:rsidR="007B6BE3">
        <w:rPr>
          <w:rFonts w:ascii="Arial" w:hAnsi="Arial" w:cs="Arial"/>
          <w:sz w:val="24"/>
          <w:szCs w:val="24"/>
          <w:lang w:val="hr-HR"/>
        </w:rPr>
        <w:t>.</w:t>
      </w:r>
      <w:r w:rsidR="007B6BE3" w:rsidRPr="0087376B">
        <w:rPr>
          <w:rFonts w:ascii="Arial" w:hAnsi="Arial" w:cs="Arial"/>
          <w:sz w:val="24"/>
          <w:szCs w:val="24"/>
          <w:lang w:val="hr-HR"/>
        </w:rPr>
        <w:t xml:space="preserve"> </w:t>
      </w:r>
      <w:r>
        <w:rPr>
          <w:rFonts w:ascii="Arial" w:eastAsia="Calibri" w:hAnsi="Arial" w:cs="Arial"/>
          <w:sz w:val="24"/>
          <w:szCs w:val="24"/>
          <w:lang w:val="hr-HR"/>
        </w:rPr>
        <w:t>прослиједи</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Парламенту</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Федерације</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Босне</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и</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Херцеговине</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ради</w:t>
      </w:r>
      <w:r w:rsidR="007B6BE3" w:rsidRPr="0087376B">
        <w:rPr>
          <w:rFonts w:ascii="Arial" w:eastAsia="Calibri" w:hAnsi="Arial" w:cs="Arial"/>
          <w:sz w:val="24"/>
          <w:szCs w:val="24"/>
          <w:lang w:val="hr-HR"/>
        </w:rPr>
        <w:t xml:space="preserve"> </w:t>
      </w:r>
      <w:r>
        <w:rPr>
          <w:rFonts w:ascii="Arial" w:eastAsia="Calibri" w:hAnsi="Arial" w:cs="Arial"/>
          <w:sz w:val="24"/>
          <w:szCs w:val="24"/>
          <w:lang w:val="hr-HR"/>
        </w:rPr>
        <w:t>информисања</w:t>
      </w:r>
      <w:r w:rsidR="007B6BE3" w:rsidRPr="0087376B">
        <w:rPr>
          <w:rFonts w:ascii="Arial" w:eastAsia="Calibri" w:hAnsi="Arial" w:cs="Arial"/>
          <w:sz w:val="24"/>
          <w:szCs w:val="24"/>
          <w:lang w:val="hr-HR"/>
        </w:rPr>
        <w:t>.</w:t>
      </w:r>
    </w:p>
    <w:p w14:paraId="787A9714" w14:textId="77777777" w:rsidR="007B6BE3" w:rsidRPr="0087376B" w:rsidRDefault="007B6BE3" w:rsidP="007B6BE3">
      <w:pPr>
        <w:pStyle w:val="NoSpacing"/>
        <w:ind w:left="709"/>
        <w:jc w:val="both"/>
        <w:rPr>
          <w:rFonts w:ascii="Arial" w:hAnsi="Arial" w:cs="Arial"/>
          <w:sz w:val="24"/>
          <w:szCs w:val="24"/>
          <w:lang w:val="hr-HR"/>
        </w:rPr>
      </w:pPr>
    </w:p>
    <w:p w14:paraId="1202C0D8" w14:textId="77777777" w:rsidR="007B6BE3" w:rsidRPr="0087376B" w:rsidRDefault="005B20F8" w:rsidP="007B6BE3">
      <w:pPr>
        <w:pStyle w:val="NoSpacing"/>
        <w:numPr>
          <w:ilvl w:val="0"/>
          <w:numId w:val="18"/>
        </w:numPr>
        <w:ind w:left="0" w:firstLine="0"/>
        <w:jc w:val="both"/>
        <w:rPr>
          <w:rFonts w:ascii="Arial" w:hAnsi="Arial" w:cs="Arial"/>
          <w:sz w:val="24"/>
          <w:szCs w:val="24"/>
          <w:lang w:val="hr-HR"/>
        </w:rPr>
      </w:pPr>
      <w:r>
        <w:rPr>
          <w:rFonts w:ascii="Arial" w:hAnsi="Arial" w:cs="Arial"/>
          <w:sz w:val="24"/>
          <w:szCs w:val="24"/>
          <w:lang w:val="hr-HR"/>
        </w:rPr>
        <w:t>Овај</w:t>
      </w:r>
      <w:r w:rsidR="007B6BE3" w:rsidRPr="0087376B">
        <w:rPr>
          <w:rFonts w:ascii="Arial" w:hAnsi="Arial" w:cs="Arial"/>
          <w:sz w:val="24"/>
          <w:szCs w:val="24"/>
          <w:lang w:val="hr-HR"/>
        </w:rPr>
        <w:t xml:space="preserve"> </w:t>
      </w:r>
      <w:r>
        <w:rPr>
          <w:rFonts w:ascii="Arial" w:hAnsi="Arial" w:cs="Arial"/>
          <w:sz w:val="24"/>
          <w:szCs w:val="24"/>
          <w:lang w:val="hr-HR"/>
        </w:rPr>
        <w:t>закључак</w:t>
      </w:r>
      <w:r w:rsidR="007B6BE3" w:rsidRPr="0087376B">
        <w:rPr>
          <w:rFonts w:ascii="Arial" w:hAnsi="Arial" w:cs="Arial"/>
          <w:sz w:val="24"/>
          <w:szCs w:val="24"/>
          <w:lang w:val="hr-HR"/>
        </w:rPr>
        <w:t xml:space="preserve"> </w:t>
      </w:r>
      <w:r>
        <w:rPr>
          <w:rFonts w:ascii="Arial" w:hAnsi="Arial" w:cs="Arial"/>
          <w:sz w:val="24"/>
          <w:szCs w:val="24"/>
          <w:lang w:val="hr-HR"/>
        </w:rPr>
        <w:t>ступа</w:t>
      </w:r>
      <w:r w:rsidR="007B6BE3" w:rsidRPr="0087376B">
        <w:rPr>
          <w:rFonts w:ascii="Arial" w:hAnsi="Arial" w:cs="Arial"/>
          <w:sz w:val="24"/>
          <w:szCs w:val="24"/>
          <w:lang w:val="hr-HR"/>
        </w:rPr>
        <w:t xml:space="preserve"> </w:t>
      </w:r>
      <w:r>
        <w:rPr>
          <w:rFonts w:ascii="Arial" w:hAnsi="Arial" w:cs="Arial"/>
          <w:sz w:val="24"/>
          <w:szCs w:val="24"/>
          <w:lang w:val="hr-HR"/>
        </w:rPr>
        <w:t>на</w:t>
      </w:r>
      <w:r w:rsidR="007B6BE3" w:rsidRPr="0087376B">
        <w:rPr>
          <w:rFonts w:ascii="Arial" w:hAnsi="Arial" w:cs="Arial"/>
          <w:sz w:val="24"/>
          <w:szCs w:val="24"/>
          <w:lang w:val="hr-HR"/>
        </w:rPr>
        <w:t xml:space="preserve"> </w:t>
      </w:r>
      <w:r>
        <w:rPr>
          <w:rFonts w:ascii="Arial" w:hAnsi="Arial" w:cs="Arial"/>
          <w:sz w:val="24"/>
          <w:szCs w:val="24"/>
          <w:lang w:val="hr-HR"/>
        </w:rPr>
        <w:t>снагу</w:t>
      </w:r>
      <w:r w:rsidR="007B6BE3" w:rsidRPr="0087376B">
        <w:rPr>
          <w:rFonts w:ascii="Arial" w:hAnsi="Arial" w:cs="Arial"/>
          <w:sz w:val="24"/>
          <w:szCs w:val="24"/>
          <w:lang w:val="hr-HR"/>
        </w:rPr>
        <w:t xml:space="preserve"> </w:t>
      </w:r>
      <w:r>
        <w:rPr>
          <w:rFonts w:ascii="Arial" w:hAnsi="Arial" w:cs="Arial"/>
          <w:sz w:val="24"/>
          <w:szCs w:val="24"/>
          <w:lang w:val="hr-HR"/>
        </w:rPr>
        <w:t>даном</w:t>
      </w:r>
      <w:r w:rsidR="007B6BE3" w:rsidRPr="0087376B">
        <w:rPr>
          <w:rFonts w:ascii="Arial" w:hAnsi="Arial" w:cs="Arial"/>
          <w:sz w:val="24"/>
          <w:szCs w:val="24"/>
          <w:lang w:val="hr-HR"/>
        </w:rPr>
        <w:t xml:space="preserve"> </w:t>
      </w:r>
      <w:r>
        <w:rPr>
          <w:rFonts w:ascii="Arial" w:hAnsi="Arial" w:cs="Arial"/>
          <w:sz w:val="24"/>
          <w:szCs w:val="24"/>
          <w:lang w:val="hr-HR"/>
        </w:rPr>
        <w:t>доношења</w:t>
      </w:r>
      <w:r w:rsidR="007B6BE3" w:rsidRPr="0087376B">
        <w:rPr>
          <w:rFonts w:ascii="Arial" w:hAnsi="Arial" w:cs="Arial"/>
          <w:sz w:val="24"/>
          <w:szCs w:val="24"/>
          <w:lang w:val="hr-HR"/>
        </w:rPr>
        <w:t>.</w:t>
      </w:r>
    </w:p>
    <w:p w14:paraId="0EACEB93" w14:textId="77777777" w:rsidR="007B6BE3" w:rsidRPr="0087376B" w:rsidRDefault="007B6BE3" w:rsidP="007B6BE3">
      <w:pPr>
        <w:spacing w:before="240" w:line="240" w:lineRule="auto"/>
        <w:ind w:left="720"/>
        <w:contextualSpacing/>
        <w:rPr>
          <w:rFonts w:ascii="Arial" w:eastAsia="Times New Roman" w:hAnsi="Arial" w:cs="Arial"/>
          <w:color w:val="8496B0" w:themeColor="text2" w:themeTint="99"/>
          <w:sz w:val="24"/>
          <w:szCs w:val="24"/>
        </w:rPr>
      </w:pPr>
    </w:p>
    <w:p w14:paraId="1AD6165C" w14:textId="77777777" w:rsidR="007B6BE3" w:rsidRPr="0087376B" w:rsidRDefault="007B6BE3" w:rsidP="007B6BE3">
      <w:pPr>
        <w:spacing w:after="0" w:line="240" w:lineRule="auto"/>
        <w:ind w:left="284" w:right="49"/>
        <w:jc w:val="both"/>
        <w:rPr>
          <w:rFonts w:ascii="Arial" w:eastAsia="Times New Roman" w:hAnsi="Arial" w:cs="Arial"/>
          <w:color w:val="8496B0" w:themeColor="text2" w:themeTint="99"/>
          <w:sz w:val="24"/>
          <w:szCs w:val="24"/>
        </w:rPr>
      </w:pPr>
    </w:p>
    <w:p w14:paraId="6C98DB59" w14:textId="77777777" w:rsidR="003633A5" w:rsidRDefault="005B20F8" w:rsidP="003633A5">
      <w:pPr>
        <w:spacing w:after="0"/>
        <w:ind w:right="49"/>
        <w:jc w:val="both"/>
        <w:rPr>
          <w:rFonts w:ascii="Arial" w:hAnsi="Arial" w:cs="Arial"/>
          <w:b/>
          <w:sz w:val="24"/>
          <w:szCs w:val="24"/>
        </w:rPr>
      </w:pPr>
      <w:r>
        <w:rPr>
          <w:rFonts w:ascii="Arial" w:hAnsi="Arial" w:cs="Arial"/>
          <w:b/>
          <w:sz w:val="24"/>
          <w:szCs w:val="24"/>
        </w:rPr>
        <w:t>В</w:t>
      </w:r>
      <w:r w:rsidR="007B6BE3" w:rsidRPr="0087376B">
        <w:rPr>
          <w:rFonts w:ascii="Arial" w:hAnsi="Arial" w:cs="Arial"/>
          <w:b/>
          <w:sz w:val="24"/>
          <w:szCs w:val="24"/>
        </w:rPr>
        <w:t xml:space="preserve">. </w:t>
      </w:r>
      <w:r>
        <w:rPr>
          <w:rFonts w:ascii="Arial" w:hAnsi="Arial" w:cs="Arial"/>
          <w:b/>
          <w:sz w:val="24"/>
          <w:szCs w:val="24"/>
        </w:rPr>
        <w:t>број</w:t>
      </w:r>
      <w:r w:rsidR="007B6BE3" w:rsidRPr="0087376B">
        <w:rPr>
          <w:rFonts w:ascii="Arial" w:hAnsi="Arial" w:cs="Arial"/>
          <w:b/>
          <w:sz w:val="24"/>
          <w:szCs w:val="24"/>
        </w:rPr>
        <w:t>:______</w:t>
      </w:r>
      <w:r w:rsidR="007B6BE3" w:rsidRPr="0087376B">
        <w:rPr>
          <w:rFonts w:ascii="Arial" w:hAnsi="Arial" w:cs="Arial"/>
          <w:b/>
          <w:sz w:val="24"/>
          <w:szCs w:val="24"/>
        </w:rPr>
        <w:tab/>
      </w:r>
      <w:r w:rsidR="007B6BE3" w:rsidRPr="0087376B">
        <w:rPr>
          <w:rFonts w:ascii="Arial" w:hAnsi="Arial" w:cs="Arial"/>
          <w:b/>
          <w:sz w:val="24"/>
          <w:szCs w:val="24"/>
        </w:rPr>
        <w:tab/>
      </w:r>
      <w:r w:rsidR="007B6BE3" w:rsidRPr="0087376B">
        <w:rPr>
          <w:rFonts w:ascii="Arial" w:hAnsi="Arial" w:cs="Arial"/>
          <w:b/>
          <w:sz w:val="24"/>
          <w:szCs w:val="24"/>
        </w:rPr>
        <w:tab/>
      </w:r>
      <w:r w:rsidR="007B6BE3" w:rsidRPr="0087376B">
        <w:rPr>
          <w:rFonts w:ascii="Arial" w:hAnsi="Arial" w:cs="Arial"/>
          <w:b/>
          <w:sz w:val="24"/>
          <w:szCs w:val="24"/>
        </w:rPr>
        <w:tab/>
      </w:r>
      <w:r w:rsidR="007B6BE3" w:rsidRPr="0087376B">
        <w:rPr>
          <w:rFonts w:ascii="Arial" w:hAnsi="Arial" w:cs="Arial"/>
          <w:b/>
          <w:sz w:val="24"/>
          <w:szCs w:val="24"/>
        </w:rPr>
        <w:tab/>
      </w:r>
      <w:r w:rsidR="007B6BE3" w:rsidRPr="0087376B">
        <w:rPr>
          <w:rFonts w:ascii="Arial" w:hAnsi="Arial" w:cs="Arial"/>
          <w:b/>
          <w:sz w:val="24"/>
          <w:szCs w:val="24"/>
        </w:rPr>
        <w:tab/>
      </w:r>
      <w:r w:rsidR="007B6BE3" w:rsidRPr="0087376B">
        <w:rPr>
          <w:rFonts w:ascii="Arial" w:hAnsi="Arial" w:cs="Arial"/>
          <w:b/>
          <w:sz w:val="24"/>
          <w:szCs w:val="24"/>
        </w:rPr>
        <w:tab/>
        <w:t xml:space="preserve">       </w:t>
      </w:r>
      <w:r w:rsidR="003633A5">
        <w:rPr>
          <w:rFonts w:ascii="Arial" w:hAnsi="Arial" w:cs="Arial"/>
          <w:b/>
          <w:sz w:val="24"/>
          <w:szCs w:val="24"/>
        </w:rPr>
        <w:t>ПРЕМИЈЕР</w:t>
      </w:r>
    </w:p>
    <w:p w14:paraId="5FA3B4FB" w14:textId="77777777" w:rsidR="003633A5" w:rsidRDefault="003633A5" w:rsidP="003633A5">
      <w:pPr>
        <w:spacing w:after="0"/>
        <w:ind w:right="49"/>
        <w:jc w:val="both"/>
        <w:rPr>
          <w:rFonts w:ascii="Arial" w:hAnsi="Arial" w:cs="Arial"/>
          <w:b/>
          <w:sz w:val="24"/>
          <w:szCs w:val="24"/>
        </w:rPr>
      </w:pPr>
    </w:p>
    <w:p w14:paraId="2224847E" w14:textId="3F23E8B8" w:rsidR="007B6BE3" w:rsidRPr="0087376B" w:rsidRDefault="007B6BE3" w:rsidP="003633A5">
      <w:pPr>
        <w:spacing w:after="0"/>
        <w:ind w:right="49"/>
        <w:jc w:val="both"/>
        <w:rPr>
          <w:rFonts w:ascii="Arial" w:hAnsi="Arial" w:cs="Arial"/>
          <w:b/>
          <w:sz w:val="24"/>
          <w:szCs w:val="24"/>
        </w:rPr>
      </w:pPr>
      <w:r w:rsidRPr="0087376B">
        <w:rPr>
          <w:rFonts w:ascii="Arial" w:hAnsi="Arial" w:cs="Arial"/>
          <w:b/>
          <w:sz w:val="24"/>
          <w:szCs w:val="24"/>
        </w:rPr>
        <w:tab/>
      </w:r>
      <w:r w:rsidRPr="0087376B">
        <w:rPr>
          <w:rFonts w:ascii="Arial" w:hAnsi="Arial" w:cs="Arial"/>
          <w:b/>
          <w:sz w:val="24"/>
          <w:szCs w:val="24"/>
        </w:rPr>
        <w:tab/>
        <w:t xml:space="preserve">      </w:t>
      </w:r>
    </w:p>
    <w:p w14:paraId="6DFB8AAC" w14:textId="2C306728" w:rsidR="007B6BE3" w:rsidRPr="0087376B" w:rsidRDefault="005B20F8" w:rsidP="003633A5">
      <w:pPr>
        <w:spacing w:after="0"/>
        <w:ind w:right="49"/>
        <w:jc w:val="both"/>
        <w:rPr>
          <w:rFonts w:ascii="Arial" w:hAnsi="Arial" w:cs="Arial"/>
          <w:b/>
          <w:sz w:val="24"/>
          <w:szCs w:val="24"/>
        </w:rPr>
      </w:pPr>
      <w:r>
        <w:rPr>
          <w:rFonts w:ascii="Arial" w:hAnsi="Arial" w:cs="Arial"/>
          <w:b/>
          <w:sz w:val="24"/>
          <w:szCs w:val="24"/>
        </w:rPr>
        <w:t>Сарајево</w:t>
      </w:r>
      <w:r w:rsidR="007B6BE3" w:rsidRPr="0087376B">
        <w:rPr>
          <w:rFonts w:ascii="Arial" w:hAnsi="Arial" w:cs="Arial"/>
          <w:b/>
          <w:sz w:val="24"/>
          <w:szCs w:val="24"/>
        </w:rPr>
        <w:t xml:space="preserve"> ______202</w:t>
      </w:r>
      <w:r w:rsidR="007B6BE3">
        <w:rPr>
          <w:rFonts w:ascii="Arial" w:hAnsi="Arial" w:cs="Arial"/>
          <w:b/>
          <w:sz w:val="24"/>
          <w:szCs w:val="24"/>
        </w:rPr>
        <w:t>3</w:t>
      </w:r>
      <w:r w:rsidR="007B6BE3" w:rsidRPr="0087376B">
        <w:rPr>
          <w:rFonts w:ascii="Arial" w:hAnsi="Arial" w:cs="Arial"/>
          <w:b/>
          <w:sz w:val="24"/>
          <w:szCs w:val="24"/>
        </w:rPr>
        <w:t xml:space="preserve">. </w:t>
      </w:r>
      <w:r>
        <w:rPr>
          <w:rFonts w:ascii="Arial" w:hAnsi="Arial" w:cs="Arial"/>
          <w:b/>
          <w:sz w:val="24"/>
          <w:szCs w:val="24"/>
        </w:rPr>
        <w:t>године</w:t>
      </w:r>
      <w:r w:rsidR="007B6BE3" w:rsidRPr="0087376B">
        <w:rPr>
          <w:rFonts w:ascii="Arial" w:hAnsi="Arial" w:cs="Arial"/>
          <w:b/>
          <w:sz w:val="24"/>
          <w:szCs w:val="24"/>
        </w:rPr>
        <w:tab/>
      </w:r>
      <w:r w:rsidR="007B6BE3" w:rsidRPr="0087376B">
        <w:rPr>
          <w:rFonts w:ascii="Arial" w:hAnsi="Arial" w:cs="Arial"/>
          <w:b/>
          <w:sz w:val="24"/>
          <w:szCs w:val="24"/>
        </w:rPr>
        <w:tab/>
      </w:r>
      <w:r w:rsidR="007B6BE3" w:rsidRPr="0087376B">
        <w:rPr>
          <w:rFonts w:ascii="Arial" w:hAnsi="Arial" w:cs="Arial"/>
          <w:b/>
          <w:sz w:val="24"/>
          <w:szCs w:val="24"/>
        </w:rPr>
        <w:tab/>
        <w:t xml:space="preserve"> </w:t>
      </w:r>
      <w:r w:rsidR="007B6BE3" w:rsidRPr="0087376B">
        <w:rPr>
          <w:rFonts w:ascii="Arial" w:hAnsi="Arial" w:cs="Arial"/>
          <w:b/>
          <w:sz w:val="24"/>
          <w:szCs w:val="24"/>
        </w:rPr>
        <w:tab/>
        <w:t xml:space="preserve">              </w:t>
      </w:r>
      <w:r w:rsidR="003633A5">
        <w:rPr>
          <w:rFonts w:ascii="Arial" w:hAnsi="Arial" w:cs="Arial"/>
          <w:b/>
          <w:sz w:val="24"/>
          <w:szCs w:val="24"/>
        </w:rPr>
        <w:t>НЕРМИН</w:t>
      </w:r>
      <w:r w:rsidR="003633A5" w:rsidRPr="0087376B">
        <w:rPr>
          <w:rFonts w:ascii="Arial" w:hAnsi="Arial" w:cs="Arial"/>
          <w:b/>
          <w:sz w:val="24"/>
          <w:szCs w:val="24"/>
        </w:rPr>
        <w:t xml:space="preserve"> </w:t>
      </w:r>
      <w:r w:rsidR="003633A5">
        <w:rPr>
          <w:rFonts w:ascii="Arial" w:hAnsi="Arial" w:cs="Arial"/>
          <w:b/>
          <w:sz w:val="24"/>
          <w:szCs w:val="24"/>
        </w:rPr>
        <w:t>НИКШИЋ</w:t>
      </w:r>
      <w:r w:rsidR="003633A5" w:rsidRPr="0087376B">
        <w:rPr>
          <w:rFonts w:ascii="Arial" w:hAnsi="Arial" w:cs="Arial"/>
          <w:b/>
          <w:sz w:val="24"/>
          <w:szCs w:val="24"/>
        </w:rPr>
        <w:t xml:space="preserve"> </w:t>
      </w:r>
    </w:p>
    <w:p w14:paraId="6603CB76" w14:textId="77777777" w:rsidR="007B6BE3" w:rsidRPr="0087376B" w:rsidRDefault="007B6BE3" w:rsidP="007B6BE3">
      <w:pPr>
        <w:spacing w:after="0" w:line="240" w:lineRule="auto"/>
      </w:pPr>
    </w:p>
    <w:p w14:paraId="3AA16C1F" w14:textId="77777777" w:rsidR="00805A1D" w:rsidRDefault="00805A1D"/>
    <w:sectPr w:rsidR="00805A1D" w:rsidSect="007B6BE3">
      <w:footerReference w:type="first" r:id="rId26"/>
      <w:pgSz w:w="11906" w:h="16838"/>
      <w:pgMar w:top="1135" w:right="1133" w:bottom="709"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4C6D" w14:textId="77777777" w:rsidR="006E29FF" w:rsidRDefault="006E29FF" w:rsidP="007B6BE3">
      <w:pPr>
        <w:spacing w:after="0" w:line="240" w:lineRule="auto"/>
      </w:pPr>
      <w:r>
        <w:separator/>
      </w:r>
    </w:p>
  </w:endnote>
  <w:endnote w:type="continuationSeparator" w:id="0">
    <w:p w14:paraId="744EF7E1" w14:textId="77777777" w:rsidR="006E29FF" w:rsidRDefault="006E29FF" w:rsidP="007B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3A6E" w14:textId="77777777" w:rsidR="005B20F8" w:rsidRDefault="005B20F8">
    <w:pPr>
      <w:pStyle w:val="Footer"/>
      <w:jc w:val="center"/>
    </w:pPr>
  </w:p>
  <w:p w14:paraId="217F3F57" w14:textId="77777777" w:rsidR="005B20F8" w:rsidRDefault="005B2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08E0" w14:textId="77777777" w:rsidR="005B20F8" w:rsidRDefault="005B20F8">
    <w:pPr>
      <w:pStyle w:val="Footer"/>
      <w:jc w:val="center"/>
    </w:pPr>
  </w:p>
  <w:p w14:paraId="3BC03D1C" w14:textId="77777777" w:rsidR="005B20F8" w:rsidRDefault="005B2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895302"/>
      <w:docPartObj>
        <w:docPartGallery w:val="Page Numbers (Bottom of Page)"/>
        <w:docPartUnique/>
      </w:docPartObj>
    </w:sdtPr>
    <w:sdtEndPr>
      <w:rPr>
        <w:noProof/>
      </w:rPr>
    </w:sdtEndPr>
    <w:sdtContent>
      <w:p w14:paraId="532A7850" w14:textId="77777777" w:rsidR="005B20F8" w:rsidRDefault="005B20F8">
        <w:pPr>
          <w:pStyle w:val="Footer"/>
          <w:jc w:val="center"/>
        </w:pPr>
        <w:r>
          <w:fldChar w:fldCharType="begin"/>
        </w:r>
        <w:r>
          <w:instrText xml:space="preserve"> PAGE   \* MERGEFORMAT </w:instrText>
        </w:r>
        <w:r>
          <w:fldChar w:fldCharType="separate"/>
        </w:r>
        <w:r w:rsidR="00F4660A">
          <w:rPr>
            <w:noProof/>
          </w:rPr>
          <w:t>18</w:t>
        </w:r>
        <w:r>
          <w:rPr>
            <w:noProof/>
          </w:rPr>
          <w:fldChar w:fldCharType="end"/>
        </w:r>
      </w:p>
    </w:sdtContent>
  </w:sdt>
  <w:p w14:paraId="1F5667DC" w14:textId="77777777" w:rsidR="005B20F8" w:rsidRDefault="005B20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62743"/>
      <w:docPartObj>
        <w:docPartGallery w:val="Page Numbers (Bottom of Page)"/>
        <w:docPartUnique/>
      </w:docPartObj>
    </w:sdtPr>
    <w:sdtEndPr>
      <w:rPr>
        <w:noProof/>
      </w:rPr>
    </w:sdtEndPr>
    <w:sdtContent>
      <w:p w14:paraId="04104987" w14:textId="77777777" w:rsidR="005B20F8" w:rsidRDefault="005B20F8">
        <w:pPr>
          <w:pStyle w:val="Footer"/>
          <w:jc w:val="center"/>
        </w:pPr>
        <w:r>
          <w:fldChar w:fldCharType="begin"/>
        </w:r>
        <w:r>
          <w:instrText xml:space="preserve"> PAGE   \* MERGEFORMAT </w:instrText>
        </w:r>
        <w:r>
          <w:fldChar w:fldCharType="separate"/>
        </w:r>
        <w:r w:rsidR="009A64F7">
          <w:rPr>
            <w:noProof/>
          </w:rPr>
          <w:t>1</w:t>
        </w:r>
        <w:r>
          <w:rPr>
            <w:noProof/>
          </w:rPr>
          <w:fldChar w:fldCharType="end"/>
        </w:r>
      </w:p>
    </w:sdtContent>
  </w:sdt>
  <w:p w14:paraId="7FE16B0C" w14:textId="77777777" w:rsidR="005B20F8" w:rsidRDefault="005B20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4A4C" w14:textId="35378CFE" w:rsidR="00732673" w:rsidRDefault="00732673">
    <w:pPr>
      <w:pStyle w:val="Footer"/>
      <w:jc w:val="center"/>
    </w:pPr>
  </w:p>
  <w:p w14:paraId="25071C61" w14:textId="77777777" w:rsidR="00732673" w:rsidRDefault="0073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9603" w14:textId="77777777" w:rsidR="006E29FF" w:rsidRDefault="006E29FF" w:rsidP="007B6BE3">
      <w:pPr>
        <w:spacing w:after="0" w:line="240" w:lineRule="auto"/>
      </w:pPr>
      <w:r>
        <w:separator/>
      </w:r>
    </w:p>
  </w:footnote>
  <w:footnote w:type="continuationSeparator" w:id="0">
    <w:p w14:paraId="3441C33C" w14:textId="77777777" w:rsidR="006E29FF" w:rsidRDefault="006E29FF" w:rsidP="007B6BE3">
      <w:pPr>
        <w:spacing w:after="0" w:line="240" w:lineRule="auto"/>
      </w:pPr>
      <w:r>
        <w:continuationSeparator/>
      </w:r>
    </w:p>
  </w:footnote>
  <w:footnote w:id="1">
    <w:p w14:paraId="75C6DE27" w14:textId="77777777" w:rsidR="005B20F8" w:rsidRPr="00FB6FC8" w:rsidRDefault="005B20F8" w:rsidP="007B6BE3">
      <w:pPr>
        <w:pStyle w:val="FootnoteText"/>
        <w:spacing w:after="0" w:line="240" w:lineRule="auto"/>
        <w:jc w:val="both"/>
        <w:rPr>
          <w:rFonts w:ascii="Arial" w:hAnsi="Arial" w:cs="Arial"/>
          <w:sz w:val="16"/>
        </w:rPr>
      </w:pPr>
      <w:r w:rsidRPr="00D912D1">
        <w:rPr>
          <w:rStyle w:val="FootnoteReference"/>
          <w:sz w:val="18"/>
          <w:szCs w:val="18"/>
        </w:rPr>
        <w:footnoteRef/>
      </w:r>
      <w:r w:rsidRPr="00D912D1">
        <w:rPr>
          <w:rStyle w:val="FootnoteReference"/>
          <w:sz w:val="18"/>
          <w:szCs w:val="18"/>
        </w:rPr>
        <w:t xml:space="preserve"> </w:t>
      </w:r>
      <w:r w:rsidR="00625E9C" w:rsidRPr="00625E9C">
        <w:rPr>
          <w:rFonts w:ascii="Arial" w:hAnsi="Arial" w:cs="Arial"/>
          <w:sz w:val="16"/>
        </w:rPr>
        <w:t>Курсна листа ЦББХ број 259 од 31.12.2022. године</w:t>
      </w:r>
    </w:p>
  </w:footnote>
  <w:footnote w:id="2">
    <w:p w14:paraId="69457A79" w14:textId="77777777" w:rsidR="005B20F8" w:rsidRPr="00B93399" w:rsidRDefault="005B20F8" w:rsidP="007B6BE3">
      <w:pPr>
        <w:pStyle w:val="FootnoteText"/>
        <w:spacing w:after="0" w:line="240" w:lineRule="auto"/>
        <w:jc w:val="both"/>
        <w:rPr>
          <w:lang w:val="bs-Latn-BA"/>
        </w:rPr>
      </w:pPr>
      <w:r w:rsidRPr="00D912D1">
        <w:rPr>
          <w:rStyle w:val="FootnoteReference"/>
          <w:sz w:val="18"/>
          <w:szCs w:val="18"/>
        </w:rPr>
        <w:footnoteRef/>
      </w:r>
      <w:r w:rsidRPr="00D912D1">
        <w:rPr>
          <w:rStyle w:val="FootnoteReference"/>
          <w:sz w:val="18"/>
          <w:szCs w:val="18"/>
        </w:rPr>
        <w:t xml:space="preserve"> </w:t>
      </w:r>
      <w:r w:rsidR="00625E9C" w:rsidRPr="00625E9C">
        <w:rPr>
          <w:rFonts w:ascii="Arial" w:hAnsi="Arial" w:cs="Arial"/>
          <w:sz w:val="16"/>
        </w:rPr>
        <w:t>Износ БДП-а Федерације у 2022. години износи 29.354 мил. КМ, Мјесечни статистички преглед Федерације бр</w:t>
      </w:r>
      <w:r w:rsidR="00625E9C" w:rsidRPr="00625E9C">
        <w:rPr>
          <w:sz w:val="18"/>
          <w:szCs w:val="18"/>
        </w:rPr>
        <w:t>.</w:t>
      </w:r>
      <w:r>
        <w:rPr>
          <w:rFonts w:ascii="Arial" w:hAnsi="Arial" w:cs="Arial"/>
          <w:sz w:val="16"/>
        </w:rPr>
        <w:t>7/23</w:t>
      </w:r>
    </w:p>
  </w:footnote>
  <w:footnote w:id="3">
    <w:p w14:paraId="29785AFC" w14:textId="77777777" w:rsidR="005B20F8" w:rsidRPr="000D54BA" w:rsidRDefault="005B20F8" w:rsidP="00625E9C">
      <w:pPr>
        <w:pStyle w:val="FootnoteText"/>
        <w:spacing w:after="0" w:line="240" w:lineRule="auto"/>
        <w:jc w:val="both"/>
        <w:rPr>
          <w:lang w:val="bs-Latn-BA"/>
        </w:rPr>
      </w:pPr>
      <w:r>
        <w:rPr>
          <w:rStyle w:val="FootnoteReference"/>
        </w:rPr>
        <w:footnoteRef/>
      </w:r>
      <w:r>
        <w:t xml:space="preserve"> </w:t>
      </w:r>
      <w:r w:rsidRPr="005C44E2">
        <w:rPr>
          <w:rFonts w:ascii="Arial Narrow" w:eastAsia="Arial" w:hAnsi="Arial Narrow" w:cs="Arial"/>
          <w:sz w:val="16"/>
        </w:rPr>
        <w:t xml:space="preserve">SDR – </w:t>
      </w:r>
      <w:r w:rsidR="00625E9C" w:rsidRPr="00625E9C">
        <w:rPr>
          <w:rFonts w:ascii="Arial Narrow" w:eastAsia="Arial" w:hAnsi="Arial Narrow" w:cs="Arial"/>
          <w:sz w:val="16"/>
        </w:rPr>
        <w:t>међународна обрачунска валута састављена од сљедећих валута: Кинески Juan (CNY) 1,0993, Euro (EUR) 0,37379, Амерички долар (USD) 0,57813, Британска Фунта (GBP) 0,08087 и Јапански Yen (JPY), 13,452.</w:t>
      </w:r>
    </w:p>
  </w:footnote>
  <w:footnote w:id="4">
    <w:p w14:paraId="09474606" w14:textId="77777777" w:rsidR="005B20F8" w:rsidRPr="00337704" w:rsidRDefault="005B20F8" w:rsidP="007B6BE3">
      <w:pPr>
        <w:pStyle w:val="FootnoteText"/>
        <w:spacing w:after="0"/>
        <w:jc w:val="both"/>
        <w:rPr>
          <w:rFonts w:ascii="Arial Narrow" w:eastAsia="Arial" w:hAnsi="Arial Narrow" w:cs="Arial"/>
          <w:sz w:val="16"/>
        </w:rPr>
      </w:pPr>
      <w:r w:rsidRPr="006309F0">
        <w:rPr>
          <w:rStyle w:val="FootnoteReference"/>
          <w:rFonts w:ascii="Arial" w:hAnsi="Arial" w:cs="Arial"/>
          <w:sz w:val="16"/>
        </w:rPr>
        <w:footnoteRef/>
      </w:r>
      <w:r w:rsidRPr="006309F0">
        <w:rPr>
          <w:rFonts w:ascii="Arial" w:hAnsi="Arial" w:cs="Arial"/>
          <w:sz w:val="16"/>
        </w:rPr>
        <w:t xml:space="preserve"> </w:t>
      </w:r>
      <w:r w:rsidR="00625E9C" w:rsidRPr="00625E9C">
        <w:rPr>
          <w:rFonts w:ascii="Arial Narrow" w:eastAsia="Arial" w:hAnsi="Arial Narrow" w:cs="Arial"/>
          <w:sz w:val="16"/>
        </w:rPr>
        <w:t>Закон о утврђивању и начину измирења унутрашњих обавеза Федерације Босне и Херцеговине ("Службене новине Федерације БиХ", бр. 66/04, 49/05, 35/06, 31/08, 32/09, 65/09 и 42/11); Закон о измирењу обавеза на основу рачуна старе девизне штедње у Федерацији Босне и Херцеговине ("Службене новине Федерације БиХ", бр. 62/09, 42/11, 91/13 и 101/16)</w:t>
      </w:r>
    </w:p>
  </w:footnote>
  <w:footnote w:id="5">
    <w:p w14:paraId="0E560ACE" w14:textId="77777777" w:rsidR="005B20F8" w:rsidRPr="00625E9C" w:rsidRDefault="005B20F8" w:rsidP="007B6BE3">
      <w:pPr>
        <w:pStyle w:val="FootnoteText"/>
        <w:spacing w:after="0"/>
        <w:rPr>
          <w:rFonts w:ascii="Arial Narrow" w:eastAsia="Arial" w:hAnsi="Arial Narrow" w:cs="Arial"/>
          <w:sz w:val="16"/>
        </w:rPr>
      </w:pPr>
      <w:r w:rsidRPr="00BF51BB">
        <w:rPr>
          <w:rFonts w:ascii="Arial Narrow" w:eastAsia="Arial" w:hAnsi="Arial Narrow"/>
          <w:sz w:val="16"/>
        </w:rPr>
        <w:footnoteRef/>
      </w:r>
      <w:r w:rsidRPr="00BF51BB">
        <w:rPr>
          <w:rFonts w:ascii="Arial Narrow" w:eastAsia="Arial" w:hAnsi="Arial Narrow" w:cs="Arial"/>
          <w:sz w:val="16"/>
        </w:rPr>
        <w:t xml:space="preserve"> </w:t>
      </w:r>
      <w:r w:rsidR="00625E9C" w:rsidRPr="00625E9C">
        <w:rPr>
          <w:rFonts w:ascii="Arial" w:hAnsi="Arial" w:cs="Arial"/>
          <w:sz w:val="16"/>
          <w:szCs w:val="16"/>
        </w:rPr>
        <w:t>БХАС: Бруто домаћи производ-расходни приступ-тромјесечни подаци (ланчано повезане вриједности у цијенама 2015), од 30.3.2023</w:t>
      </w:r>
      <w:r w:rsidRPr="00625E9C">
        <w:rPr>
          <w:rFonts w:ascii="Arial" w:hAnsi="Arial" w:cs="Arial"/>
          <w:sz w:val="16"/>
          <w:szCs w:val="16"/>
        </w:rPr>
        <w:t>.</w:t>
      </w:r>
    </w:p>
  </w:footnote>
  <w:footnote w:id="6">
    <w:p w14:paraId="15E94446" w14:textId="77777777" w:rsidR="005B20F8" w:rsidRPr="00F305CB" w:rsidRDefault="005B20F8" w:rsidP="007B6BE3">
      <w:pPr>
        <w:pStyle w:val="FootnoteText"/>
        <w:rPr>
          <w:lang w:val="bs-Latn-BA"/>
        </w:rPr>
      </w:pPr>
      <w:r>
        <w:rPr>
          <w:rStyle w:val="FootnoteReference"/>
        </w:rPr>
        <w:footnoteRef/>
      </w:r>
      <w:r>
        <w:t xml:space="preserve"> </w:t>
      </w:r>
      <w:r w:rsidRPr="00F305CB">
        <w:rPr>
          <w:rFonts w:ascii="Arial" w:hAnsi="Arial" w:cs="Arial"/>
          <w:sz w:val="16"/>
          <w:szCs w:val="16"/>
        </w:rPr>
        <w:t>World Bank Group; Western Balkans Regular Economic Report, Testing Resilience No. 23, Spring 2023.</w:t>
      </w:r>
    </w:p>
  </w:footnote>
  <w:footnote w:id="7">
    <w:p w14:paraId="30ECF730" w14:textId="77777777" w:rsidR="005B20F8" w:rsidRPr="00D912D1" w:rsidRDefault="005B20F8" w:rsidP="007B6BE3">
      <w:pPr>
        <w:pStyle w:val="FootnoteText"/>
        <w:spacing w:after="0"/>
        <w:jc w:val="both"/>
        <w:rPr>
          <w:rFonts w:ascii="Arial Narrow" w:hAnsi="Arial Narrow" w:cs="Arial"/>
          <w:sz w:val="16"/>
          <w:szCs w:val="16"/>
          <w:lang w:val="bs-Latn-BA"/>
        </w:rPr>
      </w:pPr>
      <w:r w:rsidRPr="00741FF9">
        <w:rPr>
          <w:rStyle w:val="FootnoteReference"/>
          <w:rFonts w:ascii="Arial Narrow" w:hAnsi="Arial Narrow"/>
          <w:sz w:val="16"/>
          <w:szCs w:val="16"/>
        </w:rPr>
        <w:footnoteRef/>
      </w:r>
      <w:r w:rsidRPr="00741FF9">
        <w:rPr>
          <w:rFonts w:ascii="Arial Narrow" w:hAnsi="Arial Narrow"/>
          <w:sz w:val="16"/>
          <w:szCs w:val="16"/>
        </w:rPr>
        <w:t xml:space="preserve"> </w:t>
      </w:r>
      <w:r w:rsidR="00625E9C" w:rsidRPr="00625E9C">
        <w:rPr>
          <w:rFonts w:ascii="Arial Narrow" w:hAnsi="Arial Narrow" w:cs="Arial"/>
          <w:sz w:val="16"/>
          <w:szCs w:val="16"/>
          <w:lang w:val="bs-Latn-BA"/>
        </w:rPr>
        <w:t>Према подацима јединица за им</w:t>
      </w:r>
      <w:r w:rsidR="00625E9C">
        <w:rPr>
          <w:rFonts w:ascii="Arial Narrow" w:hAnsi="Arial Narrow" w:cs="Arial"/>
          <w:sz w:val="16"/>
          <w:szCs w:val="16"/>
          <w:lang w:val="bs-Latn-BA"/>
        </w:rPr>
        <w:t>плементацију пројеката из ПЈИ Ф</w:t>
      </w:r>
      <w:r w:rsidR="00625E9C" w:rsidRPr="00625E9C">
        <w:rPr>
          <w:rFonts w:ascii="Arial Narrow" w:hAnsi="Arial Narrow" w:cs="Arial"/>
          <w:sz w:val="16"/>
          <w:szCs w:val="16"/>
          <w:lang w:val="bs-Latn-BA"/>
        </w:rPr>
        <w:t>БиХ</w:t>
      </w:r>
      <w:r w:rsidR="00625E9C">
        <w:rPr>
          <w:rFonts w:ascii="Arial Narrow" w:hAnsi="Arial Narrow" w:cs="Arial"/>
          <w:sz w:val="16"/>
          <w:szCs w:val="16"/>
          <w:lang w:val="bs-Latn-BA"/>
        </w:rPr>
        <w:t xml:space="preserve"> </w:t>
      </w:r>
      <w:r>
        <w:rPr>
          <w:rFonts w:ascii="Arial Narrow" w:hAnsi="Arial Narrow" w:cs="Arial"/>
          <w:sz w:val="16"/>
          <w:szCs w:val="16"/>
          <w:lang w:val="bs-Latn-BA"/>
        </w:rPr>
        <w:t>2023-2025</w:t>
      </w:r>
    </w:p>
  </w:footnote>
  <w:footnote w:id="8">
    <w:p w14:paraId="0DD3CA67" w14:textId="77777777" w:rsidR="005B20F8" w:rsidRPr="00625E9C" w:rsidRDefault="005B20F8" w:rsidP="00625E9C">
      <w:r w:rsidRPr="00D912D1">
        <w:rPr>
          <w:rStyle w:val="FootnoteReference"/>
          <w:rFonts w:ascii="Arial Narrow" w:hAnsi="Arial Narrow" w:cs="Arial"/>
          <w:sz w:val="16"/>
          <w:szCs w:val="16"/>
        </w:rPr>
        <w:footnoteRef/>
      </w:r>
      <w:r w:rsidRPr="00073673">
        <w:rPr>
          <w:rFonts w:ascii="Arial Narrow" w:hAnsi="Arial Narrow" w:cs="Arial"/>
          <w:sz w:val="16"/>
          <w:szCs w:val="16"/>
        </w:rPr>
        <w:t xml:space="preserve"> </w:t>
      </w:r>
      <w:r w:rsidR="00625E9C">
        <w:rPr>
          <w:rFonts w:ascii="Arial Narrow" w:hAnsi="Arial Narrow" w:cs="Arial"/>
          <w:sz w:val="16"/>
          <w:szCs w:val="16"/>
          <w:lang w:val="bs-Latn-BA"/>
        </w:rPr>
        <w:t>Прерачун</w:t>
      </w:r>
      <w:r w:rsidR="00625E9C" w:rsidRPr="00BF51BB">
        <w:rPr>
          <w:rFonts w:ascii="Arial Narrow" w:hAnsi="Arial Narrow" w:cs="Arial"/>
          <w:sz w:val="16"/>
          <w:szCs w:val="16"/>
          <w:lang w:val="bs-Latn-BA"/>
        </w:rPr>
        <w:t xml:space="preserve"> </w:t>
      </w:r>
      <w:r w:rsidR="00625E9C">
        <w:rPr>
          <w:rFonts w:ascii="Arial Narrow" w:hAnsi="Arial Narrow" w:cs="Arial"/>
          <w:sz w:val="16"/>
          <w:szCs w:val="16"/>
          <w:lang w:val="bs-Latn-BA"/>
        </w:rPr>
        <w:t>извршен</w:t>
      </w:r>
      <w:r w:rsidR="00625E9C" w:rsidRPr="00BF51BB">
        <w:rPr>
          <w:rFonts w:ascii="Arial Narrow" w:hAnsi="Arial Narrow" w:cs="Arial"/>
          <w:sz w:val="16"/>
          <w:szCs w:val="16"/>
          <w:lang w:val="bs-Latn-BA"/>
        </w:rPr>
        <w:t xml:space="preserve"> </w:t>
      </w:r>
      <w:r w:rsidR="00625E9C">
        <w:rPr>
          <w:rFonts w:ascii="Arial Narrow" w:hAnsi="Arial Narrow" w:cs="Arial"/>
          <w:sz w:val="16"/>
          <w:szCs w:val="16"/>
          <w:lang w:val="bs-Latn-BA"/>
        </w:rPr>
        <w:t>према</w:t>
      </w:r>
      <w:r w:rsidR="00625E9C" w:rsidRPr="00BF51BB">
        <w:rPr>
          <w:rFonts w:ascii="Arial Narrow" w:hAnsi="Arial Narrow" w:cs="Arial"/>
          <w:sz w:val="16"/>
          <w:szCs w:val="16"/>
          <w:lang w:val="bs-Latn-BA"/>
        </w:rPr>
        <w:t xml:space="preserve"> </w:t>
      </w:r>
      <w:r w:rsidR="00625E9C">
        <w:rPr>
          <w:rFonts w:ascii="Arial Narrow" w:hAnsi="Arial Narrow" w:cs="Arial"/>
          <w:sz w:val="16"/>
          <w:szCs w:val="16"/>
          <w:lang w:val="bs-Latn-BA"/>
        </w:rPr>
        <w:t>курсу</w:t>
      </w:r>
      <w:r w:rsidR="00625E9C" w:rsidRPr="00BF51BB">
        <w:rPr>
          <w:rFonts w:ascii="Arial Narrow" w:hAnsi="Arial Narrow" w:cs="Arial"/>
          <w:sz w:val="16"/>
          <w:szCs w:val="16"/>
          <w:lang w:val="bs-Latn-BA"/>
        </w:rPr>
        <w:t xml:space="preserve"> USD : KM </w:t>
      </w:r>
      <w:r w:rsidR="00625E9C">
        <w:rPr>
          <w:rFonts w:ascii="Arial Narrow" w:hAnsi="Arial Narrow" w:cs="Arial"/>
          <w:sz w:val="16"/>
          <w:szCs w:val="16"/>
          <w:lang w:val="bs-Latn-BA"/>
        </w:rPr>
        <w:t>на</w:t>
      </w:r>
      <w:r w:rsidR="00625E9C" w:rsidRPr="00BF51BB">
        <w:rPr>
          <w:rFonts w:ascii="Arial Narrow" w:hAnsi="Arial Narrow" w:cs="Arial"/>
          <w:sz w:val="16"/>
          <w:szCs w:val="16"/>
          <w:lang w:val="bs-Latn-BA"/>
        </w:rPr>
        <w:t xml:space="preserve"> </w:t>
      </w:r>
      <w:r w:rsidR="00625E9C">
        <w:rPr>
          <w:rFonts w:ascii="Arial Narrow" w:hAnsi="Arial Narrow" w:cs="Arial"/>
          <w:sz w:val="16"/>
          <w:szCs w:val="16"/>
          <w:lang w:val="bs-Latn-BA"/>
        </w:rPr>
        <w:t>дан</w:t>
      </w:r>
      <w:r w:rsidR="00625E9C" w:rsidRPr="00BF51BB">
        <w:rPr>
          <w:rFonts w:ascii="Arial Narrow" w:hAnsi="Arial Narrow" w:cs="Arial"/>
          <w:sz w:val="16"/>
          <w:szCs w:val="16"/>
          <w:lang w:val="bs-Latn-BA"/>
        </w:rPr>
        <w:t xml:space="preserve"> 31.12.202</w:t>
      </w:r>
      <w:r w:rsidR="00625E9C">
        <w:rPr>
          <w:rFonts w:ascii="Arial Narrow" w:hAnsi="Arial Narrow" w:cs="Arial"/>
          <w:sz w:val="16"/>
          <w:szCs w:val="16"/>
          <w:lang w:val="bs-Latn-BA"/>
        </w:rPr>
        <w:t>2</w:t>
      </w:r>
      <w:r w:rsidR="00625E9C" w:rsidRPr="00BF51BB">
        <w:rPr>
          <w:rFonts w:ascii="Arial Narrow" w:hAnsi="Arial Narrow" w:cs="Arial"/>
          <w:sz w:val="16"/>
          <w:szCs w:val="16"/>
          <w:lang w:val="bs-Latn-BA"/>
        </w:rPr>
        <w:t xml:space="preserve">. </w:t>
      </w:r>
      <w:r w:rsidR="00625E9C">
        <w:rPr>
          <w:rFonts w:ascii="Arial Narrow" w:hAnsi="Arial Narrow" w:cs="Arial"/>
          <w:sz w:val="16"/>
          <w:szCs w:val="16"/>
          <w:lang w:val="bs-Latn-BA"/>
        </w:rPr>
        <w:t>године</w:t>
      </w:r>
      <w:r w:rsidR="00625E9C" w:rsidRPr="00BF51BB">
        <w:rPr>
          <w:rFonts w:ascii="Arial Narrow" w:hAnsi="Arial Narrow" w:cs="Arial"/>
          <w:sz w:val="16"/>
          <w:szCs w:val="16"/>
          <w:lang w:val="bs-Latn-BA"/>
        </w:rPr>
        <w:t xml:space="preserve"> (1USD=1,</w:t>
      </w:r>
      <w:r w:rsidR="00625E9C">
        <w:rPr>
          <w:rFonts w:ascii="Arial Narrow" w:hAnsi="Arial Narrow" w:cs="Arial"/>
          <w:sz w:val="16"/>
          <w:szCs w:val="16"/>
          <w:lang w:val="bs-Latn-BA"/>
        </w:rPr>
        <w:t>833705</w:t>
      </w:r>
      <w:r w:rsidR="00625E9C" w:rsidRPr="00BF51BB">
        <w:rPr>
          <w:rFonts w:ascii="Arial Narrow" w:hAnsi="Arial Narrow" w:cs="Arial"/>
          <w:sz w:val="16"/>
          <w:szCs w:val="16"/>
          <w:lang w:val="bs-Latn-BA"/>
        </w:rPr>
        <w:t xml:space="preserve"> KM</w:t>
      </w:r>
      <w:r w:rsidRPr="00BF51BB">
        <w:rPr>
          <w:rFonts w:ascii="Arial Narrow" w:hAnsi="Arial Narrow" w:cs="Arial"/>
          <w:sz w:val="16"/>
          <w:szCs w:val="16"/>
          <w:lang w:val="bs-Latn-BA"/>
        </w:rPr>
        <w:t>)</w:t>
      </w:r>
    </w:p>
  </w:footnote>
  <w:footnote w:id="9">
    <w:p w14:paraId="11087C5B" w14:textId="77777777" w:rsidR="005B20F8" w:rsidRPr="00214C62" w:rsidRDefault="005B20F8" w:rsidP="007B6BE3">
      <w:pPr>
        <w:pStyle w:val="FootnoteText"/>
        <w:spacing w:after="0" w:line="240" w:lineRule="auto"/>
        <w:rPr>
          <w:rFonts w:ascii="Arial" w:hAnsi="Arial" w:cs="Arial"/>
          <w:sz w:val="16"/>
          <w:szCs w:val="16"/>
        </w:rPr>
      </w:pPr>
      <w:r w:rsidRPr="00214C62">
        <w:rPr>
          <w:rStyle w:val="FootnoteReference"/>
          <w:rFonts w:ascii="Arial" w:hAnsi="Arial" w:cs="Arial"/>
          <w:sz w:val="16"/>
          <w:szCs w:val="16"/>
        </w:rPr>
        <w:footnoteRef/>
      </w:r>
      <w:r w:rsidRPr="00214C62">
        <w:rPr>
          <w:rFonts w:ascii="Arial" w:hAnsi="Arial" w:cs="Arial"/>
          <w:sz w:val="16"/>
          <w:szCs w:val="16"/>
        </w:rPr>
        <w:t xml:space="preserve"> London Interbank Offered Rate </w:t>
      </w:r>
    </w:p>
  </w:footnote>
  <w:footnote w:id="10">
    <w:p w14:paraId="0D97659C" w14:textId="77777777" w:rsidR="005B20F8" w:rsidRPr="002B6A7D" w:rsidRDefault="005B20F8" w:rsidP="007B6BE3">
      <w:pPr>
        <w:pStyle w:val="FootnoteText"/>
        <w:spacing w:after="0" w:line="240" w:lineRule="auto"/>
      </w:pPr>
      <w:r w:rsidRPr="00214C62">
        <w:rPr>
          <w:rStyle w:val="FootnoteReference"/>
          <w:rFonts w:ascii="Arial" w:hAnsi="Arial" w:cs="Arial"/>
          <w:sz w:val="16"/>
          <w:szCs w:val="16"/>
        </w:rPr>
        <w:footnoteRef/>
      </w:r>
      <w:r w:rsidRPr="00214C62">
        <w:rPr>
          <w:rFonts w:ascii="Arial" w:hAnsi="Arial" w:cs="Arial"/>
          <w:sz w:val="16"/>
          <w:szCs w:val="16"/>
        </w:rPr>
        <w:t xml:space="preserve"> Euro Interbank Offered 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E10"/>
    <w:multiLevelType w:val="multilevel"/>
    <w:tmpl w:val="A5D463B6"/>
    <w:lvl w:ilvl="0">
      <w:start w:val="7"/>
      <w:numFmt w:val="decimal"/>
      <w:lvlText w:val="%1."/>
      <w:lvlJc w:val="left"/>
      <w:pPr>
        <w:ind w:left="396" w:hanging="396"/>
      </w:pPr>
      <w:rPr>
        <w:rFonts w:hint="default"/>
      </w:rPr>
    </w:lvl>
    <w:lvl w:ilvl="1">
      <w:start w:val="2"/>
      <w:numFmt w:val="decimal"/>
      <w:lvlText w:val="%1.%2."/>
      <w:lvlJc w:val="left"/>
      <w:pPr>
        <w:ind w:left="1364" w:hanging="720"/>
      </w:pPr>
      <w:rPr>
        <w:rFonts w:hint="default"/>
        <w:sz w:val="24"/>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 w15:restartNumberingAfterBreak="0">
    <w:nsid w:val="0D8A0B87"/>
    <w:multiLevelType w:val="hybridMultilevel"/>
    <w:tmpl w:val="D3A06104"/>
    <w:lvl w:ilvl="0" w:tplc="70AC0FBA">
      <w:start w:val="1"/>
      <w:numFmt w:val="decimal"/>
      <w:lvlText w:val="%1."/>
      <w:lvlJc w:val="left"/>
      <w:pPr>
        <w:ind w:left="975" w:hanging="61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05CA9"/>
    <w:multiLevelType w:val="hybridMultilevel"/>
    <w:tmpl w:val="23D4EEAA"/>
    <w:lvl w:ilvl="0" w:tplc="0EA404E0">
      <w:start w:val="1"/>
      <w:numFmt w:val="lowerRoman"/>
      <w:pStyle w:val="ParagraphNumbering"/>
      <w:lvlText w:val="%1."/>
      <w:lvlJc w:val="left"/>
      <w:pPr>
        <w:tabs>
          <w:tab w:val="num" w:pos="3510"/>
        </w:tabs>
        <w:ind w:left="2790" w:firstLine="0"/>
      </w:pPr>
      <w:rPr>
        <w:rFonts w:hint="default"/>
        <w:b w:val="0"/>
      </w:rPr>
    </w:lvl>
    <w:lvl w:ilvl="1" w:tplc="04090019">
      <w:start w:val="1"/>
      <w:numFmt w:val="lowerLetter"/>
      <w:lvlText w:val="%2."/>
      <w:lvlJc w:val="left"/>
      <w:pPr>
        <w:tabs>
          <w:tab w:val="num" w:pos="-6030"/>
        </w:tabs>
        <w:ind w:left="-6030" w:hanging="360"/>
      </w:pPr>
    </w:lvl>
    <w:lvl w:ilvl="2" w:tplc="0409001B" w:tentative="1">
      <w:start w:val="1"/>
      <w:numFmt w:val="lowerRoman"/>
      <w:lvlText w:val="%3."/>
      <w:lvlJc w:val="right"/>
      <w:pPr>
        <w:tabs>
          <w:tab w:val="num" w:pos="-5310"/>
        </w:tabs>
        <w:ind w:left="-531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3150"/>
        </w:tabs>
        <w:ind w:left="-3150" w:hanging="180"/>
      </w:pPr>
    </w:lvl>
    <w:lvl w:ilvl="6" w:tplc="294A8154" w:tentative="1">
      <w:start w:val="1"/>
      <w:numFmt w:val="decimal"/>
      <w:lvlText w:val="%7."/>
      <w:lvlJc w:val="left"/>
      <w:pPr>
        <w:tabs>
          <w:tab w:val="num" w:pos="-2430"/>
        </w:tabs>
        <w:ind w:left="-2430" w:hanging="360"/>
      </w:pPr>
    </w:lvl>
    <w:lvl w:ilvl="7" w:tplc="04090019" w:tentative="1">
      <w:start w:val="1"/>
      <w:numFmt w:val="lowerLetter"/>
      <w:lvlText w:val="%8."/>
      <w:lvlJc w:val="left"/>
      <w:pPr>
        <w:tabs>
          <w:tab w:val="num" w:pos="-1710"/>
        </w:tabs>
        <w:ind w:left="-1710" w:hanging="360"/>
      </w:pPr>
    </w:lvl>
    <w:lvl w:ilvl="8" w:tplc="0409001B" w:tentative="1">
      <w:start w:val="1"/>
      <w:numFmt w:val="lowerRoman"/>
      <w:lvlText w:val="%9."/>
      <w:lvlJc w:val="right"/>
      <w:pPr>
        <w:tabs>
          <w:tab w:val="num" w:pos="-990"/>
        </w:tabs>
        <w:ind w:left="-990" w:hanging="180"/>
      </w:pPr>
    </w:lvl>
  </w:abstractNum>
  <w:abstractNum w:abstractNumId="3" w15:restartNumberingAfterBreak="0">
    <w:nsid w:val="1D19102A"/>
    <w:multiLevelType w:val="multilevel"/>
    <w:tmpl w:val="2812A5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07A2F0E"/>
    <w:multiLevelType w:val="hybridMultilevel"/>
    <w:tmpl w:val="CDE2F6C6"/>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 w15:restartNumberingAfterBreak="0">
    <w:nsid w:val="2B8F3C4F"/>
    <w:multiLevelType w:val="hybridMultilevel"/>
    <w:tmpl w:val="EB62930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38DF7868"/>
    <w:multiLevelType w:val="hybridMultilevel"/>
    <w:tmpl w:val="F0B041C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38EB5397"/>
    <w:multiLevelType w:val="hybridMultilevel"/>
    <w:tmpl w:val="1C30B252"/>
    <w:lvl w:ilvl="0" w:tplc="0A90AC24">
      <w:start w:val="1"/>
      <w:numFmt w:val="bullet"/>
      <w:lvlText w:val=""/>
      <w:lvlJc w:val="left"/>
      <w:pPr>
        <w:ind w:left="1495"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C2672"/>
    <w:multiLevelType w:val="multilevel"/>
    <w:tmpl w:val="33B28158"/>
    <w:lvl w:ilvl="0">
      <w:start w:val="4"/>
      <w:numFmt w:val="decimal"/>
      <w:lvlText w:val="%1"/>
      <w:lvlJc w:val="left"/>
      <w:pPr>
        <w:ind w:left="360" w:hanging="360"/>
      </w:pPr>
      <w:rPr>
        <w:rFonts w:hint="default"/>
      </w:rPr>
    </w:lvl>
    <w:lvl w:ilvl="1">
      <w:start w:val="2"/>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9" w15:restartNumberingAfterBreak="0">
    <w:nsid w:val="3F4215FC"/>
    <w:multiLevelType w:val="hybridMultilevel"/>
    <w:tmpl w:val="33E8B81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8A0C5388">
      <w:start w:val="6"/>
      <w:numFmt w:val="bullet"/>
      <w:lvlText w:val="-"/>
      <w:lvlJc w:val="left"/>
      <w:pPr>
        <w:ind w:left="2160" w:hanging="360"/>
      </w:pPr>
      <w:rPr>
        <w:rFonts w:ascii="Arial" w:eastAsiaTheme="minorHAnsi" w:hAnsi="Arial" w:cs="Arial"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40180914"/>
    <w:multiLevelType w:val="multilevel"/>
    <w:tmpl w:val="D45AFC1E"/>
    <w:lvl w:ilvl="0">
      <w:start w:val="3"/>
      <w:numFmt w:val="decimal"/>
      <w:lvlText w:val="%1."/>
      <w:lvlJc w:val="left"/>
      <w:pPr>
        <w:ind w:left="420" w:hanging="420"/>
      </w:pPr>
      <w:rPr>
        <w:rFonts w:hint="default"/>
        <w:sz w:val="24"/>
      </w:rPr>
    </w:lvl>
    <w:lvl w:ilvl="1">
      <w:start w:val="1"/>
      <w:numFmt w:val="decimal"/>
      <w:lvlText w:val="%1.%2."/>
      <w:lvlJc w:val="left"/>
      <w:pPr>
        <w:ind w:left="1004" w:hanging="720"/>
      </w:pPr>
      <w:rPr>
        <w:rFonts w:hint="default"/>
        <w:sz w:val="24"/>
      </w:rPr>
    </w:lvl>
    <w:lvl w:ilvl="2">
      <w:start w:val="1"/>
      <w:numFmt w:val="decimal"/>
      <w:lvlText w:val="%1.%2.%3."/>
      <w:lvlJc w:val="left"/>
      <w:pPr>
        <w:ind w:left="1288" w:hanging="720"/>
      </w:pPr>
      <w:rPr>
        <w:rFonts w:ascii="Arial" w:hAnsi="Arial" w:cs="Arial" w:hint="default"/>
        <w:b w:val="0"/>
        <w:color w:val="auto"/>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45FF10FE"/>
    <w:multiLevelType w:val="hybridMultilevel"/>
    <w:tmpl w:val="DB44531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4BFD708C"/>
    <w:multiLevelType w:val="hybridMultilevel"/>
    <w:tmpl w:val="F302228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DD07C24"/>
    <w:multiLevelType w:val="multilevel"/>
    <w:tmpl w:val="66B45E26"/>
    <w:lvl w:ilvl="0">
      <w:start w:val="6"/>
      <w:numFmt w:val="decimal"/>
      <w:lvlText w:val="%1."/>
      <w:lvlJc w:val="left"/>
      <w:pPr>
        <w:ind w:left="360" w:hanging="360"/>
      </w:pPr>
      <w:rPr>
        <w:rFonts w:hint="default"/>
      </w:rPr>
    </w:lvl>
    <w:lvl w:ilvl="1">
      <w:start w:val="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4" w15:restartNumberingAfterBreak="0">
    <w:nsid w:val="528757AB"/>
    <w:multiLevelType w:val="hybridMultilevel"/>
    <w:tmpl w:val="EDD6D5F0"/>
    <w:lvl w:ilvl="0" w:tplc="0A90AC2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603E4"/>
    <w:multiLevelType w:val="hybridMultilevel"/>
    <w:tmpl w:val="B56C6646"/>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0AEC85B6">
      <w:start w:val="2"/>
      <w:numFmt w:val="bullet"/>
      <w:lvlText w:val="-"/>
      <w:lvlJc w:val="left"/>
      <w:pPr>
        <w:ind w:left="2160" w:hanging="360"/>
      </w:pPr>
      <w:rPr>
        <w:rFonts w:ascii="Times New Roman" w:eastAsia="Times New Roman" w:hAnsi="Times New Roman" w:cs="Times New Roman" w:hint="default"/>
        <w:sz w:val="14"/>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5CFD1424"/>
    <w:multiLevelType w:val="hybridMultilevel"/>
    <w:tmpl w:val="9BD4B25A"/>
    <w:lvl w:ilvl="0" w:tplc="08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65437647"/>
    <w:multiLevelType w:val="multilevel"/>
    <w:tmpl w:val="7CAE88F0"/>
    <w:lvl w:ilvl="0">
      <w:start w:val="4"/>
      <w:numFmt w:val="decimal"/>
      <w:lvlText w:val="%1."/>
      <w:lvlJc w:val="left"/>
      <w:pPr>
        <w:ind w:left="360" w:hanging="360"/>
      </w:pPr>
      <w:rPr>
        <w:rFonts w:hint="default"/>
      </w:rPr>
    </w:lvl>
    <w:lvl w:ilvl="1">
      <w:start w:val="4"/>
      <w:numFmt w:val="decimal"/>
      <w:lvlText w:val="%1.%2."/>
      <w:lvlJc w:val="left"/>
      <w:pPr>
        <w:ind w:left="1004" w:hanging="72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8" w15:restartNumberingAfterBreak="0">
    <w:nsid w:val="65DA2EF6"/>
    <w:multiLevelType w:val="hybridMultilevel"/>
    <w:tmpl w:val="7AA0DE02"/>
    <w:lvl w:ilvl="0" w:tplc="8A0C5388">
      <w:start w:val="6"/>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6EE92BD7"/>
    <w:multiLevelType w:val="hybridMultilevel"/>
    <w:tmpl w:val="26FE387E"/>
    <w:lvl w:ilvl="0" w:tplc="0A90AC24">
      <w:start w:val="1"/>
      <w:numFmt w:val="bullet"/>
      <w:lvlText w:val=""/>
      <w:lvlJc w:val="left"/>
      <w:pPr>
        <w:ind w:left="1353" w:hanging="360"/>
      </w:pPr>
      <w:rPr>
        <w:rFonts w:ascii="Symbol" w:hAnsi="Symbol" w:hint="default"/>
        <w:b w:val="0"/>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0" w15:restartNumberingAfterBreak="0">
    <w:nsid w:val="723A7567"/>
    <w:multiLevelType w:val="hybridMultilevel"/>
    <w:tmpl w:val="9F002D22"/>
    <w:lvl w:ilvl="0" w:tplc="8A0C5388">
      <w:start w:val="6"/>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748A1842"/>
    <w:multiLevelType w:val="hybridMultilevel"/>
    <w:tmpl w:val="7E027ED2"/>
    <w:lvl w:ilvl="0" w:tplc="0A90AC2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6A1D9F"/>
    <w:multiLevelType w:val="hybridMultilevel"/>
    <w:tmpl w:val="1D6E8564"/>
    <w:lvl w:ilvl="0" w:tplc="04381C9E">
      <w:start w:val="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D5201"/>
    <w:multiLevelType w:val="multilevel"/>
    <w:tmpl w:val="7E8AEAB8"/>
    <w:lvl w:ilvl="0">
      <w:start w:val="1"/>
      <w:numFmt w:val="decimal"/>
      <w:lvlText w:val="%1."/>
      <w:lvlJc w:val="left"/>
      <w:pPr>
        <w:ind w:left="720" w:hanging="360"/>
      </w:pPr>
      <w:rPr>
        <w:rFonts w:ascii="Arial" w:eastAsiaTheme="minorHAnsi" w:hAnsi="Arial" w:cs="Arial"/>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A240101"/>
    <w:multiLevelType w:val="multilevel"/>
    <w:tmpl w:val="337C7A94"/>
    <w:lvl w:ilvl="0">
      <w:start w:val="1"/>
      <w:numFmt w:val="decimal"/>
      <w:lvlText w:val="%1."/>
      <w:lvlJc w:val="left"/>
      <w:pPr>
        <w:ind w:left="646" w:hanging="362"/>
      </w:pPr>
      <w:rPr>
        <w:rFonts w:hint="default"/>
      </w:rPr>
    </w:lvl>
    <w:lvl w:ilvl="1">
      <w:start w:val="1"/>
      <w:numFmt w:val="decimal"/>
      <w:isLgl/>
      <w:lvlText w:val="%1.%2."/>
      <w:lvlJc w:val="left"/>
      <w:pPr>
        <w:ind w:left="930" w:hanging="362"/>
      </w:pPr>
      <w:rPr>
        <w:rFonts w:ascii="Arial" w:hAnsi="Arial" w:cs="Arial" w:hint="default"/>
        <w:b w:val="0"/>
        <w:color w:val="auto"/>
        <w:sz w:val="24"/>
      </w:rPr>
    </w:lvl>
    <w:lvl w:ilvl="2">
      <w:start w:val="1"/>
      <w:numFmt w:val="decimal"/>
      <w:isLgl/>
      <w:lvlText w:val="%1.%2.%3."/>
      <w:lvlJc w:val="left"/>
      <w:pPr>
        <w:ind w:left="1214" w:hanging="362"/>
      </w:pPr>
      <w:rPr>
        <w:rFonts w:ascii="Arial" w:hAnsi="Arial" w:hint="default"/>
        <w:b w:val="0"/>
        <w:bCs w:val="0"/>
        <w:color w:val="auto"/>
        <w:sz w:val="22"/>
      </w:rPr>
    </w:lvl>
    <w:lvl w:ilvl="3">
      <w:start w:val="1"/>
      <w:numFmt w:val="decimal"/>
      <w:isLgl/>
      <w:lvlText w:val="%1.%2.%3.%4."/>
      <w:lvlJc w:val="left"/>
      <w:pPr>
        <w:ind w:left="1498" w:hanging="362"/>
      </w:pPr>
      <w:rPr>
        <w:rFonts w:hint="default"/>
      </w:rPr>
    </w:lvl>
    <w:lvl w:ilvl="4">
      <w:start w:val="1"/>
      <w:numFmt w:val="decimal"/>
      <w:isLgl/>
      <w:lvlText w:val="%1.%2.%3.%4.%5."/>
      <w:lvlJc w:val="left"/>
      <w:pPr>
        <w:ind w:left="1782" w:hanging="362"/>
      </w:pPr>
      <w:rPr>
        <w:rFonts w:hint="default"/>
      </w:rPr>
    </w:lvl>
    <w:lvl w:ilvl="5">
      <w:start w:val="1"/>
      <w:numFmt w:val="decimal"/>
      <w:isLgl/>
      <w:lvlText w:val="%1.%2.%3.%4.%5.%6."/>
      <w:lvlJc w:val="left"/>
      <w:pPr>
        <w:ind w:left="2066" w:hanging="362"/>
      </w:pPr>
      <w:rPr>
        <w:rFonts w:hint="default"/>
      </w:rPr>
    </w:lvl>
    <w:lvl w:ilvl="6">
      <w:start w:val="1"/>
      <w:numFmt w:val="decimal"/>
      <w:isLgl/>
      <w:lvlText w:val="%1.%2.%3.%4.%5.%6.%7."/>
      <w:lvlJc w:val="left"/>
      <w:pPr>
        <w:ind w:left="2350" w:hanging="362"/>
      </w:pPr>
      <w:rPr>
        <w:rFonts w:hint="default"/>
      </w:rPr>
    </w:lvl>
    <w:lvl w:ilvl="7">
      <w:start w:val="1"/>
      <w:numFmt w:val="decimal"/>
      <w:isLgl/>
      <w:lvlText w:val="%1.%2.%3.%4.%5.%6.%7.%8."/>
      <w:lvlJc w:val="left"/>
      <w:pPr>
        <w:ind w:left="2634" w:hanging="362"/>
      </w:pPr>
      <w:rPr>
        <w:rFonts w:hint="default"/>
      </w:rPr>
    </w:lvl>
    <w:lvl w:ilvl="8">
      <w:start w:val="1"/>
      <w:numFmt w:val="decimal"/>
      <w:isLgl/>
      <w:lvlText w:val="%1.%2.%3.%4.%5.%6.%7.%8.%9."/>
      <w:lvlJc w:val="left"/>
      <w:pPr>
        <w:ind w:left="2918" w:hanging="362"/>
      </w:pPr>
      <w:rPr>
        <w:rFonts w:hint="default"/>
      </w:rPr>
    </w:lvl>
  </w:abstractNum>
  <w:num w:numId="1">
    <w:abstractNumId w:val="24"/>
  </w:num>
  <w:num w:numId="2">
    <w:abstractNumId w:val="23"/>
  </w:num>
  <w:num w:numId="3">
    <w:abstractNumId w:val="2"/>
  </w:num>
  <w:num w:numId="4">
    <w:abstractNumId w:val="22"/>
  </w:num>
  <w:num w:numId="5">
    <w:abstractNumId w:val="0"/>
  </w:num>
  <w:num w:numId="6">
    <w:abstractNumId w:val="5"/>
  </w:num>
  <w:num w:numId="7">
    <w:abstractNumId w:val="6"/>
  </w:num>
  <w:num w:numId="8">
    <w:abstractNumId w:val="18"/>
  </w:num>
  <w:num w:numId="9">
    <w:abstractNumId w:val="20"/>
  </w:num>
  <w:num w:numId="10">
    <w:abstractNumId w:val="10"/>
  </w:num>
  <w:num w:numId="11">
    <w:abstractNumId w:val="17"/>
  </w:num>
  <w:num w:numId="12">
    <w:abstractNumId w:val="8"/>
  </w:num>
  <w:num w:numId="13">
    <w:abstractNumId w:val="16"/>
  </w:num>
  <w:num w:numId="14">
    <w:abstractNumId w:val="12"/>
  </w:num>
  <w:num w:numId="15">
    <w:abstractNumId w:val="15"/>
  </w:num>
  <w:num w:numId="16">
    <w:abstractNumId w:val="9"/>
  </w:num>
  <w:num w:numId="17">
    <w:abstractNumId w:val="11"/>
  </w:num>
  <w:num w:numId="18">
    <w:abstractNumId w:val="1"/>
  </w:num>
  <w:num w:numId="19">
    <w:abstractNumId w:val="4"/>
  </w:num>
  <w:num w:numId="20">
    <w:abstractNumId w:val="14"/>
  </w:num>
  <w:num w:numId="21">
    <w:abstractNumId w:val="19"/>
  </w:num>
  <w:num w:numId="22">
    <w:abstractNumId w:val="7"/>
  </w:num>
  <w:num w:numId="23">
    <w:abstractNumId w:val="21"/>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3"/>
    <w:rsid w:val="000225AC"/>
    <w:rsid w:val="0012317B"/>
    <w:rsid w:val="001819DE"/>
    <w:rsid w:val="00196EEC"/>
    <w:rsid w:val="00257083"/>
    <w:rsid w:val="002642DB"/>
    <w:rsid w:val="002A1D57"/>
    <w:rsid w:val="003633A5"/>
    <w:rsid w:val="003670AF"/>
    <w:rsid w:val="003D14AC"/>
    <w:rsid w:val="005325A0"/>
    <w:rsid w:val="00557B15"/>
    <w:rsid w:val="00570966"/>
    <w:rsid w:val="00571B8C"/>
    <w:rsid w:val="005B20F8"/>
    <w:rsid w:val="00625E9C"/>
    <w:rsid w:val="00671DA4"/>
    <w:rsid w:val="006B0596"/>
    <w:rsid w:val="006E29FF"/>
    <w:rsid w:val="006E752C"/>
    <w:rsid w:val="00714687"/>
    <w:rsid w:val="00732673"/>
    <w:rsid w:val="00762711"/>
    <w:rsid w:val="007B6BE3"/>
    <w:rsid w:val="00805A1D"/>
    <w:rsid w:val="00823BBC"/>
    <w:rsid w:val="008E044E"/>
    <w:rsid w:val="008F5CC8"/>
    <w:rsid w:val="00917FE8"/>
    <w:rsid w:val="0092788C"/>
    <w:rsid w:val="009A64F7"/>
    <w:rsid w:val="009D1A9C"/>
    <w:rsid w:val="009D7230"/>
    <w:rsid w:val="00A57AD2"/>
    <w:rsid w:val="00A94E1D"/>
    <w:rsid w:val="00B04E69"/>
    <w:rsid w:val="00B2171D"/>
    <w:rsid w:val="00B532D0"/>
    <w:rsid w:val="00C27E5F"/>
    <w:rsid w:val="00C7294F"/>
    <w:rsid w:val="00E04BE0"/>
    <w:rsid w:val="00E26AF3"/>
    <w:rsid w:val="00E655AE"/>
    <w:rsid w:val="00EB7A3C"/>
    <w:rsid w:val="00F06121"/>
    <w:rsid w:val="00F06EAD"/>
    <w:rsid w:val="00F2088F"/>
    <w:rsid w:val="00F4660A"/>
    <w:rsid w:val="00F649E3"/>
    <w:rsid w:val="00FA0BC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8AD20"/>
  <w15:chartTrackingRefBased/>
  <w15:docId w15:val="{2200BC0D-1FBC-4718-9EC5-C648FB63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
    <w:qFormat/>
    <w:rsid w:val="007B6BE3"/>
    <w:pPr>
      <w:spacing w:after="200" w:line="276" w:lineRule="auto"/>
    </w:pPr>
    <w:rPr>
      <w:lang w:val="hr-HR"/>
    </w:rPr>
  </w:style>
  <w:style w:type="paragraph" w:styleId="Heading1">
    <w:name w:val="heading 1"/>
    <w:basedOn w:val="Normal"/>
    <w:next w:val="Normal"/>
    <w:link w:val="Heading1Char"/>
    <w:uiPriority w:val="9"/>
    <w:qFormat/>
    <w:rsid w:val="007B6BE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B6BE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B6BE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BE3"/>
    <w:rPr>
      <w:rFonts w:asciiTheme="majorHAnsi" w:eastAsiaTheme="majorEastAsia" w:hAnsiTheme="majorHAnsi" w:cstheme="majorBidi"/>
      <w:b/>
      <w:bCs/>
      <w:color w:val="2E74B5" w:themeColor="accent1" w:themeShade="BF"/>
      <w:sz w:val="28"/>
      <w:szCs w:val="28"/>
      <w:lang w:val="hr-HR"/>
    </w:rPr>
  </w:style>
  <w:style w:type="character" w:customStyle="1" w:styleId="Heading2Char">
    <w:name w:val="Heading 2 Char"/>
    <w:basedOn w:val="DefaultParagraphFont"/>
    <w:link w:val="Heading2"/>
    <w:uiPriority w:val="9"/>
    <w:rsid w:val="007B6BE3"/>
    <w:rPr>
      <w:rFonts w:asciiTheme="majorHAnsi" w:eastAsiaTheme="majorEastAsia" w:hAnsiTheme="majorHAnsi" w:cstheme="majorBidi"/>
      <w:b/>
      <w:bCs/>
      <w:color w:val="5B9BD5" w:themeColor="accent1"/>
      <w:sz w:val="26"/>
      <w:szCs w:val="26"/>
      <w:lang w:val="hr-HR"/>
    </w:rPr>
  </w:style>
  <w:style w:type="character" w:customStyle="1" w:styleId="Heading3Char">
    <w:name w:val="Heading 3 Char"/>
    <w:basedOn w:val="DefaultParagraphFont"/>
    <w:link w:val="Heading3"/>
    <w:uiPriority w:val="9"/>
    <w:rsid w:val="007B6BE3"/>
    <w:rPr>
      <w:rFonts w:asciiTheme="majorHAnsi" w:eastAsiaTheme="majorEastAsia" w:hAnsiTheme="majorHAnsi" w:cstheme="majorBidi"/>
      <w:b/>
      <w:bCs/>
      <w:color w:val="5B9BD5" w:themeColor="accent1"/>
      <w:lang w:val="hr-HR"/>
    </w:rPr>
  </w:style>
  <w:style w:type="character" w:styleId="Hyperlink">
    <w:name w:val="Hyperlink"/>
    <w:basedOn w:val="DefaultParagraphFont"/>
    <w:uiPriority w:val="99"/>
    <w:unhideWhenUsed/>
    <w:rsid w:val="007B6BE3"/>
    <w:rPr>
      <w:color w:val="0563C1" w:themeColor="hyperlink"/>
      <w:u w:val="single"/>
    </w:rPr>
  </w:style>
  <w:style w:type="paragraph" w:styleId="TOCHeading">
    <w:name w:val="TOC Heading"/>
    <w:basedOn w:val="Heading1"/>
    <w:next w:val="Normal"/>
    <w:uiPriority w:val="39"/>
    <w:semiHidden/>
    <w:unhideWhenUsed/>
    <w:qFormat/>
    <w:rsid w:val="007B6BE3"/>
    <w:pPr>
      <w:outlineLvl w:val="9"/>
    </w:pPr>
  </w:style>
  <w:style w:type="paragraph" w:styleId="TOC1">
    <w:name w:val="toc 1"/>
    <w:basedOn w:val="Normal"/>
    <w:next w:val="Normal"/>
    <w:autoRedefine/>
    <w:uiPriority w:val="39"/>
    <w:unhideWhenUsed/>
    <w:qFormat/>
    <w:rsid w:val="007B6BE3"/>
    <w:pPr>
      <w:tabs>
        <w:tab w:val="left" w:pos="440"/>
        <w:tab w:val="right" w:leader="dot" w:pos="9396"/>
      </w:tabs>
      <w:spacing w:after="100" w:line="240" w:lineRule="auto"/>
    </w:pPr>
    <w:rPr>
      <w:rFonts w:ascii="Arial" w:hAnsi="Arial" w:cs="Arial"/>
      <w:noProof/>
      <w:sz w:val="24"/>
      <w:szCs w:val="24"/>
      <w:lang w:val="bs-Latn-BA"/>
    </w:rPr>
  </w:style>
  <w:style w:type="paragraph" w:styleId="TOC2">
    <w:name w:val="toc 2"/>
    <w:basedOn w:val="Normal"/>
    <w:next w:val="Normal"/>
    <w:autoRedefine/>
    <w:uiPriority w:val="39"/>
    <w:unhideWhenUsed/>
    <w:qFormat/>
    <w:rsid w:val="007B6BE3"/>
    <w:pPr>
      <w:tabs>
        <w:tab w:val="left" w:pos="880"/>
        <w:tab w:val="right" w:leader="dot" w:pos="9396"/>
      </w:tabs>
      <w:spacing w:after="100" w:line="240" w:lineRule="auto"/>
      <w:ind w:left="220"/>
    </w:pPr>
  </w:style>
  <w:style w:type="paragraph" w:styleId="TOC3">
    <w:name w:val="toc 3"/>
    <w:basedOn w:val="Normal"/>
    <w:next w:val="Normal"/>
    <w:autoRedefine/>
    <w:uiPriority w:val="39"/>
    <w:unhideWhenUsed/>
    <w:qFormat/>
    <w:rsid w:val="007B6BE3"/>
    <w:pPr>
      <w:tabs>
        <w:tab w:val="left" w:pos="993"/>
        <w:tab w:val="right" w:leader="dot" w:pos="9356"/>
      </w:tabs>
      <w:spacing w:after="100"/>
      <w:ind w:left="440" w:hanging="298"/>
    </w:pPr>
  </w:style>
  <w:style w:type="paragraph" w:styleId="BalloonText">
    <w:name w:val="Balloon Text"/>
    <w:basedOn w:val="Normal"/>
    <w:link w:val="BalloonTextChar"/>
    <w:uiPriority w:val="99"/>
    <w:semiHidden/>
    <w:unhideWhenUsed/>
    <w:rsid w:val="007B6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BE3"/>
    <w:rPr>
      <w:rFonts w:ascii="Tahoma" w:hAnsi="Tahoma" w:cs="Tahoma"/>
      <w:sz w:val="16"/>
      <w:szCs w:val="16"/>
      <w:lang w:val="hr-HR"/>
    </w:rPr>
  </w:style>
  <w:style w:type="paragraph" w:styleId="NoSpacing">
    <w:name w:val="No Spacing"/>
    <w:link w:val="NoSpacingChar"/>
    <w:uiPriority w:val="1"/>
    <w:qFormat/>
    <w:rsid w:val="007B6BE3"/>
    <w:pPr>
      <w:spacing w:after="0" w:line="240" w:lineRule="auto"/>
    </w:pPr>
    <w:rPr>
      <w:lang w:val="en-US"/>
    </w:rPr>
  </w:style>
  <w:style w:type="character" w:styleId="CommentReference">
    <w:name w:val="annotation reference"/>
    <w:basedOn w:val="DefaultParagraphFont"/>
    <w:uiPriority w:val="99"/>
    <w:semiHidden/>
    <w:unhideWhenUsed/>
    <w:rsid w:val="007B6BE3"/>
    <w:rPr>
      <w:sz w:val="16"/>
      <w:szCs w:val="16"/>
    </w:rPr>
  </w:style>
  <w:style w:type="paragraph" w:styleId="CommentText">
    <w:name w:val="annotation text"/>
    <w:basedOn w:val="Normal"/>
    <w:link w:val="CommentTextChar"/>
    <w:uiPriority w:val="99"/>
    <w:semiHidden/>
    <w:unhideWhenUsed/>
    <w:rsid w:val="007B6BE3"/>
    <w:pPr>
      <w:spacing w:line="240" w:lineRule="auto"/>
    </w:pPr>
    <w:rPr>
      <w:sz w:val="20"/>
      <w:szCs w:val="20"/>
    </w:rPr>
  </w:style>
  <w:style w:type="character" w:customStyle="1" w:styleId="CommentTextChar">
    <w:name w:val="Comment Text Char"/>
    <w:basedOn w:val="DefaultParagraphFont"/>
    <w:link w:val="CommentText"/>
    <w:uiPriority w:val="99"/>
    <w:semiHidden/>
    <w:rsid w:val="007B6BE3"/>
    <w:rPr>
      <w:sz w:val="20"/>
      <w:szCs w:val="20"/>
      <w:lang w:val="hr-HR"/>
    </w:rPr>
  </w:style>
  <w:style w:type="character" w:styleId="FootnoteReference">
    <w:name w:val="footnote reference"/>
    <w:aliases w:val="ftref,16 Point,Superscript 6 Point,Ref. de nota al pie.,fr, BVI fnr,BVI fnr,Footnote Reference Number,Footnote Reference_LVL6,Footnote Reference_LVL61,Footnote Reference_LVL62,Footnote Reference_LVL63,Footnote Reference_LVL64,4_G,Ref"/>
    <w:link w:val="BVIfnrZchnCharZchnCharCharCharChar"/>
    <w:uiPriority w:val="99"/>
    <w:qFormat/>
    <w:rsid w:val="007B6BE3"/>
    <w:rPr>
      <w:vertAlign w:val="superscript"/>
    </w:rPr>
  </w:style>
  <w:style w:type="paragraph" w:styleId="FootnoteText">
    <w:name w:val="footnote text"/>
    <w:aliases w:val="fn,Footnote Text Char1,Footnote Text Char Char,FOOTNOTES,single space,ALTS FOOTNOTE,Fodnotetekst Tegn,Footnote Text Char Char Char Char Char Char,ADB,WB-Fußnotentext,Footnote,Fußnote,WB-Fuﬂnotentext,Fuﬂnote,footnote text,Footnote Text 1,f"/>
    <w:basedOn w:val="Normal"/>
    <w:link w:val="FootnoteTextChar2"/>
    <w:uiPriority w:val="99"/>
    <w:qFormat/>
    <w:rsid w:val="007B6BE3"/>
    <w:pPr>
      <w:spacing w:after="120" w:line="264" w:lineRule="auto"/>
    </w:pPr>
    <w:rPr>
      <w:rFonts w:ascii="Times New Roman" w:eastAsia="SimSun" w:hAnsi="Times New Roman" w:cs="Times New Roman"/>
      <w:sz w:val="20"/>
      <w:szCs w:val="20"/>
    </w:rPr>
  </w:style>
  <w:style w:type="character" w:customStyle="1" w:styleId="FootnoteTextChar">
    <w:name w:val="Footnote Text Char"/>
    <w:aliases w:val="Footnote Text Blue Char,Footnote Text1 Char,Char Char,footnote text Char,Footnote Text Char Char Char Char,Footnote Text Char Char Char1,ft Char,Tegn1 Char1,Tegn1 Char Char, Ch Char, Char Char, Char Char Char Char, Char1 Char Char1"/>
    <w:basedOn w:val="DefaultParagraphFont"/>
    <w:uiPriority w:val="99"/>
    <w:rsid w:val="007B6BE3"/>
    <w:rPr>
      <w:sz w:val="20"/>
      <w:szCs w:val="20"/>
      <w:lang w:val="hr-HR"/>
    </w:rPr>
  </w:style>
  <w:style w:type="character" w:customStyle="1" w:styleId="FootnoteTextChar2">
    <w:name w:val="Footnote Text Char2"/>
    <w:aliases w:val="fn Char,Footnote Text Char1 Char,Footnote Text Char Char Char,FOOTNOTES Char,single space Char,ALTS FOOTNOTE Char,Fodnotetekst Tegn Char,Footnote Text Char Char Char Char Char Char Char,ADB Char,WB-Fußnotentext Char,Footnote Char"/>
    <w:link w:val="FootnoteText"/>
    <w:uiPriority w:val="99"/>
    <w:locked/>
    <w:rsid w:val="007B6BE3"/>
    <w:rPr>
      <w:rFonts w:ascii="Times New Roman" w:eastAsia="SimSun" w:hAnsi="Times New Roman" w:cs="Times New Roman"/>
      <w:sz w:val="20"/>
      <w:szCs w:val="20"/>
      <w:lang w:val="hr-HR"/>
    </w:rPr>
  </w:style>
  <w:style w:type="table" w:customStyle="1" w:styleId="GridTable4-Accent11">
    <w:name w:val="Grid Table 4 - Accent 11"/>
    <w:basedOn w:val="TableNormal"/>
    <w:uiPriority w:val="49"/>
    <w:rsid w:val="007B6BE3"/>
    <w:pPr>
      <w:spacing w:after="0" w:line="240" w:lineRule="auto"/>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ragraphNumbering">
    <w:name w:val="Paragraph Numbering"/>
    <w:basedOn w:val="Normal"/>
    <w:link w:val="ParagraphNumberingChar"/>
    <w:uiPriority w:val="1"/>
    <w:qFormat/>
    <w:rsid w:val="007B6BE3"/>
    <w:pPr>
      <w:numPr>
        <w:numId w:val="3"/>
      </w:numPr>
      <w:spacing w:after="240" w:line="264" w:lineRule="auto"/>
    </w:pPr>
    <w:rPr>
      <w:rFonts w:ascii="Times New Roman" w:eastAsia="SimSun" w:hAnsi="Times New Roman" w:cs="Times New Roman"/>
      <w:sz w:val="24"/>
      <w:szCs w:val="24"/>
    </w:rPr>
  </w:style>
  <w:style w:type="character" w:customStyle="1" w:styleId="ParagraphNumberingChar">
    <w:name w:val="Paragraph Numbering Char"/>
    <w:link w:val="ParagraphNumbering"/>
    <w:uiPriority w:val="1"/>
    <w:locked/>
    <w:rsid w:val="007B6BE3"/>
    <w:rPr>
      <w:rFonts w:ascii="Times New Roman" w:eastAsia="SimSun" w:hAnsi="Times New Roman" w:cs="Times New Roman"/>
      <w:sz w:val="24"/>
      <w:szCs w:val="24"/>
      <w:lang w:val="hr-HR"/>
    </w:rPr>
  </w:style>
  <w:style w:type="table" w:customStyle="1" w:styleId="GridTable5Dark-Accent11">
    <w:name w:val="Grid Table 5 Dark - Accent 11"/>
    <w:basedOn w:val="TableNormal"/>
    <w:uiPriority w:val="50"/>
    <w:rsid w:val="007B6BE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DeMPAHeading2">
    <w:name w:val="DeMPA Heading 2"/>
    <w:basedOn w:val="Heading2"/>
    <w:qFormat/>
    <w:rsid w:val="007B6BE3"/>
    <w:pPr>
      <w:spacing w:before="480" w:after="200" w:line="240" w:lineRule="auto"/>
      <w:jc w:val="both"/>
    </w:pPr>
    <w:rPr>
      <w:rFonts w:ascii="Times New Roman" w:eastAsia="Times New Roman" w:hAnsi="Times New Roman" w:cs="Times New Roman"/>
      <w:bCs w:val="0"/>
      <w:color w:val="000000"/>
      <w:sz w:val="24"/>
      <w:szCs w:val="24"/>
    </w:rPr>
  </w:style>
  <w:style w:type="paragraph" w:styleId="Header">
    <w:name w:val="header"/>
    <w:basedOn w:val="Normal"/>
    <w:link w:val="HeaderChar"/>
    <w:uiPriority w:val="99"/>
    <w:unhideWhenUsed/>
    <w:rsid w:val="007B6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BE3"/>
    <w:rPr>
      <w:lang w:val="hr-HR"/>
    </w:rPr>
  </w:style>
  <w:style w:type="paragraph" w:styleId="Footer">
    <w:name w:val="footer"/>
    <w:basedOn w:val="Normal"/>
    <w:link w:val="FooterChar"/>
    <w:uiPriority w:val="99"/>
    <w:unhideWhenUsed/>
    <w:rsid w:val="007B6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BE3"/>
    <w:rPr>
      <w:lang w:val="hr-HR"/>
    </w:rPr>
  </w:style>
  <w:style w:type="paragraph" w:styleId="Caption">
    <w:name w:val="caption"/>
    <w:basedOn w:val="Normal"/>
    <w:next w:val="Normal"/>
    <w:uiPriority w:val="35"/>
    <w:unhideWhenUsed/>
    <w:qFormat/>
    <w:rsid w:val="007B6BE3"/>
    <w:pPr>
      <w:spacing w:line="240" w:lineRule="auto"/>
    </w:pPr>
    <w:rPr>
      <w:b/>
      <w:bCs/>
      <w:color w:val="5B9BD5" w:themeColor="accent1"/>
      <w:sz w:val="18"/>
      <w:szCs w:val="18"/>
    </w:rPr>
  </w:style>
  <w:style w:type="paragraph" w:styleId="ListParagraph">
    <w:name w:val="List Paragraph"/>
    <w:basedOn w:val="Normal"/>
    <w:link w:val="ListParagraphChar"/>
    <w:uiPriority w:val="34"/>
    <w:qFormat/>
    <w:rsid w:val="007B6BE3"/>
    <w:pPr>
      <w:ind w:left="720"/>
      <w:contextualSpacing/>
    </w:pPr>
  </w:style>
  <w:style w:type="table" w:styleId="LightShading-Accent1">
    <w:name w:val="Light Shading Accent 1"/>
    <w:basedOn w:val="TableNormal"/>
    <w:uiPriority w:val="60"/>
    <w:rsid w:val="007B6BE3"/>
    <w:pPr>
      <w:spacing w:after="0" w:line="240" w:lineRule="auto"/>
    </w:pPr>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NoSpacingChar">
    <w:name w:val="No Spacing Char"/>
    <w:link w:val="NoSpacing"/>
    <w:uiPriority w:val="1"/>
    <w:locked/>
    <w:rsid w:val="007B6BE3"/>
    <w:rPr>
      <w:lang w:val="en-US"/>
    </w:rPr>
  </w:style>
  <w:style w:type="character" w:customStyle="1" w:styleId="ListParagraphChar">
    <w:name w:val="List Paragraph Char"/>
    <w:link w:val="ListParagraph"/>
    <w:uiPriority w:val="34"/>
    <w:locked/>
    <w:rsid w:val="007B6BE3"/>
    <w:rPr>
      <w:lang w:val="hr-HR"/>
    </w:rPr>
  </w:style>
  <w:style w:type="character" w:styleId="FollowedHyperlink">
    <w:name w:val="FollowedHyperlink"/>
    <w:basedOn w:val="DefaultParagraphFont"/>
    <w:uiPriority w:val="99"/>
    <w:semiHidden/>
    <w:unhideWhenUsed/>
    <w:rsid w:val="007B6BE3"/>
    <w:rPr>
      <w:color w:val="954F72" w:themeColor="followedHyperlink"/>
      <w:u w:val="single"/>
    </w:rPr>
  </w:style>
  <w:style w:type="paragraph" w:customStyle="1" w:styleId="Default">
    <w:name w:val="Default"/>
    <w:rsid w:val="007B6BE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B6BE3"/>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paragraph" w:styleId="CommentSubject">
    <w:name w:val="annotation subject"/>
    <w:basedOn w:val="CommentText"/>
    <w:next w:val="CommentText"/>
    <w:link w:val="CommentSubjectChar"/>
    <w:uiPriority w:val="99"/>
    <w:semiHidden/>
    <w:unhideWhenUsed/>
    <w:rsid w:val="007B6BE3"/>
    <w:rPr>
      <w:b/>
      <w:bCs/>
    </w:rPr>
  </w:style>
  <w:style w:type="character" w:customStyle="1" w:styleId="CommentSubjectChar">
    <w:name w:val="Comment Subject Char"/>
    <w:basedOn w:val="CommentTextChar"/>
    <w:link w:val="CommentSubject"/>
    <w:uiPriority w:val="99"/>
    <w:semiHidden/>
    <w:rsid w:val="007B6BE3"/>
    <w:rPr>
      <w:b/>
      <w:bCs/>
      <w:sz w:val="20"/>
      <w:szCs w:val="20"/>
      <w:lang w:val="hr-HR"/>
    </w:rPr>
  </w:style>
  <w:style w:type="paragraph" w:styleId="EndnoteText">
    <w:name w:val="endnote text"/>
    <w:basedOn w:val="Normal"/>
    <w:link w:val="EndnoteTextChar"/>
    <w:uiPriority w:val="99"/>
    <w:semiHidden/>
    <w:unhideWhenUsed/>
    <w:rsid w:val="007B6B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6BE3"/>
    <w:rPr>
      <w:sz w:val="20"/>
      <w:szCs w:val="20"/>
      <w:lang w:val="hr-HR"/>
    </w:rPr>
  </w:style>
  <w:style w:type="character" w:styleId="EndnoteReference">
    <w:name w:val="endnote reference"/>
    <w:basedOn w:val="DefaultParagraphFont"/>
    <w:uiPriority w:val="99"/>
    <w:semiHidden/>
    <w:unhideWhenUsed/>
    <w:rsid w:val="007B6BE3"/>
    <w:rPr>
      <w:vertAlign w:val="superscript"/>
    </w:rPr>
  </w:style>
  <w:style w:type="paragraph" w:styleId="Revision">
    <w:name w:val="Revision"/>
    <w:hidden/>
    <w:uiPriority w:val="99"/>
    <w:semiHidden/>
    <w:rsid w:val="007B6BE3"/>
    <w:pPr>
      <w:spacing w:after="0" w:line="240" w:lineRule="auto"/>
    </w:pPr>
    <w:rPr>
      <w:lang w:val="hr-BA"/>
    </w:rPr>
  </w:style>
  <w:style w:type="table" w:styleId="GridTable4-Accent3">
    <w:name w:val="Grid Table 4 Accent 3"/>
    <w:basedOn w:val="TableNormal"/>
    <w:uiPriority w:val="49"/>
    <w:rsid w:val="007B6BE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51">
    <w:name w:val="List Table 6 Colorful - Accent 51"/>
    <w:basedOn w:val="TableNormal"/>
    <w:uiPriority w:val="51"/>
    <w:rsid w:val="007B6BE3"/>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59"/>
    <w:rsid w:val="007B6B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B6BE3"/>
    <w:rPr>
      <w:b/>
      <w:bCs/>
    </w:rPr>
  </w:style>
  <w:style w:type="paragraph" w:customStyle="1" w:styleId="BVIfnrZchnCharZchnCharCharCharChar">
    <w:name w:val="BVI fnr Zchn Char Zchn Char Char Char Char"/>
    <w:aliases w:val="BVI fnr Car Car Zchn Char Zchn Char Char Char Char,BVI fnr Car Zchn Char Zchn Char Char Char Char"/>
    <w:basedOn w:val="Normal"/>
    <w:link w:val="FootnoteReference"/>
    <w:uiPriority w:val="99"/>
    <w:rsid w:val="007B6BE3"/>
    <w:pPr>
      <w:spacing w:after="120" w:line="240" w:lineRule="exact"/>
    </w:pPr>
    <w:rPr>
      <w:vertAlign w:val="superscript"/>
      <w:lang w:val="bs-Latn-BA"/>
    </w:rPr>
  </w:style>
  <w:style w:type="paragraph" w:styleId="IntenseQuote">
    <w:name w:val="Intense Quote"/>
    <w:basedOn w:val="Normal"/>
    <w:next w:val="Normal"/>
    <w:link w:val="IntenseQuoteChar"/>
    <w:uiPriority w:val="30"/>
    <w:qFormat/>
    <w:rsid w:val="007B6BE3"/>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B6BE3"/>
    <w:rPr>
      <w:rFonts w:asciiTheme="majorHAnsi" w:eastAsiaTheme="majorEastAsia" w:hAnsiTheme="majorHAnsi" w:cstheme="majorBidi"/>
      <w:color w:val="5B9BD5" w:themeColor="accent1"/>
      <w:sz w:val="28"/>
      <w:szCs w:val="28"/>
      <w:lang w:val="hr-HR"/>
    </w:rPr>
  </w:style>
  <w:style w:type="character" w:styleId="IntenseReference">
    <w:name w:val="Intense Reference"/>
    <w:basedOn w:val="DefaultParagraphFont"/>
    <w:uiPriority w:val="32"/>
    <w:qFormat/>
    <w:rsid w:val="007B6BE3"/>
    <w:rPr>
      <w:b/>
      <w:bCs/>
      <w:smallCaps/>
      <w:spacing w:val="5"/>
      <w:u w:val="single"/>
    </w:rPr>
  </w:style>
  <w:style w:type="character" w:styleId="Emphasis">
    <w:name w:val="Emphasis"/>
    <w:basedOn w:val="DefaultParagraphFont"/>
    <w:uiPriority w:val="20"/>
    <w:rsid w:val="007B6BE3"/>
    <w:rPr>
      <w:i/>
      <w:iCs/>
    </w:rPr>
  </w:style>
  <w:style w:type="character" w:styleId="SubtleEmphasis">
    <w:name w:val="Subtle Emphasis"/>
    <w:basedOn w:val="DefaultParagraphFont"/>
    <w:uiPriority w:val="19"/>
    <w:qFormat/>
    <w:rsid w:val="007B6BE3"/>
    <w:rPr>
      <w:i/>
      <w:iCs/>
      <w:color w:val="404040" w:themeColor="text1" w:themeTint="BF"/>
    </w:rPr>
  </w:style>
  <w:style w:type="table" w:customStyle="1" w:styleId="GridTable4-Accent113">
    <w:name w:val="Grid Table 4 - Accent 113"/>
    <w:basedOn w:val="TableNormal"/>
    <w:uiPriority w:val="49"/>
    <w:rsid w:val="007B6BE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chart" Target="charts/chart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3.png"/><Relationship Id="rId22" Type="http://schemas.openxmlformats.org/officeDocument/2006/relationships/chart" Target="charts/chart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I.LJ\20.%20Informacija%20o%20vanjskom%20i%20unutarnjem%20dugu\Informacija%20o%20vanjskom%20i%20unutarnjem%20dugu%202022\Book1%20Potrebno%20promijeniti%20podatke%20za%2031.12.202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oleObject" Target="file:///D:\I.LJ\13.%20MTDS%20FBiH\MTDS%202023-2025\Grafikon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I.LJ\13.%20MTDS%20FBiH\MTDS%202023-2025\Book%202023-2025%20Radni.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I.LJ\13.%20MTDS%20FBiH\MTDS%202023-2025\Book%202023-2025%20Radni.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D:\I.LJ\13.%20MTDS%20FBiH\MTDS%202023-2025\Grafikon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VMConverter\Users2$\tkozaric\Documents\Analiza%20-%20odsjek\Strategije%20upravljanja%20dugom\MTDSAT%20%202023_2025%20FINALNA.XLSM"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VMConverter\Users2$\tkozaric\Documents\Analiza%20-%20odsjek\Strategije%20upravljanja%20dugom\MTDSAT%20%202023_2025%20FINALNA.XLSM"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'Sheet2 (2)'!$C$38</c:f>
              <c:strCache>
                <c:ptCount val="1"/>
                <c:pt idx="0">
                  <c:v>KM</c:v>
                </c:pt>
              </c:strCache>
            </c:strRef>
          </c:tx>
          <c:spPr>
            <a:pattFill prst="wdUpDiag">
              <a:fgClr>
                <a:schemeClr val="tx1"/>
              </a:fgClr>
              <a:bgClr>
                <a:schemeClr val="bg1"/>
              </a:bgClr>
            </a:pattFill>
            <a:ln>
              <a:solidFill>
                <a:schemeClr val="tx1"/>
              </a:solidFill>
            </a:ln>
            <a:effectLst/>
          </c:spPr>
          <c:invertIfNegative val="0"/>
          <c:cat>
            <c:strRef>
              <c:f>'Sheet2 (2)'!$B$75:$B$87</c:f>
              <c:strCache>
                <c:ptCount val="13"/>
                <c:pt idx="0">
                  <c:v>Eурoпскa Инвeстициjскa бaнкa </c:v>
                </c:pt>
                <c:pt idx="1">
                  <c:v>Свjeтскa бaнкa (WB IDA) </c:v>
                </c:pt>
                <c:pt idx="2">
                  <c:v>Свjeтскa бaнкa (WB IBRD)</c:v>
                </c:pt>
                <c:pt idx="3">
                  <c:v>EBRD </c:v>
                </c:pt>
                <c:pt idx="4">
                  <c:v>Meђунaрoдни мoнeтaрни фoнд</c:v>
                </c:pt>
                <c:pt idx="5">
                  <c:v>Пaришки клуб</c:v>
                </c:pt>
                <c:pt idx="6">
                  <c:v>OPEC (OFID)  </c:v>
                </c:pt>
                <c:pt idx="7">
                  <c:v>Eурoпскa Кoмисиja</c:v>
                </c:pt>
                <c:pt idx="8">
                  <c:v>KfW </c:v>
                </c:pt>
                <c:pt idx="9">
                  <c:v>Сaудиjски рaзвojни фoнд </c:v>
                </c:pt>
                <c:pt idx="10">
                  <c:v>Рaзвojнa бaнкa Виjeћa Eурoпe (CEB) </c:v>
                </c:pt>
                <c:pt idx="11">
                  <c:v>Кувajтски фoнд зa Aрaпски eкoнoмски рaзвoj </c:v>
                </c:pt>
                <c:pt idx="12">
                  <c:v>Oстaли крeдитoри</c:v>
                </c:pt>
              </c:strCache>
            </c:strRef>
          </c:cat>
          <c:val>
            <c:numRef>
              <c:f>'Sheet2 (2)'!$C$75:$C$87</c:f>
              <c:numCache>
                <c:formatCode>#,##0.00</c:formatCode>
                <c:ptCount val="13"/>
                <c:pt idx="0">
                  <c:v>1170.5775168264836</c:v>
                </c:pt>
                <c:pt idx="1">
                  <c:v>877.34378485200443</c:v>
                </c:pt>
                <c:pt idx="2">
                  <c:v>702.05712943407582</c:v>
                </c:pt>
                <c:pt idx="3">
                  <c:v>648.99122988908198</c:v>
                </c:pt>
                <c:pt idx="4">
                  <c:v>563.69205683174835</c:v>
                </c:pt>
                <c:pt idx="5">
                  <c:v>323.29060940396562</c:v>
                </c:pt>
                <c:pt idx="6">
                  <c:v>235.37695467055346</c:v>
                </c:pt>
                <c:pt idx="7">
                  <c:v>220.76431124999999</c:v>
                </c:pt>
                <c:pt idx="8">
                  <c:v>160.44192045075388</c:v>
                </c:pt>
                <c:pt idx="9">
                  <c:v>116.92737784639999</c:v>
                </c:pt>
                <c:pt idx="10">
                  <c:v>89.033754359945803</c:v>
                </c:pt>
                <c:pt idx="11">
                  <c:v>79.81343659800001</c:v>
                </c:pt>
                <c:pt idx="12">
                  <c:v>222.18018758698588</c:v>
                </c:pt>
              </c:numCache>
            </c:numRef>
          </c:val>
          <c:extLst>
            <c:ext xmlns:c16="http://schemas.microsoft.com/office/drawing/2014/chart" uri="{C3380CC4-5D6E-409C-BE32-E72D297353CC}">
              <c16:uniqueId val="{00000000-A4A5-4BFE-8561-77C9618F4C69}"/>
            </c:ext>
          </c:extLst>
        </c:ser>
        <c:dLbls>
          <c:showLegendKey val="0"/>
          <c:showVal val="0"/>
          <c:showCatName val="0"/>
          <c:showSerName val="0"/>
          <c:showPercent val="0"/>
          <c:showBubbleSize val="0"/>
        </c:dLbls>
        <c:gapWidth val="182"/>
        <c:axId val="537886096"/>
        <c:axId val="537885312"/>
      </c:barChart>
      <c:catAx>
        <c:axId val="537886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537885312"/>
        <c:crosses val="autoZero"/>
        <c:auto val="1"/>
        <c:lblAlgn val="ctr"/>
        <c:lblOffset val="100"/>
        <c:noMultiLvlLbl val="0"/>
      </c:catAx>
      <c:valAx>
        <c:axId val="53788531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7886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846270798452004"/>
          <c:y val="9.854710983069126E-2"/>
          <c:w val="0.47408752818057592"/>
          <c:h val="0.77587031491704861"/>
        </c:manualLayout>
      </c:layout>
      <c:pie3DChart>
        <c:varyColors val="1"/>
        <c:ser>
          <c:idx val="0"/>
          <c:order val="0"/>
          <c:explosion val="5"/>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B05-4527-869C-40D0F16AE1A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B05-4527-869C-40D0F16AE1AB}"/>
              </c:ext>
            </c:extLst>
          </c:dPt>
          <c:dLbls>
            <c:dLbl>
              <c:idx val="0"/>
              <c:layout>
                <c:manualLayout>
                  <c:x val="5.1948051948051938E-2"/>
                  <c:y val="-4.995316890415235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az-Cyrl-AZ"/>
                      <a:t>Варијабилна</a:t>
                    </a:r>
                    <a:r>
                      <a:rPr lang="az-Cyrl-AZ" baseline="0"/>
                      <a:t>; </a:t>
                    </a:r>
                    <a:fld id="{568AC88B-68BE-460F-9F8D-9D556AD5A9EC}" type="PERCENTAGE">
                      <a:rPr lang="en-US" baseline="0"/>
                      <a:pPr>
                        <a:defRPr/>
                      </a:pPr>
                      <a:t>[PERCENTAGE]</a:t>
                    </a:fld>
                    <a:endParaRPr lang="az-Cyrl-AZ" baseline="0"/>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5797610525956982"/>
                      <c:h val="0.15591632844208556"/>
                    </c:manualLayout>
                  </c15:layout>
                  <c15:dlblFieldTable/>
                  <c15:showDataLabelsRange val="0"/>
                </c:ext>
                <c:ext xmlns:c16="http://schemas.microsoft.com/office/drawing/2014/chart" uri="{C3380CC4-5D6E-409C-BE32-E72D297353CC}">
                  <c16:uniqueId val="{00000001-DB05-4527-869C-40D0F16AE1AB}"/>
                </c:ext>
              </c:extLst>
            </c:dLbl>
            <c:dLbl>
              <c:idx val="1"/>
              <c:layout>
                <c:manualLayout>
                  <c:x val="-3.8961038961038981E-2"/>
                  <c:y val="-3.7464876678114323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az-Cyrl-AZ"/>
                      <a:t>Фиксна камата</a:t>
                    </a:r>
                    <a:r>
                      <a:rPr lang="az-Cyrl-AZ" baseline="0"/>
                      <a:t>; </a:t>
                    </a:r>
                    <a:fld id="{25A2C77F-3C4B-4780-9611-628B3DE6A3BC}" type="PERCENTAGE">
                      <a:rPr lang="en-US" baseline="0"/>
                      <a:pPr>
                        <a:defRPr/>
                      </a:pPr>
                      <a:t>[PERCENTAGE]</a:t>
                    </a:fld>
                    <a:endParaRPr lang="az-Cyrl-AZ" baseline="0"/>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B05-4527-869C-40D0F16AE1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Sheet1!$D$11:$D$12</c:f>
              <c:strCache>
                <c:ptCount val="2"/>
                <c:pt idx="0">
                  <c:v>Varijabilna</c:v>
                </c:pt>
                <c:pt idx="1">
                  <c:v>Fiksna kamata</c:v>
                </c:pt>
              </c:strCache>
            </c:strRef>
          </c:cat>
          <c:val>
            <c:numRef>
              <c:f>Sheet1!$E$11:$E$12</c:f>
              <c:numCache>
                <c:formatCode>#,##0.00</c:formatCode>
                <c:ptCount val="2"/>
                <c:pt idx="0">
                  <c:v>2293702620.448123</c:v>
                </c:pt>
                <c:pt idx="1">
                  <c:v>3116787649.5518799</c:v>
                </c:pt>
              </c:numCache>
            </c:numRef>
          </c:val>
          <c:extLst>
            <c:ext xmlns:c16="http://schemas.microsoft.com/office/drawing/2014/chart" uri="{C3380CC4-5D6E-409C-BE32-E72D297353CC}">
              <c16:uniqueId val="{00000004-DB05-4527-869C-40D0F16AE1AB}"/>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MMF!$AF$55</c:f>
              <c:strCache>
                <c:ptCount val="1"/>
                <c:pt idx="0">
                  <c:v>Доспеће главнице RFI</c:v>
                </c:pt>
              </c:strCache>
            </c:strRef>
          </c:tx>
          <c:spPr>
            <a:pattFill prst="wdDnDiag">
              <a:fgClr>
                <a:schemeClr val="accent1"/>
              </a:fgClr>
              <a:bgClr>
                <a:schemeClr val="bg1"/>
              </a:bgClr>
            </a:pattFill>
            <a:ln>
              <a:solidFill>
                <a:schemeClr val="accent1"/>
              </a:solidFill>
            </a:ln>
            <a:effectLst/>
          </c:spPr>
          <c:invertIfNegative val="0"/>
          <c:cat>
            <c:numRef>
              <c:f>MMF!$AG$22:$AL$22</c:f>
              <c:numCache>
                <c:formatCode>General</c:formatCode>
                <c:ptCount val="6"/>
                <c:pt idx="0">
                  <c:v>2023</c:v>
                </c:pt>
                <c:pt idx="1">
                  <c:v>2024</c:v>
                </c:pt>
                <c:pt idx="2">
                  <c:v>2025</c:v>
                </c:pt>
                <c:pt idx="3">
                  <c:v>2026</c:v>
                </c:pt>
                <c:pt idx="4">
                  <c:v>2027</c:v>
                </c:pt>
                <c:pt idx="5">
                  <c:v>2028</c:v>
                </c:pt>
              </c:numCache>
            </c:numRef>
          </c:cat>
          <c:val>
            <c:numRef>
              <c:f>MMF!$AG$39:$AL$39</c:f>
              <c:numCache>
                <c:formatCode>_(* #,##0_);_(* \(#,##0\);_(* "-"??_);_(@_)</c:formatCode>
                <c:ptCount val="6"/>
                <c:pt idx="0">
                  <c:v>99.917055985500014</c:v>
                </c:pt>
                <c:pt idx="1">
                  <c:v>199.83411197100003</c:v>
                </c:pt>
                <c:pt idx="2">
                  <c:v>99.917055985500014</c:v>
                </c:pt>
                <c:pt idx="3">
                  <c:v>0</c:v>
                </c:pt>
                <c:pt idx="4">
                  <c:v>0</c:v>
                </c:pt>
                <c:pt idx="5">
                  <c:v>0</c:v>
                </c:pt>
              </c:numCache>
            </c:numRef>
          </c:val>
          <c:extLst>
            <c:ext xmlns:c16="http://schemas.microsoft.com/office/drawing/2014/chart" uri="{C3380CC4-5D6E-409C-BE32-E72D297353CC}">
              <c16:uniqueId val="{00000000-B162-4BDC-9042-347BA2F6EAED}"/>
            </c:ext>
          </c:extLst>
        </c:ser>
        <c:ser>
          <c:idx val="0"/>
          <c:order val="1"/>
          <c:tx>
            <c:strRef>
              <c:f>MMF!$AF$54</c:f>
              <c:strCache>
                <c:ptCount val="1"/>
                <c:pt idx="0">
                  <c:v>Доспеће главнице EFF</c:v>
                </c:pt>
              </c:strCache>
            </c:strRef>
          </c:tx>
          <c:spPr>
            <a:noFill/>
            <a:ln>
              <a:solidFill>
                <a:schemeClr val="accent1"/>
              </a:solidFill>
            </a:ln>
            <a:effectLst/>
          </c:spPr>
          <c:invertIfNegative val="0"/>
          <c:cat>
            <c:numRef>
              <c:f>MMF!$AG$22:$AL$22</c:f>
              <c:numCache>
                <c:formatCode>General</c:formatCode>
                <c:ptCount val="6"/>
                <c:pt idx="0">
                  <c:v>2023</c:v>
                </c:pt>
                <c:pt idx="1">
                  <c:v>2024</c:v>
                </c:pt>
                <c:pt idx="2">
                  <c:v>2025</c:v>
                </c:pt>
                <c:pt idx="3">
                  <c:v>2026</c:v>
                </c:pt>
                <c:pt idx="4">
                  <c:v>2027</c:v>
                </c:pt>
                <c:pt idx="5">
                  <c:v>2028</c:v>
                </c:pt>
              </c:numCache>
            </c:numRef>
          </c:cat>
          <c:val>
            <c:numRef>
              <c:f>MMF!$AG$38:$AL$38</c:f>
              <c:numCache>
                <c:formatCode>_(* #,##0_);_(* \(#,##0\);_(* "-"??_);_(@_)</c:formatCode>
                <c:ptCount val="6"/>
                <c:pt idx="0">
                  <c:v>34.531333258003187</c:v>
                </c:pt>
                <c:pt idx="1">
                  <c:v>34.531333258003187</c:v>
                </c:pt>
                <c:pt idx="2">
                  <c:v>34.531333258003187</c:v>
                </c:pt>
                <c:pt idx="3">
                  <c:v>34.531333258003201</c:v>
                </c:pt>
                <c:pt idx="4">
                  <c:v>17.265666637169861</c:v>
                </c:pt>
                <c:pt idx="5">
                  <c:v>8.6328332205657698</c:v>
                </c:pt>
              </c:numCache>
            </c:numRef>
          </c:val>
          <c:extLst>
            <c:ext xmlns:c16="http://schemas.microsoft.com/office/drawing/2014/chart" uri="{C3380CC4-5D6E-409C-BE32-E72D297353CC}">
              <c16:uniqueId val="{00000001-B162-4BDC-9042-347BA2F6EAED}"/>
            </c:ext>
          </c:extLst>
        </c:ser>
        <c:dLbls>
          <c:showLegendKey val="0"/>
          <c:showVal val="0"/>
          <c:showCatName val="0"/>
          <c:showSerName val="0"/>
          <c:showPercent val="0"/>
          <c:showBubbleSize val="0"/>
        </c:dLbls>
        <c:gapWidth val="299"/>
        <c:overlap val="100"/>
        <c:axId val="256931280"/>
        <c:axId val="256931664"/>
      </c:barChart>
      <c:catAx>
        <c:axId val="25693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931664"/>
        <c:crosses val="autoZero"/>
        <c:auto val="1"/>
        <c:lblAlgn val="ctr"/>
        <c:lblOffset val="100"/>
        <c:noMultiLvlLbl val="0"/>
      </c:catAx>
      <c:valAx>
        <c:axId val="256931664"/>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2569312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2EB-4A19-A5A7-C8A828B9482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2EB-4A19-A5A7-C8A828B9482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2EB-4A19-A5A7-C8A828B9482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2EB-4A19-A5A7-C8A828B9482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2EB-4A19-A5A7-C8A828B9482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2EB-4A19-A5A7-C8A828B94829}"/>
              </c:ext>
            </c:extLst>
          </c:dPt>
          <c:dLbls>
            <c:dLbl>
              <c:idx val="0"/>
              <c:layout>
                <c:manualLayout>
                  <c:x val="6.4725088975528547E-2"/>
                  <c:y val="4.2628774422735348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560949298813373"/>
                      <c:h val="0.17740674955595026"/>
                    </c:manualLayout>
                  </c15:layout>
                </c:ext>
                <c:ext xmlns:c16="http://schemas.microsoft.com/office/drawing/2014/chart" uri="{C3380CC4-5D6E-409C-BE32-E72D297353CC}">
                  <c16:uniqueId val="{00000001-32EB-4A19-A5A7-C8A828B94829}"/>
                </c:ext>
              </c:extLst>
            </c:dLbl>
            <c:dLbl>
              <c:idx val="1"/>
              <c:layout>
                <c:manualLayout>
                  <c:x val="4.3150013839385023E-3"/>
                  <c:y val="-7.104795737122557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6577954454722286"/>
                      <c:h val="0.17740674955595026"/>
                    </c:manualLayout>
                  </c15:layout>
                </c:ext>
                <c:ext xmlns:c16="http://schemas.microsoft.com/office/drawing/2014/chart" uri="{C3380CC4-5D6E-409C-BE32-E72D297353CC}">
                  <c16:uniqueId val="{00000003-32EB-4A19-A5A7-C8A828B94829}"/>
                </c:ext>
              </c:extLst>
            </c:dLbl>
            <c:dLbl>
              <c:idx val="2"/>
              <c:layout>
                <c:manualLayout>
                  <c:x val="-0.10571736785329018"/>
                  <c:y val="0.1065719360568382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613807982740022"/>
                      <c:h val="0.17740674955595026"/>
                    </c:manualLayout>
                  </c15:layout>
                </c:ext>
                <c:ext xmlns:c16="http://schemas.microsoft.com/office/drawing/2014/chart" uri="{C3380CC4-5D6E-409C-BE32-E72D297353CC}">
                  <c16:uniqueId val="{00000005-32EB-4A19-A5A7-C8A828B94829}"/>
                </c:ext>
              </c:extLst>
            </c:dLbl>
            <c:dLbl>
              <c:idx val="3"/>
              <c:layout>
                <c:manualLayout>
                  <c:x val="9.9218711527783207E-2"/>
                  <c:y val="1.42095914742451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2EB-4A19-A5A7-C8A828B94829}"/>
                </c:ext>
              </c:extLst>
            </c:dLbl>
            <c:dLbl>
              <c:idx val="4"/>
              <c:layout>
                <c:manualLayout>
                  <c:x val="-3.4519956850053955E-2"/>
                  <c:y val="-4.973357015985790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2EB-4A19-A5A7-C8A828B94829}"/>
                </c:ext>
              </c:extLst>
            </c:dLbl>
            <c:dLbl>
              <c:idx val="5"/>
              <c:layout>
                <c:manualLayout>
                  <c:x val="-4.7444468406297215E-2"/>
                  <c:y val="2.8419182948490232E-2"/>
                </c:manualLayout>
              </c:layout>
              <c:numFmt formatCode="0.00%" sourceLinked="0"/>
              <c:spPr>
                <a:noFill/>
                <a:ln>
                  <a:noFill/>
                </a:ln>
                <a:effectLst/>
              </c:spPr>
              <c:txPr>
                <a:bodyPr rot="0" spcFirstLastPara="1" vertOverflow="ellipsis" horzOverflow="clip"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B-32EB-4A19-A5A7-C8A828B94829}"/>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'11'!$F$24:$F$29</c:f>
              <c:strCache>
                <c:ptCount val="6"/>
                <c:pt idx="0">
                  <c:v>SDR</c:v>
                </c:pt>
                <c:pt idx="1">
                  <c:v>USD</c:v>
                </c:pt>
                <c:pt idx="2">
                  <c:v>GBP</c:v>
                </c:pt>
                <c:pt idx="3">
                  <c:v>JPY</c:v>
                </c:pt>
                <c:pt idx="4">
                  <c:v>EUR</c:v>
                </c:pt>
                <c:pt idx="5">
                  <c:v>BAM</c:v>
                </c:pt>
              </c:strCache>
            </c:strRef>
          </c:cat>
          <c:val>
            <c:numRef>
              <c:f>'11'!$G$24:$G$29</c:f>
              <c:numCache>
                <c:formatCode>#,##0</c:formatCode>
                <c:ptCount val="6"/>
                <c:pt idx="0">
                  <c:v>743977073.20667624</c:v>
                </c:pt>
                <c:pt idx="1">
                  <c:v>354401750.83480293</c:v>
                </c:pt>
                <c:pt idx="2">
                  <c:v>0</c:v>
                </c:pt>
                <c:pt idx="3">
                  <c:v>13690214.522994703</c:v>
                </c:pt>
                <c:pt idx="4">
                  <c:v>1838509309.643117</c:v>
                </c:pt>
                <c:pt idx="5">
                  <c:v>370120585.37223822</c:v>
                </c:pt>
              </c:numCache>
            </c:numRef>
          </c:val>
          <c:extLst>
            <c:ext xmlns:c16="http://schemas.microsoft.com/office/drawing/2014/chart" uri="{C3380CC4-5D6E-409C-BE32-E72D297353CC}">
              <c16:uniqueId val="{0000000C-32EB-4A19-A5A7-C8A828B94829}"/>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B94-4547-A7A7-B06BC0EDB02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B94-4547-A7A7-B06BC0EDB02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B94-4547-A7A7-B06BC0EDB02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B94-4547-A7A7-B06BC0EDB02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B94-4547-A7A7-B06BC0EDB02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B94-4547-A7A7-B06BC0EDB021}"/>
              </c:ext>
            </c:extLst>
          </c:dPt>
          <c:dLbls>
            <c:dLbl>
              <c:idx val="0"/>
              <c:layout>
                <c:manualLayout>
                  <c:x val="0.10561193093697334"/>
                  <c:y val="9.958741835778520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8090185676392573"/>
                      <c:h val="0.17740674955595026"/>
                    </c:manualLayout>
                  </c15:layout>
                </c:ext>
                <c:ext xmlns:c16="http://schemas.microsoft.com/office/drawing/2014/chart" uri="{C3380CC4-5D6E-409C-BE32-E72D297353CC}">
                  <c16:uniqueId val="{00000001-7B94-4547-A7A7-B06BC0EDB021}"/>
                </c:ext>
              </c:extLst>
            </c:dLbl>
            <c:dLbl>
              <c:idx val="1"/>
              <c:layout>
                <c:manualLayout>
                  <c:x val="-0.17564813147454814"/>
                  <c:y val="-4.461811722912966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7B94-4547-A7A7-B06BC0EDB021}"/>
                </c:ext>
              </c:extLst>
            </c:dLbl>
            <c:dLbl>
              <c:idx val="2"/>
              <c:layout>
                <c:manualLayout>
                  <c:x val="-0.10050788297121342"/>
                  <c:y val="0.21618606732772969"/>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7B94-4547-A7A7-B06BC0EDB021}"/>
                </c:ext>
              </c:extLst>
            </c:dLbl>
            <c:dLbl>
              <c:idx val="3"/>
              <c:layout>
                <c:manualLayout>
                  <c:x val="-0.1062160167644827"/>
                  <c:y val="5.349407700591599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7B94-4547-A7A7-B06BC0EDB021}"/>
                </c:ext>
              </c:extLst>
            </c:dLbl>
            <c:dLbl>
              <c:idx val="4"/>
              <c:layout>
                <c:manualLayout>
                  <c:x val="-8.6414015887271392E-2"/>
                  <c:y val="-1.09715948028698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7B94-4547-A7A7-B06BC0EDB021}"/>
                </c:ext>
              </c:extLst>
            </c:dLbl>
            <c:dLbl>
              <c:idx val="5"/>
              <c:layout>
                <c:manualLayout>
                  <c:x val="-8.4243614110570391E-3"/>
                  <c:y val="3.5521181521936756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865180977046304"/>
                      <c:h val="0.1600710479573712"/>
                    </c:manualLayout>
                  </c15:layout>
                </c:ext>
                <c:ext xmlns:c16="http://schemas.microsoft.com/office/drawing/2014/chart" uri="{C3380CC4-5D6E-409C-BE32-E72D297353CC}">
                  <c16:uniqueId val="{0000000B-7B94-4547-A7A7-B06BC0EDB021}"/>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'11'!$K$24:$K$29</c:f>
              <c:strCache>
                <c:ptCount val="6"/>
                <c:pt idx="0">
                  <c:v>USD</c:v>
                </c:pt>
                <c:pt idx="1">
                  <c:v>EUR</c:v>
                </c:pt>
                <c:pt idx="2">
                  <c:v>GBP</c:v>
                </c:pt>
                <c:pt idx="3">
                  <c:v>JPY</c:v>
                </c:pt>
                <c:pt idx="4">
                  <c:v>CHY</c:v>
                </c:pt>
                <c:pt idx="5">
                  <c:v>BAM</c:v>
                </c:pt>
              </c:strCache>
            </c:strRef>
          </c:cat>
          <c:val>
            <c:numRef>
              <c:f>'11'!$L$24:$L$29</c:f>
              <c:numCache>
                <c:formatCode>#,##0.00</c:formatCode>
                <c:ptCount val="6"/>
                <c:pt idx="0">
                  <c:v>677139005.19185901</c:v>
                </c:pt>
                <c:pt idx="1">
                  <c:v>2056568989.7999938</c:v>
                </c:pt>
                <c:pt idx="2">
                  <c:v>55351894.246576719</c:v>
                </c:pt>
                <c:pt idx="3">
                  <c:v>70158074.379381418</c:v>
                </c:pt>
                <c:pt idx="4">
                  <c:v>91360384.589779839</c:v>
                </c:pt>
                <c:pt idx="5" formatCode="#,##0">
                  <c:v>370120585.37223822</c:v>
                </c:pt>
              </c:numCache>
            </c:numRef>
          </c:val>
          <c:extLst>
            <c:ext xmlns:c16="http://schemas.microsoft.com/office/drawing/2014/chart" uri="{C3380CC4-5D6E-409C-BE32-E72D297353CC}">
              <c16:uniqueId val="{0000000C-7B94-4547-A7A7-B06BC0EDB021}"/>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'13'!$O$28</c:f>
              <c:strCache>
                <c:ptCount val="1"/>
                <c:pt idx="0">
                  <c:v>Tрeзoрски зaписи</c:v>
                </c:pt>
              </c:strCache>
            </c:strRef>
          </c:tx>
          <c:spPr>
            <a:pattFill prst="wdUpDiag">
              <a:fgClr>
                <a:schemeClr val="accent1"/>
              </a:fgClr>
              <a:bgClr>
                <a:schemeClr val="bg1"/>
              </a:bgClr>
            </a:pattFill>
            <a:ln>
              <a:solidFill>
                <a:schemeClr val="accent1"/>
              </a:solidFill>
            </a:ln>
            <a:effectLst/>
          </c:spPr>
          <c:invertIfNegative val="0"/>
          <c:cat>
            <c:numRef>
              <c:f>'13'!$G$29:$G$38</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'13'!$O$29:$O$38</c:f>
              <c:numCache>
                <c:formatCode>General</c:formatCode>
                <c:ptCount val="10"/>
                <c:pt idx="0">
                  <c:v>50</c:v>
                </c:pt>
                <c:pt idx="1">
                  <c:v>100</c:v>
                </c:pt>
                <c:pt idx="2">
                  <c:v>100</c:v>
                </c:pt>
                <c:pt idx="3">
                  <c:v>120.8</c:v>
                </c:pt>
                <c:pt idx="4">
                  <c:v>100</c:v>
                </c:pt>
                <c:pt idx="5">
                  <c:v>40</c:v>
                </c:pt>
                <c:pt idx="6">
                  <c:v>20</c:v>
                </c:pt>
                <c:pt idx="7">
                  <c:v>100</c:v>
                </c:pt>
                <c:pt idx="8">
                  <c:v>50</c:v>
                </c:pt>
                <c:pt idx="9">
                  <c:v>50</c:v>
                </c:pt>
              </c:numCache>
            </c:numRef>
          </c:val>
          <c:extLst>
            <c:ext xmlns:c16="http://schemas.microsoft.com/office/drawing/2014/chart" uri="{C3380CC4-5D6E-409C-BE32-E72D297353CC}">
              <c16:uniqueId val="{00000000-3227-43CE-B2BC-E841C9E1FFE0}"/>
            </c:ext>
          </c:extLst>
        </c:ser>
        <c:ser>
          <c:idx val="1"/>
          <c:order val="1"/>
          <c:tx>
            <c:strRef>
              <c:f>'13'!$P$28</c:f>
              <c:strCache>
                <c:ptCount val="1"/>
                <c:pt idx="0">
                  <c:v>Tрeзoрскe oбвeзницe</c:v>
                </c:pt>
              </c:strCache>
            </c:strRef>
          </c:tx>
          <c:spPr>
            <a:noFill/>
            <a:ln>
              <a:solidFill>
                <a:schemeClr val="accent1"/>
              </a:solidFill>
            </a:ln>
            <a:effectLst/>
          </c:spPr>
          <c:invertIfNegative val="0"/>
          <c:cat>
            <c:numRef>
              <c:f>'13'!$G$29:$G$38</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'13'!$P$29:$P$38</c:f>
              <c:numCache>
                <c:formatCode>General</c:formatCode>
                <c:ptCount val="10"/>
                <c:pt idx="0">
                  <c:v>170</c:v>
                </c:pt>
                <c:pt idx="1">
                  <c:v>290</c:v>
                </c:pt>
                <c:pt idx="2">
                  <c:v>520</c:v>
                </c:pt>
                <c:pt idx="3">
                  <c:v>620</c:v>
                </c:pt>
                <c:pt idx="4">
                  <c:v>530</c:v>
                </c:pt>
                <c:pt idx="5">
                  <c:v>430</c:v>
                </c:pt>
                <c:pt idx="6">
                  <c:v>540</c:v>
                </c:pt>
                <c:pt idx="7">
                  <c:v>640</c:v>
                </c:pt>
                <c:pt idx="8">
                  <c:v>630</c:v>
                </c:pt>
                <c:pt idx="9">
                  <c:v>590</c:v>
                </c:pt>
              </c:numCache>
            </c:numRef>
          </c:val>
          <c:extLst>
            <c:ext xmlns:c16="http://schemas.microsoft.com/office/drawing/2014/chart" uri="{C3380CC4-5D6E-409C-BE32-E72D297353CC}">
              <c16:uniqueId val="{00000001-3227-43CE-B2BC-E841C9E1FFE0}"/>
            </c:ext>
          </c:extLst>
        </c:ser>
        <c:dLbls>
          <c:showLegendKey val="0"/>
          <c:showVal val="0"/>
          <c:showCatName val="0"/>
          <c:showSerName val="0"/>
          <c:showPercent val="0"/>
          <c:showBubbleSize val="0"/>
        </c:dLbls>
        <c:gapWidth val="150"/>
        <c:overlap val="100"/>
        <c:axId val="219402176"/>
        <c:axId val="219402568"/>
      </c:barChart>
      <c:catAx>
        <c:axId val="21940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402568"/>
        <c:crosses val="autoZero"/>
        <c:auto val="1"/>
        <c:lblAlgn val="ctr"/>
        <c:lblOffset val="100"/>
        <c:noMultiLvlLbl val="0"/>
      </c:catAx>
      <c:valAx>
        <c:axId val="219402568"/>
        <c:scaling>
          <c:orientation val="minMax"/>
          <c:max val="8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40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911491450492489"/>
          <c:y val="0.16368130858519822"/>
          <c:w val="0.7897171282394938"/>
          <c:h val="0.62972820705104171"/>
        </c:manualLayout>
      </c:layout>
      <c:scatterChart>
        <c:scatterStyle val="lineMarker"/>
        <c:varyColors val="0"/>
        <c:ser>
          <c:idx val="0"/>
          <c:order val="0"/>
          <c:tx>
            <c:strRef>
              <c:f>Tables!$C$192</c:f>
              <c:strCache>
                <c:ptCount val="1"/>
                <c:pt idx="0">
                  <c:v>S1</c:v>
                </c:pt>
              </c:strCache>
            </c:strRef>
          </c:tx>
          <c:spPr>
            <a:ln w="25400">
              <a:noFill/>
            </a:ln>
            <a:effectLst/>
          </c:spPr>
          <c:marker>
            <c:symbol val="circle"/>
            <c:size val="5"/>
            <c:spPr>
              <a:solidFill>
                <a:srgbClr val="4B8CAD"/>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Tables!$C$198</c:f>
              <c:numCache>
                <c:formatCode>0.0000_);[Red]\(0.0000\)</c:formatCode>
                <c:ptCount val="1"/>
                <c:pt idx="0">
                  <c:v>0.25945882042793955</c:v>
                </c:pt>
              </c:numCache>
            </c:numRef>
          </c:xVal>
          <c:yVal>
            <c:numRef>
              <c:f>Tables!$C$193</c:f>
              <c:numCache>
                <c:formatCode>0.0000_);[Red]\(0.0000\)</c:formatCode>
                <c:ptCount val="1"/>
                <c:pt idx="0">
                  <c:v>0.40549621884255083</c:v>
                </c:pt>
              </c:numCache>
            </c:numRef>
          </c:yVal>
          <c:smooth val="0"/>
          <c:extLst>
            <c:ext xmlns:c16="http://schemas.microsoft.com/office/drawing/2014/chart" uri="{C3380CC4-5D6E-409C-BE32-E72D297353CC}">
              <c16:uniqueId val="{00000000-93E3-4325-A0E7-BA8B2AC4EDB0}"/>
            </c:ext>
          </c:extLst>
        </c:ser>
        <c:ser>
          <c:idx val="1"/>
          <c:order val="1"/>
          <c:tx>
            <c:strRef>
              <c:f>Tables!$D$192</c:f>
              <c:strCache>
                <c:ptCount val="1"/>
                <c:pt idx="0">
                  <c:v>S2</c:v>
                </c:pt>
              </c:strCache>
            </c:strRef>
          </c:tx>
          <c:spPr>
            <a:ln w="25400">
              <a:noFill/>
            </a:ln>
            <a:effectLst/>
          </c:spPr>
          <c:marker>
            <c:symbol val="diamond"/>
            <c:size val="5"/>
            <c:spPr>
              <a:solidFill>
                <a:srgbClr val="C00000"/>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Tables!$D$198</c:f>
              <c:numCache>
                <c:formatCode>0.0000_);[Red]\(0.0000\)</c:formatCode>
                <c:ptCount val="1"/>
                <c:pt idx="0">
                  <c:v>0.26448259386291267</c:v>
                </c:pt>
              </c:numCache>
            </c:numRef>
          </c:xVal>
          <c:yVal>
            <c:numRef>
              <c:f>Tables!$D$193</c:f>
              <c:numCache>
                <c:formatCode>0.0000_);[Red]\(0.0000\)</c:formatCode>
                <c:ptCount val="1"/>
                <c:pt idx="0">
                  <c:v>0.4019342222657511</c:v>
                </c:pt>
              </c:numCache>
            </c:numRef>
          </c:yVal>
          <c:smooth val="0"/>
          <c:extLst>
            <c:ext xmlns:c16="http://schemas.microsoft.com/office/drawing/2014/chart" uri="{C3380CC4-5D6E-409C-BE32-E72D297353CC}">
              <c16:uniqueId val="{00000001-93E3-4325-A0E7-BA8B2AC4EDB0}"/>
            </c:ext>
          </c:extLst>
        </c:ser>
        <c:ser>
          <c:idx val="3"/>
          <c:order val="2"/>
          <c:tx>
            <c:strRef>
              <c:f>Tables!$E$192</c:f>
              <c:strCache>
                <c:ptCount val="1"/>
                <c:pt idx="0">
                  <c:v>S3</c:v>
                </c:pt>
              </c:strCache>
            </c:strRef>
          </c:tx>
          <c:spPr>
            <a:ln w="25400">
              <a:noFill/>
            </a:ln>
            <a:effectLst/>
          </c:spPr>
          <c:marker>
            <c:symbol val="square"/>
            <c:size val="5"/>
            <c:spPr>
              <a:solidFill>
                <a:srgbClr val="231F20"/>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Tables!$E$198</c:f>
              <c:numCache>
                <c:formatCode>0.0000_);[Red]\(0.0000\)</c:formatCode>
                <c:ptCount val="1"/>
                <c:pt idx="0">
                  <c:v>0.25683455525034149</c:v>
                </c:pt>
              </c:numCache>
            </c:numRef>
          </c:xVal>
          <c:yVal>
            <c:numRef>
              <c:f>Tables!$E$193</c:f>
              <c:numCache>
                <c:formatCode>0.0000_);[Red]\(0.0000\)</c:formatCode>
                <c:ptCount val="1"/>
                <c:pt idx="0">
                  <c:v>0.40544654320070017</c:v>
                </c:pt>
              </c:numCache>
            </c:numRef>
          </c:yVal>
          <c:smooth val="0"/>
          <c:extLst>
            <c:ext xmlns:c16="http://schemas.microsoft.com/office/drawing/2014/chart" uri="{C3380CC4-5D6E-409C-BE32-E72D297353CC}">
              <c16:uniqueId val="{00000002-93E3-4325-A0E7-BA8B2AC4EDB0}"/>
            </c:ext>
          </c:extLst>
        </c:ser>
        <c:ser>
          <c:idx val="2"/>
          <c:order val="3"/>
          <c:tx>
            <c:strRef>
              <c:f>Tables!$F$192</c:f>
              <c:strCache>
                <c:ptCount val="1"/>
                <c:pt idx="0">
                  <c:v>S4</c:v>
                </c:pt>
              </c:strCache>
            </c:strRef>
          </c:tx>
          <c:spPr>
            <a:ln w="25400">
              <a:noFill/>
            </a:ln>
            <a:effectLst/>
          </c:spPr>
          <c:marker>
            <c:symbol val="triangle"/>
            <c:size val="5"/>
            <c:spPr>
              <a:solidFill>
                <a:srgbClr val="96BA79"/>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Tables!$F$198</c:f>
              <c:numCache>
                <c:formatCode>0.0000_);[Red]\(0.0000\)</c:formatCode>
                <c:ptCount val="1"/>
                <c:pt idx="0">
                  <c:v>0.25497695858871777</c:v>
                </c:pt>
              </c:numCache>
            </c:numRef>
          </c:xVal>
          <c:yVal>
            <c:numRef>
              <c:f>Tables!$F$193</c:f>
              <c:numCache>
                <c:formatCode>0.0000_);[Red]\(0.0000\)</c:formatCode>
                <c:ptCount val="1"/>
                <c:pt idx="0">
                  <c:v>0.46837082041461481</c:v>
                </c:pt>
              </c:numCache>
            </c:numRef>
          </c:yVal>
          <c:smooth val="0"/>
          <c:extLst>
            <c:ext xmlns:c16="http://schemas.microsoft.com/office/drawing/2014/chart" uri="{C3380CC4-5D6E-409C-BE32-E72D297353CC}">
              <c16:uniqueId val="{00000003-93E3-4325-A0E7-BA8B2AC4EDB0}"/>
            </c:ext>
          </c:extLst>
        </c:ser>
        <c:dLbls>
          <c:showLegendKey val="0"/>
          <c:showVal val="0"/>
          <c:showCatName val="0"/>
          <c:showSerName val="0"/>
          <c:showPercent val="0"/>
          <c:showBubbleSize val="0"/>
        </c:dLbls>
        <c:axId val="128713456"/>
        <c:axId val="128713848"/>
      </c:scatterChart>
      <c:valAx>
        <c:axId val="128713456"/>
        <c:scaling>
          <c:orientation val="minMax"/>
        </c:scaling>
        <c:delete val="0"/>
        <c:axPos val="b"/>
        <c:title>
          <c:tx>
            <c:rich>
              <a:bodyPr/>
              <a:lstStyle/>
              <a:p>
                <a:pPr>
                  <a:defRPr sz="1000" b="1" i="0" u="none" strike="noStrike" baseline="0">
                    <a:solidFill>
                      <a:srgbClr val="000000"/>
                    </a:solidFill>
                    <a:latin typeface="Arial Narrow" pitchFamily="34" charset="0"/>
                    <a:ea typeface="Calibri"/>
                    <a:cs typeface="Calibri"/>
                  </a:defRPr>
                </a:pPr>
                <a:r>
                  <a:rPr lang="en-US" b="0">
                    <a:latin typeface="Arial Narrow" pitchFamily="34" charset="0"/>
                  </a:rPr>
                  <a:t>Risk </a:t>
                </a:r>
              </a:p>
            </c:rich>
          </c:tx>
          <c:layout>
            <c:manualLayout>
              <c:xMode val="edge"/>
              <c:yMode val="edge"/>
              <c:x val="0.48434458278527748"/>
              <c:y val="0.90543782027246456"/>
            </c:manualLayout>
          </c:layout>
          <c:overlay val="0"/>
        </c:title>
        <c:numFmt formatCode="#,##0.0" sourceLinked="0"/>
        <c:majorTickMark val="in"/>
        <c:minorTickMark val="none"/>
        <c:tickLblPos val="nextTo"/>
        <c:spPr>
          <a:ln w="3175">
            <a:solidFill>
              <a:srgbClr val="B3B3B3"/>
            </a:solidFill>
            <a:prstDash val="solid"/>
          </a:ln>
        </c:spPr>
        <c:txPr>
          <a:bodyPr rot="0" vert="horz"/>
          <a:lstStyle/>
          <a:p>
            <a:pPr>
              <a:defRPr sz="1100" b="0" i="0" u="none" strike="noStrike" baseline="0">
                <a:solidFill>
                  <a:srgbClr val="000000"/>
                </a:solidFill>
                <a:latin typeface="Segoe UI"/>
                <a:ea typeface="Segoe UI"/>
                <a:cs typeface="Segoe UI"/>
              </a:defRPr>
            </a:pPr>
            <a:endParaRPr lang="en-US"/>
          </a:p>
        </c:txPr>
        <c:crossAx val="128713848"/>
        <c:crosses val="autoZero"/>
        <c:crossBetween val="midCat"/>
      </c:valAx>
      <c:valAx>
        <c:axId val="128713848"/>
        <c:scaling>
          <c:orientation val="minMax"/>
        </c:scaling>
        <c:delete val="0"/>
        <c:axPos val="l"/>
        <c:title>
          <c:tx>
            <c:rich>
              <a:bodyPr/>
              <a:lstStyle/>
              <a:p>
                <a:pPr>
                  <a:defRPr sz="1050" b="1" i="0" u="none" strike="noStrike" baseline="0">
                    <a:solidFill>
                      <a:srgbClr val="000000"/>
                    </a:solidFill>
                    <a:latin typeface="Calibri"/>
                    <a:ea typeface="Calibri"/>
                    <a:cs typeface="Calibri"/>
                  </a:defRPr>
                </a:pPr>
                <a:r>
                  <a:rPr lang="en-US" b="0"/>
                  <a:t>Cost</a:t>
                </a:r>
              </a:p>
            </c:rich>
          </c:tx>
          <c:layout>
            <c:manualLayout>
              <c:xMode val="edge"/>
              <c:yMode val="edge"/>
              <c:x val="3.2442626593872652E-3"/>
              <c:y val="0.39230262883806438"/>
            </c:manualLayout>
          </c:layout>
          <c:overlay val="0"/>
        </c:title>
        <c:numFmt formatCode="#,##0.0" sourceLinked="0"/>
        <c:majorTickMark val="in"/>
        <c:minorTickMark val="none"/>
        <c:tickLblPos val="nextTo"/>
        <c:spPr>
          <a:ln w="3175">
            <a:solidFill>
              <a:srgbClr val="B3B3B3"/>
            </a:solidFill>
            <a:prstDash val="solid"/>
          </a:ln>
        </c:spPr>
        <c:txPr>
          <a:bodyPr rot="0" vert="horz"/>
          <a:lstStyle/>
          <a:p>
            <a:pPr>
              <a:defRPr sz="1000" b="0" i="0" u="none" strike="noStrike" baseline="0">
                <a:solidFill>
                  <a:srgbClr val="000000"/>
                </a:solidFill>
                <a:latin typeface="Segoe UI"/>
                <a:ea typeface="Segoe UI"/>
                <a:cs typeface="Segoe UI"/>
              </a:defRPr>
            </a:pPr>
            <a:endParaRPr lang="en-US"/>
          </a:p>
        </c:txPr>
        <c:crossAx val="128713456"/>
        <c:crossesAt val="0"/>
        <c:crossBetween val="midCat"/>
      </c:valAx>
      <c:spPr>
        <a:solidFill>
          <a:srgbClr val="FFFFFF"/>
        </a:solidFill>
        <a:ln w="3175">
          <a:solidFill>
            <a:srgbClr val="B3B3B3"/>
          </a:solidFill>
          <a:prstDash val="solid"/>
        </a:ln>
      </c:spPr>
    </c:plotArea>
    <c:plotVisOnly val="1"/>
    <c:dispBlanksAs val="gap"/>
    <c:showDLblsOverMax val="0"/>
  </c:chart>
  <c:spPr>
    <a:ln w="9525">
      <a:solidFill>
        <a:srgbClr val="B3B3B3"/>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063168196602084"/>
          <c:y val="0.17469025462726281"/>
          <c:w val="0.75911161665297477"/>
          <c:h val="0.64313978934451455"/>
        </c:manualLayout>
      </c:layout>
      <c:scatterChart>
        <c:scatterStyle val="lineMarker"/>
        <c:varyColors val="0"/>
        <c:ser>
          <c:idx val="0"/>
          <c:order val="0"/>
          <c:tx>
            <c:strRef>
              <c:f>Tables!$C$181</c:f>
              <c:strCache>
                <c:ptCount val="1"/>
                <c:pt idx="0">
                  <c:v>S1</c:v>
                </c:pt>
              </c:strCache>
            </c:strRef>
          </c:tx>
          <c:spPr>
            <a:ln w="25400">
              <a:noFill/>
            </a:ln>
            <a:effectLst/>
          </c:spPr>
          <c:marker>
            <c:symbol val="circle"/>
            <c:size val="5"/>
            <c:spPr>
              <a:solidFill>
                <a:srgbClr val="4B8CAD"/>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Tables!$C$187</c:f>
              <c:numCache>
                <c:formatCode>0.0000_);[Red]\(0.0000\)</c:formatCode>
                <c:ptCount val="1"/>
                <c:pt idx="0">
                  <c:v>3.8181972300488702</c:v>
                </c:pt>
              </c:numCache>
            </c:numRef>
          </c:xVal>
          <c:yVal>
            <c:numRef>
              <c:f>Tables!$C$182</c:f>
              <c:numCache>
                <c:formatCode>0.0000_);[Red]\(0.0000\)</c:formatCode>
                <c:ptCount val="1"/>
                <c:pt idx="0">
                  <c:v>15.934552266706856</c:v>
                </c:pt>
              </c:numCache>
            </c:numRef>
          </c:yVal>
          <c:smooth val="0"/>
          <c:extLst>
            <c:ext xmlns:c16="http://schemas.microsoft.com/office/drawing/2014/chart" uri="{C3380CC4-5D6E-409C-BE32-E72D297353CC}">
              <c16:uniqueId val="{00000000-3C68-4966-8995-CF5DD2D65CA5}"/>
            </c:ext>
          </c:extLst>
        </c:ser>
        <c:ser>
          <c:idx val="1"/>
          <c:order val="1"/>
          <c:tx>
            <c:strRef>
              <c:f>Tables!$D$181</c:f>
              <c:strCache>
                <c:ptCount val="1"/>
                <c:pt idx="0">
                  <c:v>S2</c:v>
                </c:pt>
              </c:strCache>
            </c:strRef>
          </c:tx>
          <c:spPr>
            <a:ln w="25400">
              <a:noFill/>
            </a:ln>
            <a:effectLst/>
          </c:spPr>
          <c:marker>
            <c:symbol val="diamond"/>
            <c:size val="5"/>
            <c:spPr>
              <a:solidFill>
                <a:srgbClr val="C00000"/>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Tables!$D$187</c:f>
              <c:numCache>
                <c:formatCode>0.0000_);[Red]\(0.0000\)</c:formatCode>
                <c:ptCount val="1"/>
                <c:pt idx="0">
                  <c:v>3.8170456652171296</c:v>
                </c:pt>
              </c:numCache>
            </c:numRef>
          </c:xVal>
          <c:yVal>
            <c:numRef>
              <c:f>Tables!$D$182</c:f>
              <c:numCache>
                <c:formatCode>0.0000_);[Red]\(0.0000\)</c:formatCode>
                <c:ptCount val="1"/>
                <c:pt idx="0">
                  <c:v>15.929879112629699</c:v>
                </c:pt>
              </c:numCache>
            </c:numRef>
          </c:yVal>
          <c:smooth val="0"/>
          <c:extLst>
            <c:ext xmlns:c16="http://schemas.microsoft.com/office/drawing/2014/chart" uri="{C3380CC4-5D6E-409C-BE32-E72D297353CC}">
              <c16:uniqueId val="{00000001-3C68-4966-8995-CF5DD2D65CA5}"/>
            </c:ext>
          </c:extLst>
        </c:ser>
        <c:ser>
          <c:idx val="3"/>
          <c:order val="2"/>
          <c:tx>
            <c:strRef>
              <c:f>Tables!$E$181</c:f>
              <c:strCache>
                <c:ptCount val="1"/>
                <c:pt idx="0">
                  <c:v>S3</c:v>
                </c:pt>
              </c:strCache>
            </c:strRef>
          </c:tx>
          <c:spPr>
            <a:ln w="25400">
              <a:noFill/>
            </a:ln>
            <a:effectLst/>
          </c:spPr>
          <c:marker>
            <c:symbol val="square"/>
            <c:size val="5"/>
            <c:spPr>
              <a:solidFill>
                <a:srgbClr val="231F20"/>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Tables!$E$187</c:f>
              <c:numCache>
                <c:formatCode>0.0000_);[Red]\(0.0000\)</c:formatCode>
                <c:ptCount val="1"/>
                <c:pt idx="0">
                  <c:v>3.8181195256380462</c:v>
                </c:pt>
              </c:numCache>
            </c:numRef>
          </c:xVal>
          <c:yVal>
            <c:numRef>
              <c:f>Tables!$E$182</c:f>
              <c:numCache>
                <c:formatCode>0.0000_);[Red]\(0.0000\)</c:formatCode>
                <c:ptCount val="1"/>
                <c:pt idx="0">
                  <c:v>15.934330775971056</c:v>
                </c:pt>
              </c:numCache>
            </c:numRef>
          </c:yVal>
          <c:smooth val="0"/>
          <c:extLst>
            <c:ext xmlns:c16="http://schemas.microsoft.com/office/drawing/2014/chart" uri="{C3380CC4-5D6E-409C-BE32-E72D297353CC}">
              <c16:uniqueId val="{00000002-3C68-4966-8995-CF5DD2D65CA5}"/>
            </c:ext>
          </c:extLst>
        </c:ser>
        <c:ser>
          <c:idx val="2"/>
          <c:order val="3"/>
          <c:tx>
            <c:strRef>
              <c:f>Tables!$F$181</c:f>
              <c:strCache>
                <c:ptCount val="1"/>
                <c:pt idx="0">
                  <c:v>S4</c:v>
                </c:pt>
              </c:strCache>
            </c:strRef>
          </c:tx>
          <c:spPr>
            <a:ln w="25400">
              <a:noFill/>
            </a:ln>
            <a:effectLst/>
          </c:spPr>
          <c:marker>
            <c:symbol val="triangle"/>
            <c:size val="5"/>
            <c:spPr>
              <a:solidFill>
                <a:srgbClr val="96BA79"/>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Tables!$F$187</c:f>
              <c:numCache>
                <c:formatCode>0.0000_);[Red]\(0.0000\)</c:formatCode>
                <c:ptCount val="1"/>
                <c:pt idx="0">
                  <c:v>4.177181975448498</c:v>
                </c:pt>
              </c:numCache>
            </c:numRef>
          </c:xVal>
          <c:yVal>
            <c:numRef>
              <c:f>Tables!$F$182</c:f>
              <c:numCache>
                <c:formatCode>0.0000_);[Red]\(0.0000\)</c:formatCode>
                <c:ptCount val="1"/>
                <c:pt idx="0">
                  <c:v>16.037872026483019</c:v>
                </c:pt>
              </c:numCache>
            </c:numRef>
          </c:yVal>
          <c:smooth val="0"/>
          <c:extLst>
            <c:ext xmlns:c16="http://schemas.microsoft.com/office/drawing/2014/chart" uri="{C3380CC4-5D6E-409C-BE32-E72D297353CC}">
              <c16:uniqueId val="{00000003-3C68-4966-8995-CF5DD2D65CA5}"/>
            </c:ext>
          </c:extLst>
        </c:ser>
        <c:dLbls>
          <c:showLegendKey val="0"/>
          <c:showVal val="0"/>
          <c:showCatName val="0"/>
          <c:showSerName val="0"/>
          <c:showPercent val="0"/>
          <c:showBubbleSize val="0"/>
        </c:dLbls>
        <c:axId val="549191160"/>
        <c:axId val="549188024"/>
      </c:scatterChart>
      <c:valAx>
        <c:axId val="549191160"/>
        <c:scaling>
          <c:orientation val="minMax"/>
          <c:min val="3"/>
        </c:scaling>
        <c:delete val="0"/>
        <c:axPos val="b"/>
        <c:title>
          <c:tx>
            <c:rich>
              <a:bodyPr/>
              <a:lstStyle/>
              <a:p>
                <a:pPr>
                  <a:defRPr sz="1000" b="1" i="0" u="none" strike="noStrike" baseline="0">
                    <a:solidFill>
                      <a:srgbClr val="000000"/>
                    </a:solidFill>
                    <a:latin typeface="Segoe UI" panose="020B0502040204020203" pitchFamily="34" charset="0"/>
                    <a:ea typeface="Segoe UI" panose="020B0502040204020203" pitchFamily="34" charset="0"/>
                    <a:cs typeface="Segoe UI" panose="020B0502040204020203" pitchFamily="34" charset="0"/>
                  </a:defRPr>
                </a:pPr>
                <a:r>
                  <a:rPr lang="en-US" b="0">
                    <a:latin typeface="Segoe UI" panose="020B0502040204020203" pitchFamily="34" charset="0"/>
                    <a:ea typeface="Segoe UI" panose="020B0502040204020203" pitchFamily="34" charset="0"/>
                    <a:cs typeface="Segoe UI" panose="020B0502040204020203" pitchFamily="34" charset="0"/>
                  </a:rPr>
                  <a:t>Risk </a:t>
                </a:r>
              </a:p>
            </c:rich>
          </c:tx>
          <c:layout>
            <c:manualLayout>
              <c:xMode val="edge"/>
              <c:yMode val="edge"/>
              <c:x val="0.48434458278527687"/>
              <c:y val="0.90543782027246456"/>
            </c:manualLayout>
          </c:layout>
          <c:overlay val="0"/>
        </c:title>
        <c:numFmt formatCode="#,##0.0" sourceLinked="0"/>
        <c:majorTickMark val="in"/>
        <c:minorTickMark val="none"/>
        <c:tickLblPos val="nextTo"/>
        <c:spPr>
          <a:ln w="3175">
            <a:solidFill>
              <a:srgbClr val="B3B3B3"/>
            </a:solidFill>
            <a:prstDash val="solid"/>
          </a:ln>
        </c:spPr>
        <c:txPr>
          <a:bodyPr rot="0" vert="horz"/>
          <a:lstStyle/>
          <a:p>
            <a:pPr>
              <a:defRPr sz="950" b="0" i="0" u="none" strike="noStrike" baseline="0">
                <a:solidFill>
                  <a:srgbClr val="000000"/>
                </a:solidFill>
                <a:latin typeface="Segoe UI"/>
                <a:ea typeface="Segoe UI"/>
                <a:cs typeface="Segoe UI"/>
              </a:defRPr>
            </a:pPr>
            <a:endParaRPr lang="en-US"/>
          </a:p>
        </c:txPr>
        <c:crossAx val="549188024"/>
        <c:crosses val="autoZero"/>
        <c:crossBetween val="midCat"/>
      </c:valAx>
      <c:valAx>
        <c:axId val="549188024"/>
        <c:scaling>
          <c:orientation val="minMax"/>
        </c:scaling>
        <c:delete val="0"/>
        <c:axPos val="l"/>
        <c:title>
          <c:tx>
            <c:rich>
              <a:bodyPr/>
              <a:lstStyle/>
              <a:p>
                <a:pPr>
                  <a:defRPr sz="1050" b="1" i="0" u="none" strike="noStrike" baseline="0">
                    <a:solidFill>
                      <a:srgbClr val="000000"/>
                    </a:solidFill>
                    <a:latin typeface="Segoe UI" panose="020B0502040204020203" pitchFamily="34" charset="0"/>
                    <a:ea typeface="Segoe UI" panose="020B0502040204020203" pitchFamily="34" charset="0"/>
                    <a:cs typeface="Segoe UI" panose="020B0502040204020203" pitchFamily="34" charset="0"/>
                  </a:defRPr>
                </a:pPr>
                <a:r>
                  <a:rPr lang="en-US" b="0">
                    <a:latin typeface="Segoe UI" panose="020B0502040204020203" pitchFamily="34" charset="0"/>
                    <a:ea typeface="Segoe UI" panose="020B0502040204020203" pitchFamily="34" charset="0"/>
                    <a:cs typeface="Segoe UI" panose="020B0502040204020203" pitchFamily="34" charset="0"/>
                  </a:rPr>
                  <a:t>Cost</a:t>
                </a:r>
              </a:p>
            </c:rich>
          </c:tx>
          <c:layout>
            <c:manualLayout>
              <c:xMode val="edge"/>
              <c:yMode val="edge"/>
              <c:x val="3.2442626593872652E-3"/>
              <c:y val="0.39230262883806355"/>
            </c:manualLayout>
          </c:layout>
          <c:overlay val="0"/>
        </c:title>
        <c:numFmt formatCode="#,##0.0" sourceLinked="0"/>
        <c:majorTickMark val="in"/>
        <c:minorTickMark val="none"/>
        <c:tickLblPos val="nextTo"/>
        <c:spPr>
          <a:ln w="3175">
            <a:solidFill>
              <a:srgbClr val="B3B3B3"/>
            </a:solidFill>
            <a:prstDash val="solid"/>
          </a:ln>
        </c:spPr>
        <c:txPr>
          <a:bodyPr rot="0" vert="horz"/>
          <a:lstStyle/>
          <a:p>
            <a:pPr>
              <a:defRPr sz="950" b="0" i="0" u="none" strike="noStrike" baseline="0">
                <a:solidFill>
                  <a:srgbClr val="000000"/>
                </a:solidFill>
                <a:latin typeface="Segoe UI" panose="020B0502040204020203" pitchFamily="34" charset="0"/>
                <a:ea typeface="Segoe UI" panose="020B0502040204020203" pitchFamily="34" charset="0"/>
                <a:cs typeface="Segoe UI" panose="020B0502040204020203" pitchFamily="34" charset="0"/>
              </a:defRPr>
            </a:pPr>
            <a:endParaRPr lang="en-US"/>
          </a:p>
        </c:txPr>
        <c:crossAx val="549191160"/>
        <c:crossesAt val="0"/>
        <c:crossBetween val="midCat"/>
      </c:valAx>
      <c:spPr>
        <a:solidFill>
          <a:srgbClr val="FFFFFF"/>
        </a:solidFill>
        <a:ln w="3175">
          <a:solidFill>
            <a:srgbClr val="B3B3B3"/>
          </a:solidFill>
          <a:prstDash val="solid"/>
        </a:ln>
      </c:spPr>
    </c:plotArea>
    <c:plotVisOnly val="1"/>
    <c:dispBlanksAs val="gap"/>
    <c:showDLblsOverMax val="0"/>
  </c:chart>
  <c:spPr>
    <a:ln w="9525">
      <a:solidFill>
        <a:srgbClr val="B3B3B3"/>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0.01014</cdr:x>
      <cdr:y>0.00851</cdr:y>
    </cdr:from>
    <cdr:to>
      <cdr:x>0.07633</cdr:x>
      <cdr:y>0.11617</cdr:y>
    </cdr:to>
    <cdr:sp macro="" textlink="">
      <cdr:nvSpPr>
        <cdr:cNvPr id="2" name="TextBox 1">
          <a:extLst xmlns:a="http://schemas.openxmlformats.org/drawingml/2006/main">
            <a:ext uri="{FF2B5EF4-FFF2-40B4-BE49-F238E27FC236}">
              <a16:creationId xmlns:a16="http://schemas.microsoft.com/office/drawing/2014/main" id="{CB6506F7-655E-4158-842D-84423CD0F672}"/>
            </a:ext>
          </a:extLst>
        </cdr:cNvPr>
        <cdr:cNvSpPr txBox="1"/>
      </cdr:nvSpPr>
      <cdr:spPr>
        <a:xfrm xmlns:a="http://schemas.openxmlformats.org/drawingml/2006/main">
          <a:off x="59013" y="22129"/>
          <a:ext cx="385234" cy="279948"/>
        </a:xfrm>
        <a:prstGeom xmlns:a="http://schemas.openxmlformats.org/drawingml/2006/main" prst="rect">
          <a:avLst/>
        </a:prstGeom>
      </cdr:spPr>
      <cdr:txBody>
        <a:bodyPr xmlns:a="http://schemas.openxmlformats.org/drawingml/2006/main" vertOverflow="clip" wrap="none" rtlCol="0">
          <a:spAutoFit/>
        </a:bodyPr>
        <a:lstStyle xmlns:a="http://schemas.openxmlformats.org/drawingml/2006/main"/>
        <a:p xmlns:a="http://schemas.openxmlformats.org/drawingml/2006/main">
          <a:r>
            <a:rPr lang="en-US" sz="1100" b="0">
              <a:solidFill>
                <a:srgbClr val="4B82AD"/>
              </a:solidFill>
              <a:latin typeface="Segoe UI" panose="020B0502040204020203" pitchFamily="34" charset="0"/>
            </a:rPr>
            <a:t>(</a:t>
          </a:r>
          <a:r>
            <a:rPr lang="bs-Latn-BA" sz="1100" b="0" baseline="0">
              <a:solidFill>
                <a:srgbClr val="4B82AD"/>
              </a:solidFill>
              <a:latin typeface="Segoe UI" panose="020B0502040204020203" pitchFamily="34" charset="0"/>
            </a:rPr>
            <a:t>%</a:t>
          </a:r>
          <a:r>
            <a:rPr lang="en-US" sz="1100" b="0" baseline="0">
              <a:solidFill>
                <a:srgbClr val="4B82AD"/>
              </a:solidFill>
              <a:latin typeface="Segoe UI" panose="020B0502040204020203" pitchFamily="34" charset="0"/>
            </a:rPr>
            <a:t>)</a:t>
          </a:r>
          <a:endParaRPr lang="en-US" sz="1100" b="0">
            <a:solidFill>
              <a:srgbClr val="4B82AD"/>
            </a:solidFill>
            <a:latin typeface="Segoe UI" panose="020B0502040204020203"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0.01604</cdr:x>
      <cdr:y>0</cdr:y>
    </cdr:from>
    <cdr:to>
      <cdr:x>0.08356</cdr:x>
      <cdr:y>0.1061</cdr:y>
    </cdr:to>
    <cdr:sp macro="" textlink="">
      <cdr:nvSpPr>
        <cdr:cNvPr id="2" name="TextBox 1">
          <a:extLst xmlns:a="http://schemas.openxmlformats.org/drawingml/2006/main">
            <a:ext uri="{FF2B5EF4-FFF2-40B4-BE49-F238E27FC236}">
              <a16:creationId xmlns:a16="http://schemas.microsoft.com/office/drawing/2014/main" id="{C5CD35B2-0EB9-49C9-B347-212315F43E9D}"/>
            </a:ext>
          </a:extLst>
        </cdr:cNvPr>
        <cdr:cNvSpPr txBox="1"/>
      </cdr:nvSpPr>
      <cdr:spPr>
        <a:xfrm xmlns:a="http://schemas.openxmlformats.org/drawingml/2006/main">
          <a:off x="91516" y="0"/>
          <a:ext cx="385234" cy="279948"/>
        </a:xfrm>
        <a:prstGeom xmlns:a="http://schemas.openxmlformats.org/drawingml/2006/main" prst="rect">
          <a:avLst/>
        </a:prstGeom>
      </cdr:spPr>
      <cdr:txBody>
        <a:bodyPr xmlns:a="http://schemas.openxmlformats.org/drawingml/2006/main" vertOverflow="clip" wrap="none" rtlCol="0">
          <a:spAutoFit/>
        </a:bodyPr>
        <a:lstStyle xmlns:a="http://schemas.openxmlformats.org/drawingml/2006/main"/>
        <a:p xmlns:a="http://schemas.openxmlformats.org/drawingml/2006/main">
          <a:r>
            <a:rPr lang="en-US" sz="1100" b="0">
              <a:solidFill>
                <a:srgbClr val="4B82AD"/>
              </a:solidFill>
              <a:latin typeface="Segoe UI" panose="020B0502040204020203" pitchFamily="34" charset="0"/>
            </a:rPr>
            <a:t>(</a:t>
          </a:r>
          <a:r>
            <a:rPr lang="bs-Latn-BA" sz="1100" b="0" baseline="0">
              <a:solidFill>
                <a:srgbClr val="4B82AD"/>
              </a:solidFill>
              <a:latin typeface="Segoe UI" panose="020B0502040204020203" pitchFamily="34" charset="0"/>
            </a:rPr>
            <a:t>%</a:t>
          </a:r>
          <a:r>
            <a:rPr lang="en-US" sz="1100" b="0" baseline="0">
              <a:solidFill>
                <a:srgbClr val="4B82AD"/>
              </a:solidFill>
              <a:latin typeface="Segoe UI" panose="020B0502040204020203" pitchFamily="34" charset="0"/>
            </a:rPr>
            <a:t>)</a:t>
          </a:r>
          <a:endParaRPr lang="en-US" sz="1100" b="0">
            <a:solidFill>
              <a:srgbClr val="4B82AD"/>
            </a:solidFill>
            <a:latin typeface="Segoe UI" panose="020B0502040204020203"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3B9A3-FD7A-447B-8CAF-9CA400CE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5799</Words>
  <Characters>33058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raguz</dc:creator>
  <cp:keywords/>
  <dc:description/>
  <cp:lastModifiedBy>Igor Ljubas</cp:lastModifiedBy>
  <cp:revision>22</cp:revision>
  <cp:lastPrinted>2023-11-03T12:28:00Z</cp:lastPrinted>
  <dcterms:created xsi:type="dcterms:W3CDTF">2023-10-31T07:31:00Z</dcterms:created>
  <dcterms:modified xsi:type="dcterms:W3CDTF">2023-11-03T12:54:00Z</dcterms:modified>
</cp:coreProperties>
</file>