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hAnsi="Arial" w:cs="Arial"/>
          <w:b/>
          <w:bCs/>
          <w:color w:val="FF0000"/>
          <w:sz w:val="24"/>
          <w:szCs w:val="24"/>
        </w:rPr>
        <w:id w:val="1151784487"/>
        <w:docPartObj>
          <w:docPartGallery w:val="Cover Pages"/>
          <w:docPartUnique/>
        </w:docPartObj>
      </w:sdtPr>
      <w:sdtContent>
        <w:p w:rsidR="00E22AE7" w:rsidRDefault="00E22AE7">
          <w:pPr>
            <w:rPr>
              <w:rFonts w:ascii="Arial" w:hAnsi="Arial" w:cs="Arial"/>
              <w:color w:val="FF0000"/>
              <w:sz w:val="24"/>
              <w:szCs w:val="24"/>
            </w:rPr>
          </w:pPr>
          <w:r w:rsidRPr="00E22AE7">
            <w:rPr>
              <w:rFonts w:ascii="Arial" w:hAnsi="Arial" w:cs="Arial"/>
              <w:b/>
              <w:bCs/>
              <w:noProof/>
              <w:color w:val="FF0000"/>
              <w:sz w:val="24"/>
              <w:szCs w:val="24"/>
              <w:lang w:val="bs-Latn-BA"/>
            </w:rPr>
            <mc:AlternateContent>
              <mc:Choice Requires="wpg">
                <w:drawing>
                  <wp:anchor distT="0" distB="0" distL="114300" distR="114300" simplePos="0" relativeHeight="251677696" behindDoc="0" locked="0" layoutInCell="0" allowOverlap="1" wp14:anchorId="7D2FF402" wp14:editId="33B0E0B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2350" cy="9544050"/>
                    <wp:effectExtent l="0" t="0" r="18415" b="15240"/>
                    <wp:wrapNone/>
                    <wp:docPr id="370" name="Group 7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73620" cy="9545320"/>
                              <a:chOff x="321" y="411"/>
                              <a:chExt cx="11600" cy="15018"/>
                            </a:xfrm>
                          </wpg:grpSpPr>
                          <wps:wsp>
                            <wps:cNvPr id="371" name="Rectangle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1" y="411"/>
                                <a:ext cx="11600" cy="150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2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14683"/>
                                <a:ext cx="11537" cy="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Arial" w:hAnsi="Arial" w:cs="Arial"/>
                                      <w:b/>
                                      <w:color w:val="EEECE1" w:themeColor="background2"/>
                                      <w:spacing w:val="60"/>
                                      <w:sz w:val="28"/>
                                      <w:szCs w:val="28"/>
                                      <w:lang w:val="bs-Latn-BA"/>
                                    </w:rPr>
                                    <w:alias w:val="Address"/>
                                    <w:id w:val="-1200000884"/>
    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    <w:text w:multiLine="1"/>
                                  </w:sdtPr>
                                  <w:sdtContent>
                                    <w:p w:rsidR="00D61DDB" w:rsidRPr="00F01A5E" w:rsidRDefault="00D61DDB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smallCaps/>
                                          <w:color w:val="FFFFFF" w:themeColor="background1"/>
                                          <w:spacing w:val="60"/>
                                          <w:sz w:val="28"/>
                                          <w:szCs w:val="28"/>
                                          <w:lang w:val="bs-Latn-BA"/>
                                        </w:rPr>
                                      </w:pPr>
                                      <w:r w:rsidRPr="00F01A5E">
                                        <w:rPr>
                                          <w:rFonts w:ascii="Arial" w:hAnsi="Arial" w:cs="Arial"/>
                                          <w:b/>
                                          <w:color w:val="EEECE1" w:themeColor="background2"/>
                                          <w:spacing w:val="60"/>
                                          <w:sz w:val="28"/>
                                          <w:szCs w:val="28"/>
                                          <w:lang w:val="bs-Latn-BA"/>
                                        </w:rPr>
                                        <w:t>Sarajevo, maj 2017. godine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73" name="Rectangle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10710"/>
                                <a:ext cx="2859" cy="3937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80000">
                                    <a:schemeClr val="accent5">
                                      <a:shade val="93000"/>
                                      <a:satMod val="130000"/>
                                    </a:schemeClr>
                                  </a:gs>
                                  <a:gs pos="100000">
                                    <a:schemeClr val="accent5">
                                      <a:shade val="94000"/>
                                      <a:satMod val="135000"/>
                                    </a:schemeClr>
                                  </a:gs>
                                </a:gsLst>
                              </a:gradFill>
                              <a:effectLst/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3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4" name="Rectangle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10711"/>
                                <a:ext cx="8631" cy="3942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80000">
                                    <a:schemeClr val="accent2">
                                      <a:shade val="93000"/>
                                      <a:satMod val="130000"/>
                                    </a:schemeClr>
                                  </a:gs>
                                  <a:gs pos="100000">
                                    <a:schemeClr val="accent2">
                                      <a:shade val="94000"/>
                                      <a:satMod val="135000"/>
                                    </a:schemeClr>
                                  </a:gs>
                                </a:gsLst>
                              </a:gradFill>
                              <a:effectLst/>
                              <a:extLst/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5" name="Rectangle 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1DDB" w:rsidRDefault="00D61DDB">
                                  <w:pPr>
                                    <w:pStyle w:val="NoSpacing"/>
                                    <w:rPr>
                                      <w:rFonts w:asciiTheme="majorHAnsi" w:eastAsiaTheme="majorEastAsia" w:hAnsiTheme="majorHAnsi" w:cstheme="majorBidi"/>
                                      <w:color w:val="DBE5F1" w:themeColor="accent1" w:themeTint="33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76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37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7" name="Rectangle 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45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8" name="Rectangle 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9" name="Rectangle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2263"/>
                                <a:ext cx="2859" cy="7316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80000">
                                    <a:schemeClr val="accent6">
                                      <a:shade val="93000"/>
                                      <a:satMod val="130000"/>
                                    </a:schemeClr>
                                  </a:gs>
                                  <a:gs pos="100000">
                                    <a:schemeClr val="accent6">
                                      <a:shade val="94000"/>
                                      <a:satMod val="135000"/>
                                    </a:schemeClr>
                                  </a:gs>
                                </a:gsLst>
                              </a:gradFill>
                              <a:effectLst/>
                              <a:extLst/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0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2263"/>
                                <a:ext cx="8643" cy="7316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80000">
                                    <a:schemeClr val="accent3">
                                      <a:shade val="93000"/>
                                      <a:satMod val="130000"/>
                                    </a:schemeClr>
                                  </a:gs>
                                  <a:gs pos="100000">
                                    <a:schemeClr val="accent3">
                                      <a:shade val="94000"/>
                                      <a:satMod val="135000"/>
                                    </a:schemeClr>
                                  </a:gs>
                                </a:gsLst>
                              </a:gradFill>
                              <a:effectLst/>
                              <a:extLst/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6"/>
                                      <w:szCs w:val="32"/>
                                    </w:rPr>
                                    <w:alias w:val="Title"/>
                                    <w:id w:val="795097961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Content>
                                    <w:p w:rsidR="00D61DDB" w:rsidRDefault="00D61DDB">
                                      <w:pPr>
                                        <w:jc w:val="right"/>
                                        <w:rPr>
                                          <w:rFonts w:asciiTheme="majorHAnsi" w:eastAsiaTheme="majorEastAsia" w:hAnsiTheme="majorHAnsi" w:cstheme="majorBidi"/>
                                          <w:color w:val="632423" w:themeColor="accent2" w:themeShade="80"/>
                                          <w:sz w:val="72"/>
                                          <w:szCs w:val="72"/>
                                        </w:rPr>
                                      </w:pPr>
                                      <w:r w:rsidRPr="00E22AE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6"/>
                                          <w:szCs w:val="32"/>
                                        </w:rPr>
                                        <w:t>SMJERNICE EKONOMSKE I FISKALNE POLITIKE ZA PERIOD 2018. – 2020.</w:t>
                                      </w:r>
                                    </w:p>
                                  </w:sdtContent>
                                </w:sdt>
                                <w:p w:rsidR="00D61DDB" w:rsidRDefault="00D61DDB">
                                  <w:pPr>
                                    <w:jc w:val="right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  <wps:wsp>
                            <wps:cNvPr id="381" name="Rectangle 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440"/>
                                <a:ext cx="11537" cy="17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1DDB" w:rsidRDefault="00D61DDB" w:rsidP="00E22AE7">
                                  <w:pPr>
                                    <w:pStyle w:val="Heading1"/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b w:val="0"/>
                                      <w:color w:val="FFFFFF" w:themeColor="background1"/>
                                      <w:sz w:val="24"/>
                                    </w:rPr>
                                  </w:pPr>
                                </w:p>
                                <w:p w:rsidR="00D61DDB" w:rsidRPr="00E22AE7" w:rsidRDefault="00D61DDB" w:rsidP="00E22AE7">
                                  <w:pPr>
                                    <w:pStyle w:val="Heading1"/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</w:pPr>
                                  <w:bookmarkStart w:id="0" w:name="_Toc482794563"/>
                                  <w:bookmarkStart w:id="1" w:name="_Toc482799246"/>
                                  <w:r w:rsidRPr="00E22AE7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  <w:t>BOSNA I HERCEGOVINA</w:t>
                                  </w:r>
                                  <w:bookmarkEnd w:id="0"/>
                                  <w:bookmarkEnd w:id="1"/>
                                </w:p>
                                <w:p w:rsidR="00D61DDB" w:rsidRPr="00E22AE7" w:rsidRDefault="00D61DDB" w:rsidP="00E22AE7">
                                  <w:pPr>
                                    <w:pStyle w:val="Heading1"/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</w:pPr>
                                  <w:bookmarkStart w:id="2" w:name="_Toc482794564"/>
                                  <w:bookmarkStart w:id="3" w:name="_Toc482799247"/>
                                  <w:r w:rsidRPr="00E22AE7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  <w:t>FEDERACIJA BOSNE I HERCEGOVINE</w:t>
                                  </w:r>
                                  <w:bookmarkEnd w:id="2"/>
                                  <w:bookmarkEnd w:id="3"/>
                                </w:p>
                                <w:p w:rsidR="00D61DDB" w:rsidRPr="00E22AE7" w:rsidRDefault="00D61DDB" w:rsidP="00E22AE7">
                                  <w:pPr>
                                    <w:pStyle w:val="Heading1"/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</w:pPr>
                                  <w:bookmarkStart w:id="4" w:name="_Toc482794565"/>
                                  <w:bookmarkStart w:id="5" w:name="_Toc482799248"/>
                                  <w:r w:rsidRPr="00E22AE7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  <w:t>FEDERALNO MINISTARSTVO FINANSIJA</w:t>
                                  </w:r>
                                  <w:bookmarkEnd w:id="4"/>
                                  <w:bookmarkEnd w:id="5"/>
                                </w:p>
                                <w:p w:rsidR="00D61DDB" w:rsidRPr="00E22AE7" w:rsidRDefault="00D61DDB" w:rsidP="00E22AE7">
                                  <w:pPr>
                                    <w:pStyle w:val="Heading1"/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</w:pPr>
                                  <w:bookmarkStart w:id="6" w:name="_Toc482794566"/>
                                  <w:bookmarkStart w:id="7" w:name="_Toc482799249"/>
                                  <w:r w:rsidRPr="00E22AE7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4"/>
                                    </w:rPr>
                                    <w:t>FEDERALNO MINISTARSTVO FINANCIJA</w:t>
                                  </w:r>
                                  <w:bookmarkEnd w:id="6"/>
                                  <w:bookmarkEnd w:id="7"/>
                                </w:p>
                                <w:p w:rsidR="00D61DDB" w:rsidRDefault="00D61DDB">
                                  <w:pPr>
                                    <w:pStyle w:val="NoSpacing"/>
                                    <w:rPr>
                                      <w:smallCaps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D2FF402" id="Group 76" o:spid="_x0000_s1026" style="position:absolute;margin-left:0;margin-top:0;width:580.5pt;height:751.5pt;z-index:251677696;mso-width-percent:950;mso-height-percent:950;mso-position-horizontal:center;mso-position-horizontal-relative:page;mso-position-vertical:center;mso-position-vertical-relative:page;mso-width-percent:950;mso-height-percent:950" coordorigin="321,411" coordsize="11600,1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rytAUAABosAAAOAAAAZHJzL2Uyb0RvYy54bWzsWm1v2zYQ/j5g/0HQ98Si3mXEKdqkCQZ0&#10;W9FuP4CWKFmYJGqkHCcb9t93PIqK35o1HizAiPvBlUIeSd3d89zxyKt3j3VlPTAhS97MbHLp2BZr&#10;Up6VTTGzf//t7iK2LdnRJqMVb9jMfmLSfnf94w9Xq3bKXL7gVcaEBYM0crpqZ/ai69rpZCLTBaup&#10;vOQta6Ax56KmHbyKYpIJuoLR62riOk44WXGRtYKnTEr4661utK9x/DxnafdrnkvWWdXMhrV1+Cvw&#10;d65+J9dXdFoI2i7KtF8GPWAVNS0bmHQY6pZ21FqKcmeoukwFlzzvLlNeT3ielynDb4CvIc7W19wL&#10;vmzxW4rpqmgHNYFqt/R08LDpLw+fhVVmM9uLQD8NrcFIOK8VhUo7q7aYQqd70X5tPwv9ifD4iad/&#10;SGiebLer90J3tuarn3kG49Flx1E7j7mo1RDw3dYjGuFpMAJ77KwU/hh5kRe6sJYU2pLADzx4QTOl&#10;C7ClkvNcYlvQ6hNiWj720oSETi9LAofEqn1Cp3piXGy/OPVl4HLyWavy/2n164K2DI0llcIGrcJS&#10;tVa/gDPSpqiYFUVas9jRqFVqnVoNv1lAN/ZeCL5aMJrBuvAzYfVrAupFgkX+U8k7yjKKflFVdNoK&#10;2d0zXlvqYWYLWD3akD58kp3WqumiTNrwu7Kq0E5VY62U6dwABSSvykw1qm5SFPObSlgPVAES//Um&#10;2uhWlx3QQlXWMzseOtGpUsfHJsNZOlpW+hnsWzXoilol2rRznj2BegTXmAeOgocFF3/Z1grwPrPl&#10;n0sqmG1VPzWg4oT4viIIfPGDSHmgWG+Zr7fQJoWhZnZnW/rxptOksmxFWSxgJoLf3vD34Pt5iQpT&#10;JtOr6hcL3jeaG7q7bhiP6oYBKBQwS/ww9jRqnx0x8CKN94gkG4h9tRtueBFGETa4G01T1nQuGqZa&#10;1sBN2g2jAFzMeKEKPEoEaWNjNFgueL5yYrVwJPe/E+L6zgc3ubgL4+jCv/ODiyRy4guHJB+S0PET&#10;//buHzUh8aeLMstY86lsmAk0xP8+yulDng4RGGrGBtjG8lE1oAPzP2oF2UkRkvbo7nH+CDB9dvkj&#10;AzHtxMlA0dsDxT7WrhE8cOWRIkLiuJCVKSw6Eeljq8GiGweJhqKXACg1z5uwbfj+O0MCpFUD7xey&#10;x04hrZYD3zoIwy2Ezgsd6SCPkgpopjPGgH0CGtJ9nFnQjGlEJ16PaFAi7QagE/Xn/UjfnI+ofntX&#10;+K0J/X7g7Qm/SS1qQghcvV7U05q2GGauOs4i3ejHLYzJ7qliSk1V84XlkMRBaqTDzpZazaK1NbG3&#10;EsshJg+C3kvq1YJ9fyWqFzgIa059cdZBAmfmTTcI12XDxb7Zq854Q677g8Yw7dHfPRq3nE6Q9/cw&#10;S6BArHQFSenRc00T5IFY+tTcEEscepAJq5zeS3z3RIil9+vxiGV3whMgFmPNVxOLETyIWIzwmVhG&#10;2MQGe4gFDTASsQwpCyTVmJXoJFzVC9w4NBt+J8KdxbDfP+8eVHXpRHcPWJTCIDJaoD+lTUS4B5GD&#10;tkYI9SFRe3YI52dEvoX9/LmatlHUBdffLurGuLEcKR56rg8h+Yy+N1JNO6NvA31QvdpGX4R147HQ&#10;F8BG+wy+M/je4kESlIe3wRf7I9aYhq2g64ZbB0nPxevII1hRP3wruF6OPWrxOtSlz/FqTLsTnkCN&#10;yVjz1TUmI3hQjckIn2tMx68xQf68SywI8JGj+i6vxKEPZ3aqdn1CvNIf6IzHK7sTngCvmILhq3nF&#10;CB7EK0b4OLyizt6xejZUaF+5f3BVTRXguOcyjGnaexvmhOpn8b5rWXhbbDS20fdh1K0jOKB7rmcT&#10;MtyGIZHOrA7PYjYusOw9n9UnTufrMK+6b3bQdRh9y9JkyqcESTh1xwuo+saCviyrbriuv+PZ/POV&#10;3ut/AQAA//8DAFBLAwQUAAYACAAAACEAYJ8RlNwAAAAHAQAADwAAAGRycy9kb3ducmV2LnhtbEyP&#10;T0vEMBDF74LfIYzgzU3qn6K16eIuCF4UdlW8zjaxrTaTkmTb6qd31otehnm84c3vlcvZ9WK0IXae&#10;NGQLBcJS7U1HjYaX5/uzaxAxIRnsPVkNXzbCsjo+KrEwfqKNHbepERxCsUANbUpDIWWsW+swLvxg&#10;ib13HxwmlqGRJuDE4a6X50rl0mFH/KHFwa5bW39u907D9+oB5+l19bjuLpuP/G1M4SncaH16Mt/d&#10;gkh2Tn/HcMBndKiYaef3ZKLoNXCR9DsPXpZnrHe8XakLBbIq5X/+6gcAAP//AwBQSwECLQAUAAYA&#10;CAAAACEAtoM4kv4AAADhAQAAEwAAAAAAAAAAAAAAAAAAAAAAW0NvbnRlbnRfVHlwZXNdLnhtbFBL&#10;AQItABQABgAIAAAAIQA4/SH/1gAAAJQBAAALAAAAAAAAAAAAAAAAAC8BAABfcmVscy8ucmVsc1BL&#10;AQItABQABgAIAAAAIQDknhrytAUAABosAAAOAAAAAAAAAAAAAAAAAC4CAABkcnMvZTJvRG9jLnht&#10;bFBLAQItABQABgAIAAAAIQBgnxGU3AAAAAcBAAAPAAAAAAAAAAAAAAAAAA4IAABkcnMvZG93bnJl&#10;di54bWxQSwUGAAAAAAQABADzAAAAFwkAAAAA&#10;" o:allowincell="f">
                    <v:rect id="Rectangle 77" o:spid="_x0000_s1027" style="position:absolute;left:321;top:411;width:11600;height:15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kmMQA&#10;AADcAAAADwAAAGRycy9kb3ducmV2LnhtbESPQWsCMRSE70L/Q3gFb5q10ipbo2yLgiehWqi9PTav&#10;yeLmZdlEd/33jSB4HGbmG2ax6l0tLtSGyrOCyTgDQVx6XbFR8H3YjOYgQkTWWHsmBVcKsFo+DRaY&#10;a9/xF1320YgE4ZCjAhtjk0sZSksOw9g3xMn7863DmGRrpG6xS3BXy5cse5MOK04LFhv6tFSe9men&#10;YN387opXE2TxE+3x5D+6jd0ZpYbPffEOIlIfH+F7e6sVTGcT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/ZJjEAAAA3AAAAA8AAAAAAAAAAAAAAAAAmAIAAGRycy9k&#10;b3ducmV2LnhtbFBLBQYAAAAABAAEAPUAAACJAwAAAAA=&#10;" filled="f"/>
                    <v:rect id="Rectangle 87" o:spid="_x0000_s1028" style="position:absolute;left:350;top:14683;width:11537;height: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TzcQA&#10;AADcAAAADwAAAGRycy9kb3ducmV2LnhtbESPUWvCQBCE3wX/w7FC3/RShVZSL0EEi5SWovYHLHfb&#10;XEhuL8ldNf57r1Do4zA73+xsytG14kJDqD0reFxkIIi1NzVXCr7O+/kaRIjIBlvPpOBGAcpiOtlg&#10;bvyVj3Q5xUokCIccFdgYu1zKoC05DAvfESfv2w8OY5JDJc2A1wR3rVxm2ZN0WHNqsNjRzpJuTj8u&#10;vfH2anXffGwbDu4Tfb/u31Er9TAbty8gIo3x//gvfTAKVs9L+B2TCC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yk83EAAAA3AAAAA8AAAAAAAAAAAAAAAAAmAIAAGRycy9k&#10;b3ducmV2LnhtbFBLBQYAAAAABAAEAPUAAACJAwAAAAA=&#10;" fillcolor="#943634 [2405]" stroked="f">
                      <v:textbox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EEECE1" w:themeColor="background2"/>
                                <w:spacing w:val="60"/>
                                <w:sz w:val="28"/>
                                <w:szCs w:val="28"/>
                                <w:lang w:val="bs-Latn-BA"/>
                              </w:rPr>
                              <w:alias w:val="Address"/>
                              <w:id w:val="-1200000884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D61DDB" w:rsidRPr="00F01A5E" w:rsidRDefault="00D61DDB">
                                <w:pPr>
                                  <w:pStyle w:val="NoSpacing"/>
                                  <w:jc w:val="center"/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FFFFFF" w:themeColor="background1"/>
                                    <w:spacing w:val="60"/>
                                    <w:sz w:val="28"/>
                                    <w:szCs w:val="28"/>
                                    <w:lang w:val="bs-Latn-BA"/>
                                  </w:rPr>
                                </w:pPr>
                                <w:r w:rsidRPr="00F01A5E">
                                  <w:rPr>
                                    <w:rFonts w:ascii="Arial" w:hAnsi="Arial" w:cs="Arial"/>
                                    <w:b/>
                                    <w:color w:val="EEECE1" w:themeColor="background2"/>
                                    <w:spacing w:val="60"/>
                                    <w:sz w:val="28"/>
                                    <w:szCs w:val="28"/>
                                    <w:lang w:val="bs-Latn-BA"/>
                                  </w:rPr>
                                  <w:t>Sarajevo, maj 2017. godine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6" o:spid="_x0000_s1029" style="position:absolute;left:9028;top:10710;width:2859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B8cYA&#10;AADcAAAADwAAAGRycy9kb3ducmV2LnhtbESPT2vCQBTE74LfYXmCN91ES7Wpa5BKIbfWf9jjI/ua&#10;BLNv0+w2Sb99t1DwOMzMb5hNOphadNS6yrKCeB6BIM6trrhQcD69ztYgnEfWWFsmBT/kIN2ORxtM&#10;tO35QN3RFyJA2CWooPS+SaR0eUkG3dw2xMH7tK1BH2RbSN1iH+CmlosoepQGKw4LJTb0UlJ+O34b&#10;BSteyMvl+lZ/ZPHD01VG7/uvvldqOhl2zyA8Df4e/m9nWsFytYS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UB8cYAAADcAAAADwAAAAAAAAAAAAAAAACYAgAAZHJz&#10;L2Rvd25yZXYueG1sUEsFBgAAAAAEAAQA9QAAAIsDAAAAAA==&#10;" fillcolor="white [3212]" strokecolor="#40a7c2 [3048]">
                      <v:fill color2="#3da5c1 [3016]" rotate="t" angle="180" colors="0 white;52429f #36b1d2;1 #34b3d6" focus="100%" type="gradient">
                        <o:fill v:ext="view" type="gradientUnscaled"/>
                      </v:fill>
                    </v:rect>
                    <v:rect id="Rectangle 85" o:spid="_x0000_s1030" style="position:absolute;left:350;top:10711;width:8631;height:3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pR8cQA&#10;AADcAAAADwAAAGRycy9kb3ducmV2LnhtbESPT2vCQBTE7wW/w/IEL0U32mIkuooIivZQqIrnR/bl&#10;D2bfxuwa47fvCoUeh5n5DbNYdaYSLTWutKxgPIpAEKdWl5wrOJ+2wxkI55E1VpZJwZMcrJa9twUm&#10;2j74h9qjz0WAsEtQQeF9nUjp0oIMupGtiYOX2cagD7LJpW7wEeCmkpMomkqDJYeFAmvaFJRej3ej&#10;gPFwMXfKvsfx9LbLzu3X8z1GpQb9bj0H4anz/+G/9l4r+Ig/4XU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KUfHEAAAA3AAAAA8AAAAAAAAAAAAAAAAAmAIAAGRycy9k&#10;b3ducmV2LnhtbFBLBQYAAAAABAAEAPUAAACJAwAAAAA=&#10;" fillcolor="white [3212]" strokecolor="#bc4542 [3045]">
                      <v:fill color2="#ba4442 [3013]" rotate="t" angle="180" colors="0 white;52429f #cb3d3a;1 #ce3b37" focus="100%" type="gradient">
                        <o:fill v:ext="view" type="gradientUnscaled"/>
                      </v:fill>
                    </v:rect>
                    <v:rect id="Rectangle 82" o:spid="_x0000_s1031" style="position:absolute;left:9028;top:9607;width:2860;height:1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LucMA&#10;AADcAAAADwAAAGRycy9kb3ducmV2LnhtbESPUWsCMRCE3wX/Q1ihbzWn0iqnUUSolFIpVX/AkqyX&#10;4y6bu0uq13/fFAQfh9n5Zme16V0trtSF0rOCyTgDQay9KblQcD69PS9AhIhssPZMCn4pwGY9HKww&#10;N/7G33Q9xkIkCIccFdgYm1zKoC05DGPfECfv4juHMcmukKbDW4K7Wk6z7FU6LDk1WGxoZ0lXxx+X&#10;3vjYW91Wh23FwX2hbxftJ2qlnkb9dgkiUh8fx/f0u1Ewm7/A/5hE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sLucMAAADcAAAADwAAAAAAAAAAAAAAAACYAgAAZHJzL2Rv&#10;d25yZXYueG1sUEsFBgAAAAAEAAQA9QAAAIgDAAAAAA==&#10;" fillcolor="#943634 [2405]" stroked="f">
                      <v:textbox>
                        <w:txbxContent>
                          <w:p w:rsidR="00D61DDB" w:rsidRDefault="00D61DDB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v:textbox>
                    </v:rect>
                    <v:rect id="Rectangle 81" o:spid="_x0000_s1032" style="position:absolute;left:6137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OKsMA&#10;AADcAAAADwAAAGRycy9kb3ducmV2LnhtbESPQWvCQBSE74X+h+UVvNWNSmOJrsEUAr2VasDrI/ua&#10;hGTfht2tRn99VxB6HGbmG2abT2YQZ3K+s6xgMU9AENdWd9woqI7l6zsIH5A1DpZJwZU85Lvnpy1m&#10;2l74m86H0IgIYZ+hgjaEMZPS1y0Z9HM7EkfvxzqDIUrXSO3wEuFmkMskSaXBjuNCiyN9tFT3h1+j&#10;wAxU6l5z76qvU/+W3oqy8oVSs5dpvwERaAr/4Uf7UytYrVO4n4lH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hOKsMAAADcAAAADwAAAAAAAAAAAAAAAACYAgAAZHJzL2Rv&#10;d25yZXYueG1sUEsFBgAAAAAEAAQA9QAAAIgDAAAAAA==&#10;" fillcolor="#943634 [2405]" stroked="f"/>
                    <v:rect id="Rectangle 80" o:spid="_x0000_s1033" style="position:absolute;left:3245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rscMA&#10;AADcAAAADwAAAGRycy9kb3ducmV2LnhtbESPwWrDMBBE74X8g9hAbrWchNrFiRKSgqG3UtfQ62Jt&#10;bWNrZSQ1cfL1VaHQ4zAzb5j9cTajuJDzvWUF6yQFQdxY3XOroP4oH59B+ICscbRMCm7k4XhYPOyx&#10;0PbK73SpQisihH2BCroQpkJK33Rk0Cd2Io7el3UGQ5SuldrhNcLNKDdpmkmDPceFDid66agZqm+j&#10;wIxU6kHz4Oq3z+Epu5/L2p+VWi3n0w5EoDn8h//ar1rBNs/h90w8Av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TrscMAAADcAAAADwAAAAAAAAAAAAAAAACYAgAAZHJzL2Rv&#10;d25yZXYueG1sUEsFBgAAAAAEAAQA9QAAAIgDAAAAAA==&#10;" fillcolor="#943634 [2405]" stroked="f"/>
                    <v:rect id="Rectangle 79" o:spid="_x0000_s1034" style="position:absolute;left:354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/w78A&#10;AADcAAAADwAAAGRycy9kb3ducmV2LnhtbERPTYvCMBC9C/6HMMLebKqyKtUoKhS8LasFr0MztqXN&#10;pCRRu/76zWFhj4/3vd0PphNPcr6xrGCWpCCIS6sbrhQU13y6BuEDssbOMin4IQ/73Xi0xUzbF3/T&#10;8xIqEUPYZ6igDqHPpPRlTQZ9YnviyN2tMxgidJXUDl8x3HRynqZLabDh2FBjT6eayvbyMApMR7lu&#10;Nbeu+Lq1n8v3MS/8UamPyXDYgAg0hH/xn/usFSxWcW08E4+A3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O3/DvwAAANwAAAAPAAAAAAAAAAAAAAAAAJgCAABkcnMvZG93bnJl&#10;di54bWxQSwUGAAAAAAQABAD1AAAAhAMAAAAA&#10;" fillcolor="#943634 [2405]" stroked="f"/>
                    <v:rect id="Rectangle 84" o:spid="_x0000_s1035" style="position:absolute;left:9028;top:2263;width:2859;height:7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m+v8QA&#10;AADcAAAADwAAAGRycy9kb3ducmV2LnhtbESPT4vCMBTE7wt+h/AEb5qqoG7XKKKIgif/sXh7NG/b&#10;avNSm1i7334jCHscZuY3zHTemELUVLncsoJ+LwJBnFidc6rgdFx3JyCcR9ZYWCYFv+RgPmt9TDHW&#10;9sl7qg8+FQHCLkYFmfdlLKVLMjLoerYkDt6PrQz6IKtU6gqfAW4KOYiikTSYc1jIsKRlRsnt8DAK&#10;7tpfLps6P1MzKL53q+F1sxtdleq0m8UXCE+N/w+/21utYDj+hNeZc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Jvr/EAAAA3AAAAA8AAAAAAAAAAAAAAAAAmAIAAGRycy9k&#10;b3ducmV2LnhtbFBLBQYAAAAABAAEAPUAAACJAwAAAAA=&#10;" fillcolor="white [3212]" strokecolor="#f68c36 [3049]">
                      <v:fill color2="#f68a32 [3017]" rotate="t" angle="180" colors="0 white;52429f #ff8f2a;1 #ff8f26" focus="100%" type="gradient">
                        <o:fill v:ext="view" type="gradientUnscaled"/>
                      </v:fill>
                    </v:rect>
                    <v:rect id="Rectangle 83" o:spid="_x0000_s1036" style="position:absolute;left:354;top:2263;width:8643;height:7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/WsQA&#10;AADcAAAADwAAAGRycy9kb3ducmV2LnhtbESP0UoDMRBF3wX/IYzgm81aqbTbpkWEgqgg1n7AkEw3&#10;i5vJkqS7q1/vPBR8HO7cM2c2uyl0aqCU28gG7mcVKGIbXcuNgePX/m4JKhdkh11kMvBDGXbb66sN&#10;1i6O/EnDoTRKIJxrNOBL6Wuts/UUMM9iTyzZKaaARcbUaJdwFHjo9LyqHnXAluWCx56ePdnvwzmI&#10;Rrb7Klj/Mf4Oq9f2PaTFOL0Zc3szPa1BFZrK//Kl/eIMPCxFX54RAu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Qv1rEAAAA3AAAAA8AAAAAAAAAAAAAAAAAmAIAAGRycy9k&#10;b3ducmV2LnhtbFBLBQYAAAAABAAEAPUAAACJAwAAAAA=&#10;" fillcolor="white [3212]" strokecolor="#94b64e [3046]">
                      <v:fill color2="#93b64c [3014]" rotate="t" angle="180" colors="0 white;52429f #9bc348;1 #9cc746" focus="100%" type="gradient">
                        <o:fill v:ext="view" type="gradientUnscaled"/>
                      </v:fill>
                      <v:textbox inset="18pt,,18pt"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alias w:val="Title"/>
                              <w:id w:val="795097961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p w:rsidR="00D61DDB" w:rsidRDefault="00D61DDB">
                                <w:pPr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color w:val="632423" w:themeColor="accent2" w:themeShade="80"/>
                                    <w:sz w:val="72"/>
                                    <w:szCs w:val="72"/>
                                  </w:rPr>
                                </w:pPr>
                                <w:r w:rsidRPr="00E22AE7">
                                  <w:rPr>
                                    <w:rFonts w:ascii="Arial" w:hAnsi="Arial" w:cs="Arial"/>
                                    <w:b/>
                                    <w:bCs/>
                                    <w:sz w:val="36"/>
                                    <w:szCs w:val="32"/>
                                  </w:rPr>
                                  <w:t>SMJERNICE EKONOMSKE I FISKALNE POLITIKE ZA PERIOD 2018. – 2020.</w:t>
                                </w:r>
                              </w:p>
                            </w:sdtContent>
                          </w:sdt>
                          <w:p w:rsidR="00D61DDB" w:rsidRDefault="00D61DDB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rect>
                    <v:rect id="Rectangle 78" o:spid="_x0000_s1037" style="position:absolute;left:350;top:440;width:11537;height:1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INMQA&#10;AADcAAAADwAAAGRycy9kb3ducmV2LnhtbESPzWrDMBCE74G+g9hCb4nsBkLiRgmlkCa95aeHHrfW&#10;VjaVVkZSbfftq0Igx2FmvmHW29FZ0VOIrWcF5awAQVx73bJR8H7ZTZcgYkLWaD2Tgl+KsN3cTdZY&#10;aT/wifpzMiJDOFaooEmpq6SMdUMO48x3xNn78sFhyjIYqQMOGe6sfCyKhXTYcl5osKOXhurv849T&#10;YHH3sf80vF+9vS5MOQ/HQ28HpR7ux+cnEInGdAtf2wetYL4s4f9MP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hyDTEAAAA3AAAAA8AAAAAAAAAAAAAAAAAmAIAAGRycy9k&#10;b3ducmV2LnhtbFBLBQYAAAAABAAEAPUAAACJAwAAAAA=&#10;" fillcolor="#943634 [2405]" stroked="f">
                      <v:textbox inset="18pt,,18pt">
                        <w:txbxContent>
                          <w:p w:rsidR="00D61DDB" w:rsidRDefault="00D61DDB" w:rsidP="00E22AE7">
                            <w:pPr>
                              <w:pStyle w:val="Heading1"/>
                              <w:spacing w:before="0"/>
                              <w:jc w:val="center"/>
                              <w:rPr>
                                <w:rFonts w:ascii="Arial" w:hAnsi="Arial" w:cs="Arial"/>
                                <w:b w:val="0"/>
                                <w:color w:val="FFFFFF" w:themeColor="background1"/>
                                <w:sz w:val="24"/>
                              </w:rPr>
                            </w:pPr>
                          </w:p>
                          <w:p w:rsidR="00D61DDB" w:rsidRPr="00E22AE7" w:rsidRDefault="00D61DDB" w:rsidP="00E22AE7">
                            <w:pPr>
                              <w:pStyle w:val="Heading1"/>
                              <w:spacing w:before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</w:pPr>
                            <w:bookmarkStart w:id="8" w:name="_Toc482794563"/>
                            <w:bookmarkStart w:id="9" w:name="_Toc482799246"/>
                            <w:r w:rsidRPr="00E22AE7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  <w:t>BOSNA I HERCEGOVINA</w:t>
                            </w:r>
                            <w:bookmarkEnd w:id="8"/>
                            <w:bookmarkEnd w:id="9"/>
                          </w:p>
                          <w:p w:rsidR="00D61DDB" w:rsidRPr="00E22AE7" w:rsidRDefault="00D61DDB" w:rsidP="00E22AE7">
                            <w:pPr>
                              <w:pStyle w:val="Heading1"/>
                              <w:spacing w:before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</w:pPr>
                            <w:bookmarkStart w:id="10" w:name="_Toc482794564"/>
                            <w:bookmarkStart w:id="11" w:name="_Toc482799247"/>
                            <w:r w:rsidRPr="00E22AE7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  <w:t>FEDERACIJA BOSNE I HERCEGOVINE</w:t>
                            </w:r>
                            <w:bookmarkEnd w:id="10"/>
                            <w:bookmarkEnd w:id="11"/>
                          </w:p>
                          <w:p w:rsidR="00D61DDB" w:rsidRPr="00E22AE7" w:rsidRDefault="00D61DDB" w:rsidP="00E22AE7">
                            <w:pPr>
                              <w:pStyle w:val="Heading1"/>
                              <w:spacing w:before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</w:pPr>
                            <w:bookmarkStart w:id="12" w:name="_Toc482794565"/>
                            <w:bookmarkStart w:id="13" w:name="_Toc482799248"/>
                            <w:r w:rsidRPr="00E22AE7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  <w:t>FEDERALNO MINISTARSTVO FINANSIJA</w:t>
                            </w:r>
                            <w:bookmarkEnd w:id="12"/>
                            <w:bookmarkEnd w:id="13"/>
                          </w:p>
                          <w:p w:rsidR="00D61DDB" w:rsidRPr="00E22AE7" w:rsidRDefault="00D61DDB" w:rsidP="00E22AE7">
                            <w:pPr>
                              <w:pStyle w:val="Heading1"/>
                              <w:spacing w:before="0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</w:pPr>
                            <w:bookmarkStart w:id="14" w:name="_Toc482794566"/>
                            <w:bookmarkStart w:id="15" w:name="_Toc482799249"/>
                            <w:r w:rsidRPr="00E22AE7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</w:rPr>
                              <w:t>FEDERALNO MINISTARSTVO FINANCIJA</w:t>
                            </w:r>
                            <w:bookmarkEnd w:id="14"/>
                            <w:bookmarkEnd w:id="15"/>
                          </w:p>
                          <w:p w:rsidR="00D61DDB" w:rsidRDefault="00D61DDB">
                            <w:pPr>
                              <w:pStyle w:val="NoSpacing"/>
                              <w:rPr>
                                <w:smallCap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br w:type="page"/>
          </w:r>
        </w:p>
      </w:sdtContent>
    </w:sdt>
    <w:p w:rsidR="00B413AA" w:rsidRPr="00D2068F" w:rsidRDefault="00B413AA" w:rsidP="00B413AA">
      <w:pPr>
        <w:pStyle w:val="Heading1"/>
        <w:spacing w:before="120" w:after="120"/>
        <w:jc w:val="center"/>
        <w:rPr>
          <w:rFonts w:ascii="Arial" w:hAnsi="Arial" w:cs="Arial"/>
          <w:color w:val="C00000"/>
        </w:rPr>
      </w:pPr>
      <w:bookmarkStart w:id="16" w:name="_Toc482794567"/>
      <w:bookmarkStart w:id="17" w:name="_Toc482799250"/>
      <w:r w:rsidRPr="00D2068F">
        <w:rPr>
          <w:rFonts w:ascii="Arial" w:hAnsi="Arial" w:cs="Arial"/>
          <w:color w:val="C00000"/>
        </w:rPr>
        <w:lastRenderedPageBreak/>
        <w:t>SADRŽAJ</w:t>
      </w:r>
      <w:bookmarkEnd w:id="16"/>
      <w:bookmarkEnd w:id="17"/>
    </w:p>
    <w:p w:rsidR="007C0799" w:rsidRPr="00FB635F" w:rsidRDefault="007C0799" w:rsidP="00970DB0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A34602" w:rsidRPr="00A34602" w:rsidRDefault="0069044F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r w:rsidRPr="00A34602">
        <w:rPr>
          <w:rFonts w:ascii="Arial" w:hAnsi="Arial" w:cs="Arial"/>
          <w:b/>
          <w:bCs/>
        </w:rPr>
        <w:fldChar w:fldCharType="begin"/>
      </w:r>
      <w:r w:rsidR="0008235A" w:rsidRPr="00A34602">
        <w:rPr>
          <w:rFonts w:ascii="Arial" w:hAnsi="Arial" w:cs="Arial"/>
          <w:b/>
          <w:bCs/>
        </w:rPr>
        <w:instrText xml:space="preserve"> TOC \o "1-3" \h \z \u </w:instrText>
      </w:r>
      <w:r w:rsidRPr="00A34602">
        <w:rPr>
          <w:rFonts w:ascii="Arial" w:hAnsi="Arial" w:cs="Arial"/>
          <w:b/>
          <w:bCs/>
        </w:rPr>
        <w:fldChar w:fldCharType="separate"/>
      </w:r>
      <w:hyperlink r:id="rId9" w:anchor="_Toc482799246" w:history="1">
        <w:r w:rsidR="00A34602" w:rsidRPr="00A34602">
          <w:rPr>
            <w:rStyle w:val="Hyperlink"/>
            <w:rFonts w:ascii="Arial" w:hAnsi="Arial" w:cs="Arial"/>
            <w:noProof/>
          </w:rPr>
          <w:t>BOSNA I HERCEGOVINA</w:t>
        </w:r>
        <w:r w:rsidR="00A34602" w:rsidRPr="00A34602">
          <w:rPr>
            <w:rFonts w:ascii="Arial" w:hAnsi="Arial" w:cs="Arial"/>
            <w:noProof/>
            <w:webHidden/>
          </w:rPr>
          <w:tab/>
        </w:r>
        <w:r w:rsidR="00A34602" w:rsidRPr="00A34602">
          <w:rPr>
            <w:rFonts w:ascii="Arial" w:hAnsi="Arial" w:cs="Arial"/>
            <w:noProof/>
            <w:webHidden/>
          </w:rPr>
          <w:fldChar w:fldCharType="begin"/>
        </w:r>
        <w:r w:rsidR="00A34602" w:rsidRPr="00A34602">
          <w:rPr>
            <w:rFonts w:ascii="Arial" w:hAnsi="Arial" w:cs="Arial"/>
            <w:noProof/>
            <w:webHidden/>
          </w:rPr>
          <w:instrText xml:space="preserve"> PAGEREF _Toc482799246 \h </w:instrText>
        </w:r>
        <w:r w:rsidR="00A34602" w:rsidRPr="00A34602">
          <w:rPr>
            <w:rFonts w:ascii="Arial" w:hAnsi="Arial" w:cs="Arial"/>
            <w:noProof/>
            <w:webHidden/>
          </w:rPr>
        </w:r>
        <w:r w:rsidR="00A34602" w:rsidRPr="00A34602">
          <w:rPr>
            <w:rFonts w:ascii="Arial" w:hAnsi="Arial" w:cs="Arial"/>
            <w:noProof/>
            <w:webHidden/>
          </w:rPr>
          <w:fldChar w:fldCharType="separate"/>
        </w:r>
        <w:r w:rsidR="00A34602">
          <w:rPr>
            <w:rFonts w:ascii="Arial" w:hAnsi="Arial" w:cs="Arial"/>
            <w:noProof/>
            <w:webHidden/>
          </w:rPr>
          <w:t>0</w:t>
        </w:r>
        <w:r w:rsidR="00A34602"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r:id="rId10" w:anchor="_Toc482799247" w:history="1">
        <w:r w:rsidRPr="00A34602">
          <w:rPr>
            <w:rStyle w:val="Hyperlink"/>
            <w:rFonts w:ascii="Arial" w:hAnsi="Arial" w:cs="Arial"/>
            <w:noProof/>
          </w:rPr>
          <w:t>FEDERACIJA BOSNE I HERCEGOVINE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_Toc482799247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0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r:id="rId11" w:anchor="_Toc482799248" w:history="1">
        <w:r w:rsidRPr="00A34602">
          <w:rPr>
            <w:rStyle w:val="Hyperlink"/>
            <w:rFonts w:ascii="Arial" w:hAnsi="Arial" w:cs="Arial"/>
            <w:noProof/>
          </w:rPr>
          <w:t>FEDERALNO MINISTARSTVO FINANSIJA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_Toc482799248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0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r:id="rId12" w:anchor="_Toc482799249" w:history="1">
        <w:r w:rsidRPr="00A34602">
          <w:rPr>
            <w:rStyle w:val="Hyperlink"/>
            <w:rFonts w:ascii="Arial" w:hAnsi="Arial" w:cs="Arial"/>
            <w:noProof/>
          </w:rPr>
          <w:t>FEDERALNO MINISTARSTVO FINANCIJA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_Toc482799249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0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0" w:history="1">
        <w:r w:rsidRPr="00A34602">
          <w:rPr>
            <w:rStyle w:val="Hyperlink"/>
            <w:rFonts w:ascii="Arial" w:hAnsi="Arial" w:cs="Arial"/>
            <w:noProof/>
          </w:rPr>
          <w:t>SADRŽAJ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_Toc482799250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1" w:history="1">
        <w:r w:rsidRPr="00A34602">
          <w:rPr>
            <w:rStyle w:val="Hyperlink"/>
            <w:rFonts w:ascii="Arial" w:hAnsi="Arial" w:cs="Arial"/>
            <w:noProof/>
          </w:rPr>
          <w:t>1. UVOD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_Toc482799251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2" w:history="1">
        <w:r w:rsidRPr="00A34602">
          <w:rPr>
            <w:rStyle w:val="Hyperlink"/>
            <w:rFonts w:ascii="Arial" w:hAnsi="Arial" w:cs="Arial"/>
            <w:noProof/>
          </w:rPr>
          <w:t>2. CILJEVI I PRIORITETI VLADE FEDERACIJE BIH U PERIODU OD 2018. - 2020.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_Toc482799252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3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3" w:history="1">
        <w:r w:rsidRPr="00A34602">
          <w:rPr>
            <w:rStyle w:val="Hyperlink"/>
            <w:rFonts w:ascii="Arial" w:hAnsi="Arial" w:cs="Arial"/>
            <w:noProof/>
          </w:rPr>
          <w:t>3. MAKROEKONOMSKA KRETANJA U SREDNJOROČNOM PERIODU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_Toc482799253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2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4" w:history="1">
        <w:r w:rsidRPr="00A34602">
          <w:rPr>
            <w:rStyle w:val="Hyperlink"/>
            <w:rFonts w:ascii="Arial" w:hAnsi="Arial" w:cs="Arial"/>
            <w:noProof/>
          </w:rPr>
          <w:t>3.1. Međunarodno makroekonomsko okruženje za period od 2013 – 2016. godine sa projekcijama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_Toc482799254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2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5" w:history="1">
        <w:r w:rsidRPr="00A34602">
          <w:rPr>
            <w:rStyle w:val="Hyperlink"/>
            <w:rFonts w:ascii="Arial" w:hAnsi="Arial" w:cs="Arial"/>
            <w:noProof/>
          </w:rPr>
          <w:t>3.2. Makroekonomska kretanja u Federaciji BiH za period od 2013. - 2016. godine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_Toc482799255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5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2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6" w:history="1">
        <w:r w:rsidRPr="00A34602">
          <w:rPr>
            <w:rStyle w:val="Hyperlink"/>
            <w:rFonts w:ascii="Arial" w:hAnsi="Arial" w:cs="Arial"/>
            <w:noProof/>
          </w:rPr>
          <w:t>3.3. Makroekonomske projekcije za period od 2018. – 2020. godine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_Toc482799256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7" w:history="1">
        <w:r w:rsidRPr="00A34602">
          <w:rPr>
            <w:rStyle w:val="Hyperlink"/>
            <w:rFonts w:ascii="Arial" w:hAnsi="Arial" w:cs="Arial"/>
            <w:noProof/>
          </w:rPr>
          <w:t>4. FISKALNA POLITIKA U SREDNJOROČNOM PERIODU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_Toc482799257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12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2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8" w:history="1">
        <w:r w:rsidRPr="00A34602">
          <w:rPr>
            <w:rStyle w:val="Hyperlink"/>
            <w:rFonts w:ascii="Arial" w:hAnsi="Arial" w:cs="Arial"/>
            <w:noProof/>
          </w:rPr>
          <w:t>4.1. Porezna politika i javni prihodi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_Toc482799258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12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2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59" w:history="1">
        <w:r w:rsidRPr="00A34602">
          <w:rPr>
            <w:rStyle w:val="Hyperlink"/>
            <w:rFonts w:ascii="Arial" w:hAnsi="Arial" w:cs="Arial"/>
            <w:noProof/>
          </w:rPr>
          <w:t>4.2. Javni prihodi za period 2018 – 2020. godine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_Toc482799259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15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1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60" w:history="1">
        <w:r w:rsidRPr="00A34602">
          <w:rPr>
            <w:rStyle w:val="Hyperlink"/>
            <w:rFonts w:ascii="Arial" w:hAnsi="Arial" w:cs="Arial"/>
            <w:noProof/>
          </w:rPr>
          <w:t>5. JAVNI DUG U SREDNJOROČNOM PERIODU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_Toc482799260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19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2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61" w:history="1">
        <w:r w:rsidRPr="00A34602">
          <w:rPr>
            <w:rStyle w:val="Hyperlink"/>
            <w:rFonts w:ascii="Arial" w:hAnsi="Arial" w:cs="Arial"/>
            <w:noProof/>
          </w:rPr>
          <w:t>5.1. Stanje i projekcije javnog duga u periodu od 2018. – 2020. godine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_Toc482799261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19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3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62" w:history="1">
        <w:r w:rsidRPr="00A34602">
          <w:rPr>
            <w:rStyle w:val="Hyperlink"/>
            <w:rFonts w:ascii="Arial" w:hAnsi="Arial" w:cs="Arial"/>
            <w:noProof/>
          </w:rPr>
          <w:t>5.1.1. Stanje javnog duga u Federaciji BiH u periodu od 2014. - 2016. godine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_Toc482799262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19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3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63" w:history="1">
        <w:r w:rsidRPr="00A34602">
          <w:rPr>
            <w:rStyle w:val="Hyperlink"/>
            <w:rFonts w:ascii="Arial" w:eastAsia="Times New Roman" w:hAnsi="Arial" w:cs="Arial"/>
            <w:noProof/>
            <w:lang w:eastAsia="ar-SA"/>
          </w:rPr>
          <w:t>5.1.2. Smjernice za upravljanje dugom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_Toc482799263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20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A34602" w:rsidRPr="00A34602" w:rsidRDefault="00A34602">
      <w:pPr>
        <w:pStyle w:val="TOC3"/>
        <w:tabs>
          <w:tab w:val="right" w:leader="dot" w:pos="9060"/>
        </w:tabs>
        <w:rPr>
          <w:rFonts w:ascii="Arial" w:hAnsi="Arial" w:cs="Arial"/>
          <w:noProof/>
          <w:lang w:val="bs-Latn-BA"/>
        </w:rPr>
      </w:pPr>
      <w:hyperlink w:anchor="_Toc482799264" w:history="1">
        <w:r w:rsidRPr="00A34602">
          <w:rPr>
            <w:rStyle w:val="Hyperlink"/>
            <w:rFonts w:ascii="Arial" w:eastAsia="Times New Roman" w:hAnsi="Arial" w:cs="Arial"/>
            <w:noProof/>
            <w:lang w:eastAsia="ar-SA"/>
          </w:rPr>
          <w:t>5.1.3. Projekcija otplate i stanja duga u Federaciji BiH u periodu od 2012 -  2020. godine</w:t>
        </w:r>
        <w:r w:rsidRPr="00A34602">
          <w:rPr>
            <w:rFonts w:ascii="Arial" w:hAnsi="Arial" w:cs="Arial"/>
            <w:noProof/>
            <w:webHidden/>
          </w:rPr>
          <w:tab/>
        </w:r>
        <w:r w:rsidRPr="00A34602">
          <w:rPr>
            <w:rFonts w:ascii="Arial" w:hAnsi="Arial" w:cs="Arial"/>
            <w:noProof/>
            <w:webHidden/>
          </w:rPr>
          <w:fldChar w:fldCharType="begin"/>
        </w:r>
        <w:r w:rsidRPr="00A34602">
          <w:rPr>
            <w:rFonts w:ascii="Arial" w:hAnsi="Arial" w:cs="Arial"/>
            <w:noProof/>
            <w:webHidden/>
          </w:rPr>
          <w:instrText xml:space="preserve"> PAGEREF _Toc482799264 \h </w:instrText>
        </w:r>
        <w:r w:rsidRPr="00A34602">
          <w:rPr>
            <w:rFonts w:ascii="Arial" w:hAnsi="Arial" w:cs="Arial"/>
            <w:noProof/>
            <w:webHidden/>
          </w:rPr>
        </w:r>
        <w:r w:rsidRPr="00A34602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23</w:t>
        </w:r>
        <w:r w:rsidRPr="00A34602">
          <w:rPr>
            <w:rFonts w:ascii="Arial" w:hAnsi="Arial" w:cs="Arial"/>
            <w:noProof/>
            <w:webHidden/>
          </w:rPr>
          <w:fldChar w:fldCharType="end"/>
        </w:r>
      </w:hyperlink>
    </w:p>
    <w:p w:rsidR="00690F7E" w:rsidRPr="00A34602" w:rsidRDefault="0069044F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  <w:r w:rsidRPr="00A34602">
        <w:rPr>
          <w:rFonts w:ascii="Arial" w:hAnsi="Arial" w:cs="Arial"/>
          <w:b/>
          <w:bCs/>
        </w:rPr>
        <w:fldChar w:fldCharType="end"/>
      </w:r>
      <w:bookmarkStart w:id="18" w:name="_GoBack"/>
      <w:bookmarkEnd w:id="18"/>
    </w:p>
    <w:p w:rsidR="005760FE" w:rsidRPr="00D36624" w:rsidRDefault="005760FE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5760FE" w:rsidRPr="00D36624" w:rsidRDefault="005760FE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5760FE" w:rsidRPr="00D36624" w:rsidRDefault="005760FE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5760FE" w:rsidRDefault="005760FE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E46D42" w:rsidRDefault="00E46D42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8558C4" w:rsidRDefault="008558C4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E3758D" w:rsidRDefault="00E3758D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E3758D" w:rsidRDefault="00E3758D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E3758D" w:rsidRDefault="00E3758D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E3758D" w:rsidRPr="00D36624" w:rsidRDefault="00E3758D" w:rsidP="00B413AA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sz w:val="24"/>
          <w:szCs w:val="24"/>
        </w:rPr>
      </w:pPr>
    </w:p>
    <w:p w:rsidR="00A90C23" w:rsidRPr="001A66DD" w:rsidRDefault="00A90C23" w:rsidP="008558C4">
      <w:pPr>
        <w:pStyle w:val="Heading1"/>
        <w:spacing w:before="120" w:after="120" w:line="240" w:lineRule="auto"/>
        <w:rPr>
          <w:rFonts w:ascii="Arial" w:hAnsi="Arial" w:cs="Arial"/>
          <w:color w:val="C00000"/>
        </w:rPr>
      </w:pPr>
      <w:bookmarkStart w:id="19" w:name="_Toc482799251"/>
      <w:r w:rsidRPr="001A66DD">
        <w:rPr>
          <w:rFonts w:ascii="Arial" w:hAnsi="Arial" w:cs="Arial"/>
          <w:color w:val="C00000"/>
        </w:rPr>
        <w:t>1. UVOD</w:t>
      </w:r>
      <w:bookmarkEnd w:id="19"/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U skladu sa Zakonom o budžetima u Federaciji Bosne i Hercegovine, Vlada Federacije BiH, na prijedlog Federalnog ministarstva finansija, donosi Smjernice ekonomske i fiskalne politike za period 2018. – 2020. godina.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Smjernice sadrže:</w:t>
      </w:r>
    </w:p>
    <w:p w:rsidR="00A90C23" w:rsidRPr="001A66DD" w:rsidRDefault="00A90C23" w:rsidP="008558C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strateške ciljeve ekonomske i fiskalne politike Federacije BiH;</w:t>
      </w:r>
    </w:p>
    <w:p w:rsidR="00A90C23" w:rsidRPr="001A66DD" w:rsidRDefault="00A90C23" w:rsidP="008558C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osnovne makroekonomske pokazatelje Federacije BiH;</w:t>
      </w:r>
    </w:p>
    <w:p w:rsidR="00A90C23" w:rsidRPr="001A66DD" w:rsidRDefault="00A90C23" w:rsidP="008558C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osnovne pokazatelje ekonomske i fiskalne politike Federacije BiH;</w:t>
      </w:r>
    </w:p>
    <w:p w:rsidR="00A90C23" w:rsidRPr="001A66DD" w:rsidRDefault="00A90C23" w:rsidP="008558C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pretpostavke društvenog i privrednog razvoja za budžetsku i za sljedeće dvije godine;</w:t>
      </w:r>
    </w:p>
    <w:p w:rsidR="00A90C23" w:rsidRPr="001A66DD" w:rsidRDefault="00A90C23" w:rsidP="008558C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procjenu prihoda budžeta i</w:t>
      </w:r>
    </w:p>
    <w:p w:rsidR="00A90C23" w:rsidRPr="001A66DD" w:rsidRDefault="00A90C23" w:rsidP="008558C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predviđene promjene javnog duga i strategiju upravljanja  javnim dugom.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  <w:lang w:val="pl-PL"/>
        </w:rPr>
        <w:t>Temeljni dokumenti koji opredjeljuju strateško usmjerenje ekonomske politike Vlade Federacije Bosne i Hercegovine u narednom periodu predstavljaju Program rada Vlade F</w:t>
      </w:r>
      <w:r w:rsidR="001A66DD">
        <w:rPr>
          <w:rFonts w:ascii="Arial" w:hAnsi="Arial" w:cs="Arial"/>
          <w:sz w:val="24"/>
          <w:szCs w:val="24"/>
          <w:lang w:val="pl-PL"/>
        </w:rPr>
        <w:t xml:space="preserve">ederacije </w:t>
      </w:r>
      <w:r w:rsidRPr="001A66DD">
        <w:rPr>
          <w:rFonts w:ascii="Arial" w:hAnsi="Arial" w:cs="Arial"/>
          <w:sz w:val="24"/>
          <w:szCs w:val="24"/>
          <w:lang w:val="pl-PL"/>
        </w:rPr>
        <w:t>BiH za mandatni period 2015. – 2018., Reformska agenda 2015. – 2018. koju su usvojile sve vlade u BiH, Program ekonomskih reformi F</w:t>
      </w:r>
      <w:r w:rsidR="001A66DD">
        <w:rPr>
          <w:rFonts w:ascii="Arial" w:hAnsi="Arial" w:cs="Arial"/>
          <w:sz w:val="24"/>
          <w:szCs w:val="24"/>
          <w:lang w:val="pl-PL"/>
        </w:rPr>
        <w:t xml:space="preserve">ederacije </w:t>
      </w:r>
      <w:r w:rsidRPr="001A66DD">
        <w:rPr>
          <w:rFonts w:ascii="Arial" w:hAnsi="Arial" w:cs="Arial"/>
          <w:sz w:val="24"/>
          <w:szCs w:val="24"/>
          <w:lang w:val="pl-PL"/>
        </w:rPr>
        <w:t>BiH 2017. – 2019., kao i strateški okvir koji uključuje razvojne dokumente poput Strategije EU 2020, Strategije razvoja Jugoistočne Evrope 2020., te sektorske strategije na nivou BiH i Federacije BiH.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</w:rPr>
        <w:t>Smjernice ekonomske i fiskalne politike za period 2018. – 2020. godina</w:t>
      </w:r>
      <w:r w:rsidRPr="001A66DD">
        <w:rPr>
          <w:rFonts w:ascii="Arial" w:hAnsi="Arial" w:cs="Arial"/>
          <w:sz w:val="24"/>
          <w:szCs w:val="24"/>
          <w:lang w:val="pl-PL"/>
        </w:rPr>
        <w:t xml:space="preserve"> će u značajnoj mjeri usmjeriti djelovanje federalnih ministarstava i institucija na politike i aktivnosti koje će najviše doprinijeti ostvarenju zacrtanih strateških ciljeva.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</w:rPr>
        <w:t>Svrha ovog dokumenta je prevođenje srednjoročne fiskalne strategije u budžetsku metodologiju, te definisanje okvira za budžetske planove budžetskih i vanbudžetskih korisnika.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Federalno ministarstvo finansija je poštujući budžetski kalendar pripremilo i dostavilo Vladi Federacije BiH Smjernice ekonomske i fiskalne politike za period 2018. – 2020. godina na razmatranje i usvajanje, a iste predstavljaju osnovu nižim nivoima vlasti za izradu srednjoročnih i godišnjih planova.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Kako je Vlada Federacije BiH odlučna u provedbi reformskih aktivnosti, te će u narednom srednjoročnom periodu poduzeti strukturne napore fisklane konsolidacije, tako Smjernice stavljaju fokus na politiku smanjenja/ograničavanja javne potrošnje na svim nivoima vlasti u Federaciji BiH.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>U skladu sa gore navedenim, uloga ovog dokumenta je prvenstveno definisati smjer i ciljeve ekonomske politike sa naglaskom na nastavku provođenja fiskalne konsolidacije, koja neće narušiti osnove ekonomskog oporavka.</w:t>
      </w:r>
    </w:p>
    <w:p w:rsid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  <w:lang w:val="pl-PL"/>
        </w:rPr>
        <w:t>Pored toga, prioriteti Vlade Federacije BiH će u narednom periodu biti usmjereni i na povećanje konkurentnosti privrede, projekte intenziviranja privrednog razvoja, jačanje unutrašnje društvene stabilnosti Federacije BiH, iniciranje i provođenje reformi usklađenih sa potrebama Bosne i Hercegovine na putu ka pridruživanju Evropskoj uniji, jačanje regionalne saradnje, te jačanje koordinacije i saradnje sa nižim nivoima vlasti u Federaciji BiH.</w:t>
      </w:r>
    </w:p>
    <w:p w:rsidR="00E3758D" w:rsidRDefault="00E3758D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90C23" w:rsidRPr="001A66DD" w:rsidRDefault="00A90C23" w:rsidP="008558C4">
      <w:pPr>
        <w:pStyle w:val="Heading1"/>
        <w:spacing w:before="120" w:after="120" w:line="240" w:lineRule="auto"/>
        <w:rPr>
          <w:rFonts w:ascii="Arial" w:eastAsia="Calibri" w:hAnsi="Arial" w:cs="Arial"/>
          <w:color w:val="C00000"/>
          <w:sz w:val="24"/>
          <w:szCs w:val="24"/>
        </w:rPr>
      </w:pPr>
      <w:bookmarkStart w:id="20" w:name="_Toc482799252"/>
      <w:r w:rsidRPr="001A66DD">
        <w:rPr>
          <w:rFonts w:ascii="Arial" w:hAnsi="Arial" w:cs="Arial"/>
          <w:color w:val="C00000"/>
        </w:rPr>
        <w:lastRenderedPageBreak/>
        <w:t>2. CILJEVI I PRIORITETI VLADE FEDERACIJE BIH U PERIODU OD 2018. - 2020.</w:t>
      </w:r>
      <w:bookmarkEnd w:id="20"/>
    </w:p>
    <w:p w:rsidR="00A90C23" w:rsidRPr="001A66DD" w:rsidRDefault="00A90C23" w:rsidP="008558C4">
      <w:pPr>
        <w:spacing w:after="12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bs-Latn-BA" w:eastAsia="en-US"/>
        </w:rPr>
      </w:pPr>
      <w:r w:rsidRPr="001A66DD">
        <w:rPr>
          <w:rFonts w:ascii="Arial" w:eastAsia="Calibri" w:hAnsi="Arial" w:cs="Arial"/>
          <w:sz w:val="24"/>
          <w:szCs w:val="24"/>
          <w:lang w:val="bs-Latn-BA" w:eastAsia="en-US"/>
        </w:rPr>
        <w:t>Opšti ciljevi i prioriteti Vlade Federacije Bosne i H</w:t>
      </w:r>
      <w:r w:rsidR="001A66DD">
        <w:rPr>
          <w:rFonts w:ascii="Arial" w:eastAsia="Calibri" w:hAnsi="Arial" w:cs="Arial"/>
          <w:sz w:val="24"/>
          <w:szCs w:val="24"/>
          <w:lang w:val="bs-Latn-BA" w:eastAsia="en-US"/>
        </w:rPr>
        <w:t>ercegovine u periodu 2018. – 2020</w:t>
      </w:r>
      <w:r w:rsidRPr="001A66DD">
        <w:rPr>
          <w:rFonts w:ascii="Arial" w:eastAsia="Calibri" w:hAnsi="Arial" w:cs="Arial"/>
          <w:sz w:val="24"/>
          <w:szCs w:val="24"/>
          <w:lang w:val="bs-Latn-BA" w:eastAsia="en-US"/>
        </w:rPr>
        <w:t xml:space="preserve">. godina usmjereni su na postizanje visokog i održivog ekonomskog razvoja, a samim tim i podsticanje većeg privrednog rasta, veći prosperitet i stvaranje novih radnih mjesta, a sve kroz jačanje regionalne saradnje i veze sa EU. </w:t>
      </w:r>
    </w:p>
    <w:p w:rsidR="00A90C23" w:rsidRPr="001A66DD" w:rsidRDefault="00A90C23" w:rsidP="008558C4">
      <w:pPr>
        <w:spacing w:after="12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bs-Latn-BA" w:eastAsia="en-US"/>
        </w:rPr>
      </w:pP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  <w:lang w:val="pl-PL"/>
        </w:rPr>
        <w:t xml:space="preserve">U osvojenom Programu rada Vlade </w:t>
      </w:r>
      <w:r w:rsidRPr="001A66DD">
        <w:rPr>
          <w:rFonts w:ascii="Arial" w:eastAsia="Calibri" w:hAnsi="Arial" w:cs="Arial"/>
          <w:sz w:val="24"/>
          <w:szCs w:val="24"/>
          <w:lang w:val="bs-Latn-BA" w:eastAsia="en-US"/>
        </w:rPr>
        <w:t>Federacije Bosne i Hercegovine</w:t>
      </w:r>
      <w:r w:rsidRPr="001A66DD">
        <w:rPr>
          <w:rFonts w:ascii="Arial" w:hAnsi="Arial" w:cs="Arial"/>
          <w:sz w:val="24"/>
          <w:szCs w:val="24"/>
          <w:lang w:val="pl-PL"/>
        </w:rPr>
        <w:t xml:space="preserve"> za mandatni period 2015. – 2018. godine, jasno su utvrđeni i istaknuti strateški ciljevi Vlade </w:t>
      </w:r>
      <w:r w:rsidRPr="001A66DD">
        <w:rPr>
          <w:rFonts w:ascii="Arial" w:eastAsia="Calibri" w:hAnsi="Arial" w:cs="Arial"/>
          <w:sz w:val="24"/>
          <w:szCs w:val="24"/>
          <w:lang w:val="bs-Latn-BA" w:eastAsia="en-US"/>
        </w:rPr>
        <w:t xml:space="preserve">Federacije Bosne i Hercegovine. Ovi ciljevi ujedno </w:t>
      </w:r>
      <w:r w:rsidRPr="001A66DD">
        <w:rPr>
          <w:rFonts w:ascii="Arial" w:hAnsi="Arial" w:cs="Arial"/>
          <w:sz w:val="24"/>
          <w:szCs w:val="24"/>
          <w:lang w:val="bs-Latn-BA"/>
        </w:rPr>
        <w:t>predstavljaju dio strateškog okvira koji opredjeljuje rad Vlade Federacije Bosne i Hercegovine u narednom periodu.</w:t>
      </w:r>
      <w:r w:rsidRPr="001A66DD">
        <w:rPr>
          <w:rFonts w:ascii="Arial" w:hAnsi="Arial" w:cs="Arial"/>
          <w:sz w:val="24"/>
          <w:szCs w:val="24"/>
          <w:lang w:val="pl-PL"/>
        </w:rPr>
        <w:t xml:space="preserve"> Navedeni ciljevi, prije svega odnose se na: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Makroekonomska stabilnost,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Konkurentnost,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Održivi razvoj,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Zapošljavanje,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Socijalna uključenost i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EU integracije.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Imajući u vidu trenutnu situaciju kao i buduće potrebe, strateški ciljevi i opredjeljenja Vlade Federacije Bosne i Hercegovine se ogledaju kroz društveno</w:t>
      </w:r>
      <w:r w:rsidR="001A66DD">
        <w:rPr>
          <w:rFonts w:ascii="Arial" w:hAnsi="Arial" w:cs="Arial"/>
          <w:sz w:val="24"/>
          <w:szCs w:val="24"/>
          <w:lang w:val="bs-Latn-BA"/>
        </w:rPr>
        <w:t xml:space="preserve"> – </w:t>
      </w:r>
      <w:r w:rsidRPr="001A66DD">
        <w:rPr>
          <w:rFonts w:ascii="Arial" w:hAnsi="Arial" w:cs="Arial"/>
          <w:sz w:val="24"/>
          <w:szCs w:val="24"/>
          <w:lang w:val="bs-Latn-BA"/>
        </w:rPr>
        <w:t>ekonomski</w:t>
      </w:r>
      <w:r w:rsidR="001A66DD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1A66DD">
        <w:rPr>
          <w:rFonts w:ascii="Arial" w:hAnsi="Arial" w:cs="Arial"/>
          <w:sz w:val="24"/>
          <w:szCs w:val="24"/>
          <w:lang w:val="bs-Latn-BA"/>
        </w:rPr>
        <w:t>razvoj koji, prvenstveno podrazumijeva razvoj konkurentnosti domaće privrede i tržišta rada. Jačanje privrede i konkurentnosti ključ je održivog i stabilnog rasta u cijeloj Bosni i Hercegovini kako bi se obezbijedio bolji životni standard građana i prosperitet. S druge strane, model stabilnog rasta privrede i jačanja konkurentnosti mora osigurati socijalnu jednakost i solidarnost svih slojeva stanovništva.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  <w:lang w:val="pl-PL"/>
        </w:rPr>
        <w:t xml:space="preserve">Obzirom da su ovi navedeni strateški ciljevi Vlade </w:t>
      </w:r>
      <w:r w:rsidRPr="001A66DD">
        <w:rPr>
          <w:rFonts w:ascii="Arial" w:hAnsi="Arial" w:cs="Arial"/>
          <w:sz w:val="24"/>
          <w:szCs w:val="24"/>
          <w:lang w:val="bs-Latn-BA"/>
        </w:rPr>
        <w:t>Federacije Bosne i Hercegovine</w:t>
      </w:r>
      <w:r w:rsidRPr="001A66DD">
        <w:rPr>
          <w:rFonts w:ascii="Arial" w:hAnsi="Arial" w:cs="Arial"/>
          <w:sz w:val="24"/>
          <w:szCs w:val="24"/>
          <w:lang w:val="pl-PL"/>
        </w:rPr>
        <w:t xml:space="preserve"> povezani sa Reformskom agendom 2015. – 2018. godine koju su prihvatile sve vlade u </w:t>
      </w:r>
      <w:r w:rsidRPr="001A66DD">
        <w:rPr>
          <w:rFonts w:ascii="Arial" w:hAnsi="Arial" w:cs="Arial"/>
          <w:sz w:val="24"/>
          <w:szCs w:val="24"/>
          <w:lang w:val="bs-Latn-BA"/>
        </w:rPr>
        <w:t xml:space="preserve">Bosni i Hercegovini </w:t>
      </w:r>
      <w:r w:rsidRPr="001A66DD">
        <w:rPr>
          <w:rFonts w:ascii="Arial" w:hAnsi="Arial" w:cs="Arial"/>
          <w:sz w:val="24"/>
          <w:szCs w:val="24"/>
          <w:lang w:val="pl-PL"/>
        </w:rPr>
        <w:t xml:space="preserve">i Programom ekonomskih reformi </w:t>
      </w:r>
      <w:r w:rsidRPr="001A66DD">
        <w:rPr>
          <w:rFonts w:ascii="Arial" w:hAnsi="Arial" w:cs="Arial"/>
          <w:sz w:val="24"/>
          <w:szCs w:val="24"/>
          <w:lang w:val="bs-Latn-BA"/>
        </w:rPr>
        <w:t>Federacije Bosne i Hercegovine</w:t>
      </w:r>
      <w:r w:rsidRPr="001A66DD">
        <w:rPr>
          <w:rFonts w:ascii="Arial" w:hAnsi="Arial" w:cs="Arial"/>
          <w:sz w:val="24"/>
          <w:szCs w:val="24"/>
          <w:lang w:val="pl-PL"/>
        </w:rPr>
        <w:t xml:space="preserve"> 2017. – 2019., neophodno je podstaći sveobuhvatne strukturne reforme kako bi se održala makroekonomska stabilnost i pospješio rast i konkurentnost. </w:t>
      </w:r>
    </w:p>
    <w:p w:rsidR="00A90C23" w:rsidRPr="001A66DD" w:rsidRDefault="00A90C23" w:rsidP="008558C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 xml:space="preserve">Važno je naglasiti da su utvrđeni prioriteti, kao i mjere koji su predviđeni agendom, podržani i od strane ključnih partnera u međunarodnim finansijskim institucijama i delegacije EU. </w:t>
      </w:r>
      <w:r w:rsidRPr="001A66DD">
        <w:rPr>
          <w:rFonts w:ascii="Arial" w:hAnsi="Arial" w:cs="Arial"/>
          <w:sz w:val="24"/>
          <w:szCs w:val="24"/>
          <w:lang w:val="pl-PL"/>
        </w:rPr>
        <w:t>U skladu sa Reformskom agendom i Programom ekonomskih reformi, strukturne reforme je neophodno provesti u slijedećim oblastima: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Javne finansije, op</w:t>
      </w:r>
      <w:r w:rsidR="001A66DD">
        <w:rPr>
          <w:rFonts w:ascii="Arial" w:hAnsi="Arial" w:cs="Arial"/>
          <w:sz w:val="24"/>
          <w:szCs w:val="24"/>
          <w:lang w:val="bs-Latn-BA"/>
        </w:rPr>
        <w:t>orezivanje i fiskalna održivost;</w:t>
      </w:r>
    </w:p>
    <w:p w:rsidR="00A90C23" w:rsidRPr="001A66DD" w:rsidRDefault="001A66DD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Poslovna klima i konkurentnost;</w:t>
      </w:r>
    </w:p>
    <w:p w:rsidR="00A90C23" w:rsidRPr="001A66DD" w:rsidRDefault="001A66DD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Tržište rada;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Refo</w:t>
      </w:r>
      <w:r w:rsidR="001A66DD">
        <w:rPr>
          <w:rFonts w:ascii="Arial" w:hAnsi="Arial" w:cs="Arial"/>
          <w:sz w:val="24"/>
          <w:szCs w:val="24"/>
          <w:lang w:val="bs-Latn-BA"/>
        </w:rPr>
        <w:t>rma socijalne zaštite i penzija;</w:t>
      </w:r>
    </w:p>
    <w:p w:rsidR="00A90C23" w:rsidRPr="001A66DD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Vladavina prava i dobro upravljanje</w:t>
      </w:r>
      <w:r w:rsidR="001A66DD">
        <w:rPr>
          <w:rFonts w:ascii="Arial" w:hAnsi="Arial" w:cs="Arial"/>
          <w:sz w:val="24"/>
          <w:szCs w:val="24"/>
          <w:lang w:val="bs-Latn-BA"/>
        </w:rPr>
        <w:t>;</w:t>
      </w:r>
      <w:r w:rsidRPr="001A66DD">
        <w:rPr>
          <w:rFonts w:ascii="Arial" w:hAnsi="Arial" w:cs="Arial"/>
          <w:sz w:val="24"/>
          <w:szCs w:val="24"/>
          <w:lang w:val="bs-Latn-BA"/>
        </w:rPr>
        <w:t xml:space="preserve"> </w:t>
      </w:r>
    </w:p>
    <w:p w:rsidR="00A90C23" w:rsidRDefault="00A90C23" w:rsidP="008558C4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1A66DD">
        <w:rPr>
          <w:rFonts w:ascii="Arial" w:hAnsi="Arial" w:cs="Arial"/>
          <w:sz w:val="24"/>
          <w:szCs w:val="24"/>
          <w:lang w:val="bs-Latn-BA"/>
        </w:rPr>
        <w:t>Reforma javne uprave</w:t>
      </w:r>
      <w:r w:rsidR="001A66DD">
        <w:rPr>
          <w:rFonts w:ascii="Arial" w:hAnsi="Arial" w:cs="Arial"/>
          <w:sz w:val="24"/>
          <w:szCs w:val="24"/>
          <w:lang w:val="bs-Latn-BA"/>
        </w:rPr>
        <w:t>.</w:t>
      </w:r>
    </w:p>
    <w:p w:rsidR="00187FC7" w:rsidRPr="00D2068F" w:rsidRDefault="00A90C23" w:rsidP="008558C4">
      <w:pPr>
        <w:pStyle w:val="Heading1"/>
        <w:spacing w:before="120" w:after="120" w:line="240" w:lineRule="auto"/>
        <w:jc w:val="both"/>
        <w:rPr>
          <w:rFonts w:ascii="Arial" w:hAnsi="Arial" w:cs="Arial"/>
          <w:b w:val="0"/>
          <w:bCs w:val="0"/>
          <w:color w:val="C00000"/>
          <w:sz w:val="24"/>
          <w:szCs w:val="24"/>
        </w:rPr>
      </w:pPr>
      <w:r w:rsidRPr="00D2068F">
        <w:rPr>
          <w:rFonts w:ascii="Arial" w:hAnsi="Arial" w:cs="Arial"/>
          <w:color w:val="C00000"/>
        </w:rPr>
        <w:lastRenderedPageBreak/>
        <w:t xml:space="preserve"> </w:t>
      </w:r>
      <w:bookmarkStart w:id="21" w:name="_Toc482799253"/>
      <w:r w:rsidR="00187FC7" w:rsidRPr="00D2068F">
        <w:rPr>
          <w:rFonts w:ascii="Arial" w:hAnsi="Arial" w:cs="Arial"/>
          <w:color w:val="C00000"/>
        </w:rPr>
        <w:t>3. MAKROEKONOMSKA KRETANJA U SREDNJOROČNOM PERIODU</w:t>
      </w:r>
      <w:bookmarkEnd w:id="21"/>
    </w:p>
    <w:p w:rsidR="00517F9E" w:rsidRPr="00D2068F" w:rsidRDefault="00187FC7" w:rsidP="008558C4">
      <w:pPr>
        <w:pStyle w:val="Heading2"/>
        <w:spacing w:before="120" w:after="120" w:line="240" w:lineRule="auto"/>
        <w:rPr>
          <w:color w:val="C00000"/>
        </w:rPr>
      </w:pPr>
      <w:bookmarkStart w:id="22" w:name="_Toc482799254"/>
      <w:r w:rsidRPr="00D2068F">
        <w:rPr>
          <w:rFonts w:ascii="Arial" w:hAnsi="Arial" w:cs="Arial"/>
          <w:color w:val="C00000"/>
        </w:rPr>
        <w:t>3.1. Međunarodno makroekonomsko okruženje za period od 201</w:t>
      </w:r>
      <w:r w:rsidR="00517F9E" w:rsidRPr="00D2068F">
        <w:rPr>
          <w:rFonts w:ascii="Arial" w:hAnsi="Arial" w:cs="Arial"/>
          <w:color w:val="C00000"/>
        </w:rPr>
        <w:t>3</w:t>
      </w:r>
      <w:r w:rsidR="00E3758D">
        <w:rPr>
          <w:rFonts w:ascii="Arial" w:hAnsi="Arial" w:cs="Arial"/>
          <w:color w:val="C00000"/>
        </w:rPr>
        <w:t xml:space="preserve"> – </w:t>
      </w:r>
      <w:r w:rsidRPr="00D2068F">
        <w:rPr>
          <w:rFonts w:ascii="Arial" w:hAnsi="Arial" w:cs="Arial"/>
          <w:color w:val="C00000"/>
        </w:rPr>
        <w:t>201</w:t>
      </w:r>
      <w:r w:rsidR="00517F9E" w:rsidRPr="00D2068F">
        <w:rPr>
          <w:rFonts w:ascii="Arial" w:hAnsi="Arial" w:cs="Arial"/>
          <w:color w:val="C00000"/>
        </w:rPr>
        <w:t>6</w:t>
      </w:r>
      <w:r w:rsidRPr="00D2068F">
        <w:rPr>
          <w:rFonts w:ascii="Arial" w:hAnsi="Arial" w:cs="Arial"/>
          <w:color w:val="C00000"/>
        </w:rPr>
        <w:t>. godine sa projekcijama</w:t>
      </w:r>
      <w:bookmarkEnd w:id="22"/>
      <w:r w:rsidRPr="00D2068F">
        <w:rPr>
          <w:rFonts w:ascii="Arial" w:hAnsi="Arial" w:cs="Arial"/>
          <w:color w:val="C00000"/>
        </w:rPr>
        <w:t xml:space="preserve"> </w:t>
      </w:r>
    </w:p>
    <w:p w:rsidR="00E22AE7" w:rsidRDefault="00517F9E" w:rsidP="00F01A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36624">
        <w:rPr>
          <w:rFonts w:ascii="Arial" w:hAnsi="Arial" w:cs="Arial"/>
          <w:sz w:val="24"/>
          <w:szCs w:val="24"/>
        </w:rPr>
        <w:t xml:space="preserve">ad </w:t>
      </w:r>
      <w:r w:rsidRPr="00D36624">
        <w:rPr>
          <w:rFonts w:ascii="Arial" w:hAnsi="Arial" w:cs="Arial"/>
          <w:color w:val="000000"/>
          <w:sz w:val="24"/>
          <w:szCs w:val="24"/>
        </w:rPr>
        <w:t>ekonomskog rasta od 0,5% iz 2013. godine na nivou Euro zone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D36624">
        <w:rPr>
          <w:rFonts w:ascii="Arial" w:hAnsi="Arial" w:cs="Arial"/>
          <w:sz w:val="24"/>
          <w:szCs w:val="24"/>
        </w:rPr>
        <w:t>otvrda</w:t>
      </w:r>
      <w:r>
        <w:rPr>
          <w:rFonts w:ascii="Arial" w:hAnsi="Arial" w:cs="Arial"/>
          <w:sz w:val="24"/>
          <w:szCs w:val="24"/>
        </w:rPr>
        <w:t xml:space="preserve"> </w:t>
      </w:r>
      <w:r w:rsidRPr="00D36624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n</w:t>
      </w:r>
      <w:r w:rsidRPr="00D36624">
        <w:rPr>
          <w:rFonts w:ascii="Arial" w:hAnsi="Arial" w:cs="Arial"/>
          <w:sz w:val="24"/>
          <w:szCs w:val="24"/>
        </w:rPr>
        <w:t>estabilnost</w:t>
      </w:r>
      <w:r>
        <w:rPr>
          <w:rFonts w:ascii="Arial" w:hAnsi="Arial" w:cs="Arial"/>
          <w:sz w:val="24"/>
          <w:szCs w:val="24"/>
        </w:rPr>
        <w:t>i</w:t>
      </w:r>
      <w:r w:rsidRPr="00D36624">
        <w:rPr>
          <w:rFonts w:ascii="Arial" w:hAnsi="Arial" w:cs="Arial"/>
          <w:sz w:val="24"/>
          <w:szCs w:val="24"/>
        </w:rPr>
        <w:t xml:space="preserve"> makroekonomskog okruženja</w:t>
      </w:r>
      <w:r>
        <w:rPr>
          <w:rFonts w:ascii="Arial" w:hAnsi="Arial" w:cs="Arial"/>
          <w:sz w:val="24"/>
          <w:szCs w:val="24"/>
        </w:rPr>
        <w:t xml:space="preserve"> tog perioda.</w:t>
      </w:r>
    </w:p>
    <w:p w:rsidR="00187FC7" w:rsidRDefault="00E22AE7" w:rsidP="00F01A5E">
      <w:pPr>
        <w:jc w:val="both"/>
        <w:rPr>
          <w:rFonts w:ascii="Arial" w:hAnsi="Arial" w:cs="Arial"/>
          <w:sz w:val="24"/>
          <w:szCs w:val="24"/>
        </w:rPr>
      </w:pPr>
      <w:r w:rsidRPr="00D36624">
        <w:rPr>
          <w:rFonts w:ascii="Arial" w:hAnsi="Arial" w:cs="Arial"/>
          <w:color w:val="000000"/>
          <w:sz w:val="24"/>
          <w:szCs w:val="24"/>
        </w:rPr>
        <w:t xml:space="preserve">Izlazak Euro zone iz recesije nakon dvije godine negativnog rasta, smanjenje svjetskih cijena, te deflacija, bili su među najznačajnijim faktorima </w:t>
      </w:r>
      <w:r>
        <w:rPr>
          <w:rFonts w:ascii="Arial" w:hAnsi="Arial" w:cs="Arial"/>
          <w:color w:val="000000"/>
          <w:sz w:val="24"/>
          <w:szCs w:val="24"/>
        </w:rPr>
        <w:t xml:space="preserve">ekonomskog rasta u 2014. godini, koji je iznosio 0,8%. </w:t>
      </w:r>
      <w:r w:rsidR="00187FC7" w:rsidRPr="00D36624">
        <w:rPr>
          <w:rFonts w:ascii="Arial" w:hAnsi="Arial" w:cs="Arial"/>
          <w:sz w:val="24"/>
          <w:szCs w:val="24"/>
        </w:rPr>
        <w:t>Recesije u Hrvatskoj i Italiji su umanjene i svedene na negativnih 0,5% dok je recesija iz 2013. godine u Sloveniji (od 1%) preokrenuta u realni rast od 2,6%. Pored Slovenije, među važnijim trgovinskim partnerima i izvorima inostranih novčanih priliva Njemačka je također ostvarila zapažen rast sa stopom od 1,5%.</w:t>
      </w:r>
    </w:p>
    <w:p w:rsidR="006917AE" w:rsidRDefault="00D2068F" w:rsidP="00F01A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D36624">
        <w:rPr>
          <w:rFonts w:ascii="Arial" w:hAnsi="Arial" w:cs="Arial"/>
          <w:sz w:val="24"/>
          <w:szCs w:val="24"/>
        </w:rPr>
        <w:t xml:space="preserve"> eurozoni je</w:t>
      </w:r>
      <w:r w:rsidR="00DA55BA">
        <w:rPr>
          <w:rFonts w:ascii="Arial" w:hAnsi="Arial" w:cs="Arial"/>
          <w:sz w:val="24"/>
          <w:szCs w:val="24"/>
        </w:rPr>
        <w:t xml:space="preserve"> </w:t>
      </w:r>
      <w:r w:rsidRPr="00D36624">
        <w:rPr>
          <w:rFonts w:ascii="Arial" w:hAnsi="Arial" w:cs="Arial"/>
          <w:sz w:val="24"/>
          <w:szCs w:val="24"/>
        </w:rPr>
        <w:t>u 2015. godini</w:t>
      </w:r>
      <w:r w:rsidR="00DA55BA">
        <w:rPr>
          <w:rFonts w:ascii="Arial" w:hAnsi="Arial" w:cs="Arial"/>
          <w:sz w:val="24"/>
          <w:szCs w:val="24"/>
        </w:rPr>
        <w:t xml:space="preserve"> </w:t>
      </w:r>
      <w:r w:rsidRPr="00D36624">
        <w:rPr>
          <w:rFonts w:ascii="Arial" w:hAnsi="Arial" w:cs="Arial"/>
          <w:sz w:val="24"/>
          <w:szCs w:val="24"/>
        </w:rPr>
        <w:t xml:space="preserve">zabilježen blagi rast realnog BDP-a u procentu od </w:t>
      </w:r>
      <w:r>
        <w:rPr>
          <w:rFonts w:ascii="Arial" w:hAnsi="Arial" w:cs="Arial"/>
          <w:sz w:val="24"/>
          <w:szCs w:val="24"/>
        </w:rPr>
        <w:t>2</w:t>
      </w:r>
      <w:r w:rsidRPr="00D3662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</w:t>
      </w:r>
      <w:r w:rsidR="00DA55BA">
        <w:rPr>
          <w:rFonts w:ascii="Arial" w:hAnsi="Arial" w:cs="Arial"/>
          <w:sz w:val="24"/>
          <w:szCs w:val="24"/>
        </w:rPr>
        <w:t>%, dok je stopa nezaposlenosti iznosila 11,0% za istu godinu.</w:t>
      </w:r>
      <w:r w:rsidR="006917AE">
        <w:rPr>
          <w:rFonts w:ascii="Arial" w:hAnsi="Arial" w:cs="Arial"/>
          <w:sz w:val="24"/>
          <w:szCs w:val="24"/>
        </w:rPr>
        <w:t xml:space="preserve"> </w:t>
      </w:r>
      <w:r w:rsidR="00187FC7" w:rsidRPr="00D36624">
        <w:rPr>
          <w:rFonts w:ascii="Arial" w:hAnsi="Arial" w:cs="Arial"/>
          <w:sz w:val="24"/>
          <w:szCs w:val="24"/>
        </w:rPr>
        <w:t>U 2015. godini zabilježen je realan rast BDP-a Njemačke u procentu od 1,7%. Austrija je  imala nešto niži rast BDP-a nego Njemačka i u 2015. godini je iznosio 0,7%. Italija je zabilježila realan rast u 2015. godini za 0,8%.</w:t>
      </w:r>
      <w:r w:rsidR="006917AE">
        <w:rPr>
          <w:rFonts w:ascii="Arial" w:hAnsi="Arial" w:cs="Arial"/>
          <w:sz w:val="24"/>
          <w:szCs w:val="24"/>
        </w:rPr>
        <w:t xml:space="preserve"> </w:t>
      </w:r>
      <w:r w:rsidR="00187FC7" w:rsidRPr="00D36624">
        <w:rPr>
          <w:rFonts w:ascii="Arial" w:hAnsi="Arial" w:cs="Arial"/>
          <w:sz w:val="24"/>
          <w:szCs w:val="24"/>
        </w:rPr>
        <w:t>Slovenija i Hrvatska bilježe blagi rast realnog BDP-a u 2015. godini, s tim što je Hrvatska imala rast za 1,8%, a Slovenija za 2,5%. Oporavak u privredi Srbije zabilježen je u 2015. godini po stopi od 0,8%. Kretanja realnog BDP-a u Makedoniji bilježila su rast za 3,3% u 2015. godini. Crna Gora je također zabilježila oporavak u 2015. godini sa realnim rastom BDP-a u procentu od 3,9%.</w:t>
      </w:r>
    </w:p>
    <w:p w:rsidR="0000332C" w:rsidRDefault="00DA55BA" w:rsidP="00F01A5E">
      <w:pPr>
        <w:jc w:val="both"/>
        <w:rPr>
          <w:rFonts w:ascii="Arial" w:hAnsi="Arial" w:cs="Arial"/>
          <w:sz w:val="24"/>
          <w:szCs w:val="24"/>
        </w:rPr>
      </w:pPr>
      <w:r w:rsidRPr="0000332C">
        <w:rPr>
          <w:rFonts w:ascii="Arial" w:hAnsi="Arial" w:cs="Arial"/>
          <w:sz w:val="24"/>
          <w:szCs w:val="24"/>
        </w:rPr>
        <w:t xml:space="preserve">Prema prognozama EUROSTAT-a, očekivanja su da će realan rast EU privrede dostići 1,7% u 2016. </w:t>
      </w:r>
      <w:r w:rsidR="006917AE" w:rsidRPr="0000332C">
        <w:rPr>
          <w:rFonts w:ascii="Arial" w:hAnsi="Arial" w:cs="Arial"/>
          <w:sz w:val="24"/>
          <w:szCs w:val="24"/>
        </w:rPr>
        <w:t>godini</w:t>
      </w:r>
      <w:r w:rsidR="0000332C">
        <w:rPr>
          <w:rFonts w:ascii="Arial" w:hAnsi="Arial" w:cs="Arial"/>
          <w:sz w:val="24"/>
          <w:szCs w:val="24"/>
        </w:rPr>
        <w:t>, te</w:t>
      </w:r>
      <w:r w:rsidR="006917AE" w:rsidRPr="0000332C">
        <w:rPr>
          <w:rFonts w:ascii="Arial" w:hAnsi="Arial" w:cs="Arial"/>
          <w:sz w:val="24"/>
          <w:szCs w:val="24"/>
        </w:rPr>
        <w:t xml:space="preserve"> predviđa se stopa nez</w:t>
      </w:r>
      <w:r w:rsidR="0000332C">
        <w:rPr>
          <w:rFonts w:ascii="Arial" w:hAnsi="Arial" w:cs="Arial"/>
          <w:sz w:val="24"/>
          <w:szCs w:val="24"/>
        </w:rPr>
        <w:t>aposlenosti u procentu od 10,5%. R</w:t>
      </w:r>
      <w:r w:rsidR="0000332C" w:rsidRPr="0000332C">
        <w:rPr>
          <w:rFonts w:ascii="Arial" w:hAnsi="Arial" w:cs="Arial"/>
          <w:sz w:val="24"/>
          <w:szCs w:val="24"/>
        </w:rPr>
        <w:t>ealan rast BDP-a Njemačke prognoziran je</w:t>
      </w:r>
      <w:r w:rsidR="0000332C">
        <w:rPr>
          <w:rFonts w:ascii="Arial" w:hAnsi="Arial" w:cs="Arial"/>
          <w:sz w:val="24"/>
          <w:szCs w:val="24"/>
        </w:rPr>
        <w:t xml:space="preserve"> </w:t>
      </w:r>
      <w:r w:rsidR="0000332C" w:rsidRPr="0000332C">
        <w:rPr>
          <w:rFonts w:ascii="Arial" w:hAnsi="Arial" w:cs="Arial"/>
          <w:sz w:val="24"/>
          <w:szCs w:val="24"/>
        </w:rPr>
        <w:t>za 2016. godinu u procentu od 1,9%</w:t>
      </w:r>
      <w:r w:rsidR="0000332C">
        <w:rPr>
          <w:rFonts w:ascii="Arial" w:hAnsi="Arial" w:cs="Arial"/>
          <w:sz w:val="24"/>
          <w:szCs w:val="24"/>
        </w:rPr>
        <w:t>, dok se z</w:t>
      </w:r>
      <w:r w:rsidR="0000332C" w:rsidRPr="0000332C">
        <w:rPr>
          <w:rFonts w:ascii="Arial" w:hAnsi="Arial" w:cs="Arial"/>
          <w:sz w:val="24"/>
          <w:szCs w:val="24"/>
        </w:rPr>
        <w:t>a 2016. godinu</w:t>
      </w:r>
      <w:r w:rsidR="0000332C">
        <w:rPr>
          <w:rFonts w:ascii="Arial" w:hAnsi="Arial" w:cs="Arial"/>
          <w:sz w:val="24"/>
          <w:szCs w:val="24"/>
        </w:rPr>
        <w:t xml:space="preserve"> </w:t>
      </w:r>
      <w:r w:rsidR="0000332C" w:rsidRPr="0000332C">
        <w:rPr>
          <w:rFonts w:ascii="Arial" w:hAnsi="Arial" w:cs="Arial"/>
          <w:sz w:val="24"/>
          <w:szCs w:val="24"/>
        </w:rPr>
        <w:t>u Austriji</w:t>
      </w:r>
      <w:r w:rsidR="0000332C">
        <w:rPr>
          <w:rFonts w:ascii="Arial" w:hAnsi="Arial" w:cs="Arial"/>
          <w:sz w:val="24"/>
          <w:szCs w:val="24"/>
        </w:rPr>
        <w:t xml:space="preserve"> </w:t>
      </w:r>
      <w:r w:rsidR="0000332C" w:rsidRPr="0000332C">
        <w:rPr>
          <w:rFonts w:ascii="Arial" w:hAnsi="Arial" w:cs="Arial"/>
          <w:sz w:val="24"/>
          <w:szCs w:val="24"/>
        </w:rPr>
        <w:t>predviđa rast po stopi od 1,5%</w:t>
      </w:r>
      <w:r w:rsidR="0000332C">
        <w:rPr>
          <w:rFonts w:ascii="Arial" w:hAnsi="Arial" w:cs="Arial"/>
          <w:sz w:val="24"/>
          <w:szCs w:val="24"/>
        </w:rPr>
        <w:t xml:space="preserve">. </w:t>
      </w:r>
      <w:r w:rsidR="0000332C" w:rsidRPr="0000332C">
        <w:rPr>
          <w:rFonts w:ascii="Arial" w:hAnsi="Arial" w:cs="Arial"/>
          <w:sz w:val="24"/>
          <w:szCs w:val="24"/>
        </w:rPr>
        <w:t>Italija bi trebala</w:t>
      </w:r>
      <w:r w:rsidR="0000332C">
        <w:rPr>
          <w:rFonts w:ascii="Arial" w:hAnsi="Arial" w:cs="Arial"/>
          <w:sz w:val="24"/>
          <w:szCs w:val="24"/>
        </w:rPr>
        <w:t xml:space="preserve"> </w:t>
      </w:r>
      <w:r w:rsidR="0000332C" w:rsidRPr="0000332C">
        <w:rPr>
          <w:rFonts w:ascii="Arial" w:hAnsi="Arial" w:cs="Arial"/>
          <w:sz w:val="24"/>
          <w:szCs w:val="24"/>
        </w:rPr>
        <w:t>zadržati isti nivo rasta</w:t>
      </w:r>
      <w:r w:rsidR="0000332C">
        <w:rPr>
          <w:rFonts w:ascii="Arial" w:hAnsi="Arial" w:cs="Arial"/>
          <w:sz w:val="24"/>
          <w:szCs w:val="24"/>
        </w:rPr>
        <w:t xml:space="preserve"> </w:t>
      </w:r>
      <w:r w:rsidR="0000332C" w:rsidRPr="0000332C">
        <w:rPr>
          <w:rFonts w:ascii="Arial" w:hAnsi="Arial" w:cs="Arial"/>
          <w:sz w:val="24"/>
          <w:szCs w:val="24"/>
        </w:rPr>
        <w:t>2016. godine</w:t>
      </w:r>
      <w:r w:rsidR="0000332C">
        <w:rPr>
          <w:rFonts w:ascii="Arial" w:hAnsi="Arial" w:cs="Arial"/>
          <w:sz w:val="24"/>
          <w:szCs w:val="24"/>
        </w:rPr>
        <w:t>, u iznosu od 0,7%.</w:t>
      </w:r>
    </w:p>
    <w:p w:rsidR="00517F9E" w:rsidRDefault="006917AE" w:rsidP="00F01A5E">
      <w:pPr>
        <w:jc w:val="both"/>
        <w:rPr>
          <w:rFonts w:ascii="Arial" w:hAnsi="Arial" w:cs="Arial"/>
          <w:sz w:val="24"/>
          <w:szCs w:val="24"/>
        </w:rPr>
      </w:pPr>
      <w:r w:rsidRPr="0000332C">
        <w:rPr>
          <w:rFonts w:ascii="Arial" w:hAnsi="Arial" w:cs="Arial"/>
          <w:sz w:val="24"/>
          <w:szCs w:val="24"/>
        </w:rPr>
        <w:t>Prema projekcijama u  2016. godini očekuje se rast GDP-a Sloveni</w:t>
      </w:r>
      <w:r w:rsidR="0000332C">
        <w:rPr>
          <w:rFonts w:ascii="Arial" w:hAnsi="Arial" w:cs="Arial"/>
          <w:sz w:val="24"/>
          <w:szCs w:val="24"/>
        </w:rPr>
        <w:t xml:space="preserve">je za 2,2%, a u Hrvatskoj 2,6%. Za Srbiju, Makedoniju i Crnu Goru </w:t>
      </w:r>
      <w:r w:rsidR="001A66DD">
        <w:rPr>
          <w:rFonts w:ascii="Arial" w:hAnsi="Arial" w:cs="Arial"/>
          <w:sz w:val="24"/>
          <w:szCs w:val="24"/>
        </w:rPr>
        <w:t>predviđaju se stope rasta GDP-a od 2,7%, 2,1% i 2,7% za 2016. godinu.</w:t>
      </w:r>
    </w:p>
    <w:p w:rsidR="008558C4" w:rsidRDefault="00517F9E" w:rsidP="00F01A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A66DD">
        <w:rPr>
          <w:rFonts w:ascii="Arial" w:hAnsi="Arial" w:cs="Arial"/>
          <w:sz w:val="24"/>
          <w:szCs w:val="24"/>
        </w:rPr>
        <w:t xml:space="preserve">Privredna kretanja i projekcije u pojedinim zemljama EU, ali i zemljama regiona, imaju uglavnom pozitivan trend. Fokus izvoznih i ekonomskih mjera Federacije Bosne i Hercegovine, treba svakako usmjeriti na rast GDP-a u Njemačkoj, obzirom da udio izvoza u Njemačku u prvih devet mjeseci 2016. godine iznosi 19,2% od ukupnog izvoza. Interes FBiH je svakako i kretanje GDP-a u Italiji, ali i Hrvatskoj, obzirom da su ove dvije zemlje sa svojim udjelima također značajne u ukupnom izvozu. Što se tiče privrednih kretanja u Srbiji i Makedniji, mogu biti interesantna sa aspekta regionalnih konkurenata u koje odlaze investicije, ukoliko Bosna i Hercegovina ne stvori povoljniji ambijent za ulaganja i poslovanje privrednih subjekata.  </w:t>
      </w:r>
    </w:p>
    <w:p w:rsidR="00D53F1F" w:rsidRPr="00517F9E" w:rsidRDefault="00D53F1F" w:rsidP="00F01A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EA02C6" w:rsidRPr="00D36624" w:rsidRDefault="00EA02C6" w:rsidP="00F0476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C70906" w:rsidRPr="00D36624" w:rsidRDefault="00C70906" w:rsidP="00F0476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87FC7" w:rsidRPr="00D53F1F" w:rsidRDefault="00187FC7" w:rsidP="00076696">
      <w:pPr>
        <w:pStyle w:val="Heading2"/>
        <w:spacing w:before="120" w:after="120" w:line="240" w:lineRule="auto"/>
        <w:rPr>
          <w:rFonts w:ascii="Arial" w:hAnsi="Arial" w:cs="Arial"/>
          <w:color w:val="C00000"/>
        </w:rPr>
      </w:pPr>
      <w:bookmarkStart w:id="23" w:name="_Toc482799255"/>
      <w:r w:rsidRPr="00D53F1F">
        <w:rPr>
          <w:rFonts w:ascii="Arial" w:hAnsi="Arial" w:cs="Arial"/>
          <w:color w:val="C00000"/>
        </w:rPr>
        <w:t>3.2. Makroekonomska kretanja u Federaciji BiH za period od 201</w:t>
      </w:r>
      <w:r w:rsidR="00D53F1F">
        <w:rPr>
          <w:rFonts w:ascii="Arial" w:hAnsi="Arial" w:cs="Arial"/>
          <w:color w:val="C00000"/>
        </w:rPr>
        <w:t>3.</w:t>
      </w:r>
      <w:r w:rsidRPr="00D53F1F">
        <w:rPr>
          <w:rFonts w:ascii="Arial" w:hAnsi="Arial" w:cs="Arial"/>
          <w:color w:val="C00000"/>
        </w:rPr>
        <w:t xml:space="preserve"> - 201</w:t>
      </w:r>
      <w:r w:rsidR="00D53F1F">
        <w:rPr>
          <w:rFonts w:ascii="Arial" w:hAnsi="Arial" w:cs="Arial"/>
          <w:color w:val="C00000"/>
        </w:rPr>
        <w:t>6</w:t>
      </w:r>
      <w:r w:rsidRPr="00D53F1F">
        <w:rPr>
          <w:rFonts w:ascii="Arial" w:hAnsi="Arial" w:cs="Arial"/>
          <w:color w:val="C00000"/>
        </w:rPr>
        <w:t>. godine</w:t>
      </w:r>
      <w:bookmarkEnd w:id="23"/>
    </w:p>
    <w:p w:rsidR="00187FC7" w:rsidRPr="00D36624" w:rsidRDefault="00187FC7" w:rsidP="00076696">
      <w:pPr>
        <w:spacing w:after="0" w:line="240" w:lineRule="auto"/>
        <w:jc w:val="both"/>
        <w:rPr>
          <w:rFonts w:ascii="Arial" w:hAnsi="Arial" w:cs="Arial"/>
          <w:sz w:val="10"/>
          <w:szCs w:val="24"/>
        </w:rPr>
      </w:pPr>
    </w:p>
    <w:p w:rsidR="00187FC7" w:rsidRPr="00D36624" w:rsidRDefault="00187FC7" w:rsidP="000766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24">
        <w:rPr>
          <w:rFonts w:ascii="Arial" w:hAnsi="Arial" w:cs="Arial"/>
          <w:sz w:val="24"/>
          <w:szCs w:val="24"/>
        </w:rPr>
        <w:t>Tabela 1: Makroekonomski pokazatelji FBiH za period 201</w:t>
      </w:r>
      <w:r w:rsidR="00D53F1F">
        <w:rPr>
          <w:rFonts w:ascii="Arial" w:hAnsi="Arial" w:cs="Arial"/>
          <w:sz w:val="24"/>
          <w:szCs w:val="24"/>
        </w:rPr>
        <w:t>3.</w:t>
      </w:r>
      <w:r w:rsidRPr="00D36624">
        <w:rPr>
          <w:rFonts w:ascii="Arial" w:hAnsi="Arial" w:cs="Arial"/>
          <w:sz w:val="24"/>
          <w:szCs w:val="24"/>
        </w:rPr>
        <w:t xml:space="preserve"> – 201</w:t>
      </w:r>
      <w:r w:rsidR="00D53F1F">
        <w:rPr>
          <w:rFonts w:ascii="Arial" w:hAnsi="Arial" w:cs="Arial"/>
          <w:sz w:val="24"/>
          <w:szCs w:val="24"/>
        </w:rPr>
        <w:t>6</w:t>
      </w:r>
      <w:r w:rsidRPr="00D36624">
        <w:rPr>
          <w:rFonts w:ascii="Arial" w:hAnsi="Arial" w:cs="Arial"/>
          <w:sz w:val="24"/>
          <w:szCs w:val="24"/>
        </w:rPr>
        <w:t>. godine (%)</w:t>
      </w:r>
    </w:p>
    <w:tbl>
      <w:tblPr>
        <w:tblStyle w:val="LightShading1"/>
        <w:tblW w:w="4804" w:type="pct"/>
        <w:jc w:val="center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047"/>
        <w:gridCol w:w="1135"/>
        <w:gridCol w:w="1135"/>
        <w:gridCol w:w="1304"/>
        <w:gridCol w:w="1301"/>
      </w:tblGrid>
      <w:tr w:rsidR="00D53F1F" w:rsidRPr="00D36624" w:rsidTr="00187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spacing w:before="2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Naziv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</w:rPr>
              <w:t>2013</w:t>
            </w:r>
          </w:p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</w:rPr>
              <w:t>2015</w:t>
            </w:r>
          </w:p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</w:rPr>
              <w:t>201</w:t>
            </w:r>
            <w:r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</w:rPr>
              <w:t>6</w:t>
            </w:r>
            <w:r>
              <w:rPr>
                <w:rStyle w:val="FootnoteReference"/>
                <w:rFonts w:ascii="Arial" w:eastAsia="Times New Roman" w:hAnsi="Arial" w:cs="Arial"/>
                <w:bCs w:val="0"/>
                <w:color w:val="000000"/>
                <w:sz w:val="24"/>
                <w:szCs w:val="24"/>
              </w:rPr>
              <w:footnoteReference w:id="1"/>
            </w:r>
          </w:p>
          <w:p w:rsidR="00D53F1F" w:rsidRPr="00D36624" w:rsidRDefault="00D53F1F" w:rsidP="00076696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D53F1F" w:rsidRPr="00D36624" w:rsidTr="00187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vMerge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Merge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vMerge/>
            <w:tcBorders>
              <w:top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3F1F" w:rsidRPr="00D36624" w:rsidTr="00D53F1F">
        <w:trPr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top w:val="single" w:sz="4" w:space="0" w:color="auto"/>
              <w:lef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Bruto domaći proizvod (realni) </w:t>
            </w:r>
          </w:p>
        </w:tc>
        <w:tc>
          <w:tcPr>
            <w:tcW w:w="636" w:type="pct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1,7</w:t>
            </w:r>
          </w:p>
        </w:tc>
        <w:tc>
          <w:tcPr>
            <w:tcW w:w="636" w:type="pct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731" w:type="pct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3,1</w:t>
            </w:r>
          </w:p>
        </w:tc>
        <w:tc>
          <w:tcPr>
            <w:tcW w:w="729" w:type="pct"/>
            <w:tcBorders>
              <w:top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2,0</w:t>
            </w:r>
          </w:p>
        </w:tc>
      </w:tr>
      <w:tr w:rsidR="00D53F1F" w:rsidRPr="00D36624" w:rsidTr="00D53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lef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Indeks industrijske proizvodnje 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7,3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2,2</w:t>
            </w:r>
          </w:p>
        </w:tc>
        <w:tc>
          <w:tcPr>
            <w:tcW w:w="729" w:type="pct"/>
            <w:tcBorders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2,2</w:t>
            </w:r>
          </w:p>
        </w:tc>
      </w:tr>
      <w:tr w:rsidR="00D53F1F" w:rsidRPr="00D36624" w:rsidTr="00D53F1F">
        <w:trPr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lef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Izvoz roba 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5,7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731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6,3</w:t>
            </w:r>
          </w:p>
        </w:tc>
        <w:tc>
          <w:tcPr>
            <w:tcW w:w="729" w:type="pct"/>
            <w:tcBorders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-1,0</w:t>
            </w:r>
          </w:p>
        </w:tc>
      </w:tr>
      <w:tr w:rsidR="00D53F1F" w:rsidRPr="00D36624" w:rsidTr="00D53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lef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Uvoz roba 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-1,4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731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3,1</w:t>
            </w:r>
          </w:p>
        </w:tc>
        <w:tc>
          <w:tcPr>
            <w:tcW w:w="729" w:type="pct"/>
            <w:tcBorders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0,8</w:t>
            </w:r>
          </w:p>
        </w:tc>
      </w:tr>
      <w:tr w:rsidR="00D53F1F" w:rsidRPr="00D36624" w:rsidTr="00D53F1F">
        <w:trPr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lef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Pokrivenost uvoza izvozom 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56,4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731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57,5</w:t>
            </w:r>
          </w:p>
        </w:tc>
        <w:tc>
          <w:tcPr>
            <w:tcW w:w="729" w:type="pct"/>
            <w:tcBorders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57,0</w:t>
            </w:r>
          </w:p>
        </w:tc>
      </w:tr>
      <w:tr w:rsidR="00D53F1F" w:rsidRPr="00D36624" w:rsidTr="00D53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lef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Stopa registrirane nezaposlenosti 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47,4</w:t>
            </w:r>
          </w:p>
        </w:tc>
        <w:tc>
          <w:tcPr>
            <w:tcW w:w="636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731" w:type="pct"/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46,4</w:t>
            </w:r>
          </w:p>
        </w:tc>
        <w:tc>
          <w:tcPr>
            <w:tcW w:w="729" w:type="pct"/>
            <w:tcBorders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45,5</w:t>
            </w:r>
          </w:p>
        </w:tc>
      </w:tr>
      <w:tr w:rsidR="00D53F1F" w:rsidRPr="00D36624" w:rsidTr="00D53F1F">
        <w:trPr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D53F1F" w:rsidRPr="00D36624" w:rsidRDefault="00D53F1F" w:rsidP="00076696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 xml:space="preserve">Indeks potrošačkih cijena 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-0,2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-0,7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-0,7</w:t>
            </w:r>
          </w:p>
        </w:tc>
        <w:tc>
          <w:tcPr>
            <w:tcW w:w="72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D53F1F" w:rsidRPr="00D36624" w:rsidRDefault="00D53F1F" w:rsidP="000766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-1,3</w:t>
            </w:r>
          </w:p>
        </w:tc>
      </w:tr>
    </w:tbl>
    <w:p w:rsidR="00187FC7" w:rsidRPr="00D36624" w:rsidRDefault="00D53F1F" w:rsidP="000766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</w:rPr>
        <w:t xml:space="preserve">   Izvor: Federalni zavod za statistiku</w:t>
      </w:r>
      <w:r w:rsidR="00187FC7" w:rsidRPr="00D36624">
        <w:rPr>
          <w:rFonts w:ascii="Arial" w:hAnsi="Arial" w:cs="Arial"/>
          <w:i/>
        </w:rPr>
        <w:t>, Federalni zavod za programiranje razvoja</w:t>
      </w:r>
    </w:p>
    <w:p w:rsidR="00187FC7" w:rsidRPr="00D36624" w:rsidRDefault="00187FC7" w:rsidP="0007669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F3E3E" w:rsidRDefault="002F3E3E" w:rsidP="00F01A5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Nešto slabiji </w:t>
      </w:r>
      <w:r w:rsidRPr="00D36624">
        <w:rPr>
          <w:rFonts w:ascii="Arial" w:hAnsi="Arial" w:cs="Arial"/>
          <w:sz w:val="24"/>
          <w:szCs w:val="24"/>
        </w:rPr>
        <w:t>makroekonomski pokazatelj</w:t>
      </w:r>
      <w:r>
        <w:rPr>
          <w:rFonts w:ascii="Arial" w:hAnsi="Arial" w:cs="Arial"/>
          <w:sz w:val="24"/>
          <w:szCs w:val="24"/>
        </w:rPr>
        <w:t>i</w:t>
      </w:r>
      <w:r w:rsidRPr="00D36624">
        <w:rPr>
          <w:rFonts w:ascii="Arial" w:hAnsi="Arial" w:cs="Arial"/>
          <w:sz w:val="24"/>
          <w:szCs w:val="24"/>
        </w:rPr>
        <w:t xml:space="preserve"> u eurozoni</w:t>
      </w:r>
      <w:r>
        <w:rPr>
          <w:rFonts w:ascii="Arial" w:hAnsi="Arial" w:cs="Arial"/>
          <w:sz w:val="24"/>
          <w:szCs w:val="24"/>
        </w:rPr>
        <w:t xml:space="preserve"> u prethodnom periodu uticali su i </w:t>
      </w:r>
      <w:r w:rsidRPr="00D36624">
        <w:rPr>
          <w:rFonts w:ascii="Arial" w:hAnsi="Arial" w:cs="Arial"/>
          <w:sz w:val="24"/>
          <w:szCs w:val="24"/>
        </w:rPr>
        <w:t>na kretanja u Federaciji BiH i B</w:t>
      </w:r>
      <w:r>
        <w:rPr>
          <w:rFonts w:ascii="Arial" w:hAnsi="Arial" w:cs="Arial"/>
          <w:sz w:val="24"/>
          <w:szCs w:val="24"/>
        </w:rPr>
        <w:t xml:space="preserve">osni </w:t>
      </w:r>
      <w:r w:rsidRPr="00D36624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D36624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ercegovini </w:t>
      </w:r>
      <w:r w:rsidRPr="00D36624">
        <w:rPr>
          <w:rFonts w:ascii="Arial" w:hAnsi="Arial" w:cs="Arial"/>
          <w:sz w:val="24"/>
          <w:szCs w:val="24"/>
        </w:rPr>
        <w:t>u cjelini.</w:t>
      </w:r>
      <w:r>
        <w:rPr>
          <w:rFonts w:ascii="Arial" w:hAnsi="Arial" w:cs="Arial"/>
          <w:sz w:val="24"/>
          <w:szCs w:val="24"/>
        </w:rPr>
        <w:t xml:space="preserve"> Usporavanje ekonomske aktivnosti </w:t>
      </w:r>
      <w:r w:rsidRPr="00D36624">
        <w:rPr>
          <w:rFonts w:ascii="Arial" w:hAnsi="Arial" w:cs="Arial"/>
          <w:sz w:val="24"/>
          <w:szCs w:val="24"/>
        </w:rPr>
        <w:t xml:space="preserve">u razvijenim zemljama Evrope, </w:t>
      </w:r>
      <w:r>
        <w:rPr>
          <w:rFonts w:ascii="Arial" w:hAnsi="Arial" w:cs="Arial"/>
          <w:sz w:val="24"/>
          <w:szCs w:val="24"/>
        </w:rPr>
        <w:t xml:space="preserve">kao što su </w:t>
      </w:r>
      <w:r w:rsidRPr="00D36624">
        <w:rPr>
          <w:rFonts w:ascii="Arial" w:hAnsi="Arial" w:cs="Arial"/>
          <w:sz w:val="24"/>
          <w:szCs w:val="24"/>
        </w:rPr>
        <w:t>Njemačk</w:t>
      </w:r>
      <w:r>
        <w:rPr>
          <w:rFonts w:ascii="Arial" w:hAnsi="Arial" w:cs="Arial"/>
          <w:sz w:val="24"/>
          <w:szCs w:val="24"/>
        </w:rPr>
        <w:t>a</w:t>
      </w:r>
      <w:r w:rsidRPr="00D36624">
        <w:rPr>
          <w:rFonts w:ascii="Arial" w:hAnsi="Arial" w:cs="Arial"/>
          <w:sz w:val="24"/>
          <w:szCs w:val="24"/>
        </w:rPr>
        <w:t xml:space="preserve"> i Austrij</w:t>
      </w:r>
      <w:r>
        <w:rPr>
          <w:rFonts w:ascii="Arial" w:hAnsi="Arial" w:cs="Arial"/>
          <w:sz w:val="24"/>
          <w:szCs w:val="24"/>
        </w:rPr>
        <w:t>a</w:t>
      </w:r>
      <w:r w:rsidRPr="00D36624">
        <w:rPr>
          <w:rFonts w:ascii="Arial" w:hAnsi="Arial" w:cs="Arial"/>
          <w:sz w:val="24"/>
          <w:szCs w:val="24"/>
        </w:rPr>
        <w:t>, koje su značajni</w:t>
      </w:r>
      <w:r>
        <w:rPr>
          <w:rFonts w:ascii="Arial" w:hAnsi="Arial" w:cs="Arial"/>
          <w:sz w:val="24"/>
          <w:szCs w:val="24"/>
        </w:rPr>
        <w:t xml:space="preserve"> vanjskotrgovinski partneri BiH, svakako da je imalo uticaja i na našu privredu.</w:t>
      </w:r>
    </w:p>
    <w:p w:rsidR="00187FC7" w:rsidRPr="00C210AF" w:rsidRDefault="002F3E3E" w:rsidP="00F01A5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Međutim, u</w:t>
      </w:r>
      <w:r w:rsidR="00187FC7" w:rsidRPr="00D36624">
        <w:rPr>
          <w:rFonts w:ascii="Arial" w:hAnsi="Arial" w:cs="Arial"/>
          <w:sz w:val="24"/>
          <w:szCs w:val="24"/>
        </w:rPr>
        <w:t xml:space="preserve"> toku 2013. godine došlo je do stabiliziranja u eurozoni, Evropskoj uniji i regiji što se direktno odrazilo i na stabilizaciju prilika u Federaciji BiH, odnosno došlo je do rasta stopa realnog </w:t>
      </w:r>
      <w:r w:rsidR="00187FC7" w:rsidRPr="00C210AF">
        <w:rPr>
          <w:rFonts w:ascii="Arial" w:hAnsi="Arial" w:cs="Arial"/>
          <w:sz w:val="24"/>
          <w:szCs w:val="24"/>
        </w:rPr>
        <w:t xml:space="preserve">BDP-a, industrijske proizvodnje i izvoza. </w:t>
      </w:r>
    </w:p>
    <w:p w:rsidR="00C210AF" w:rsidRDefault="00187FC7" w:rsidP="00F01A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210AF">
        <w:rPr>
          <w:rFonts w:ascii="Arial" w:hAnsi="Arial" w:cs="Arial"/>
          <w:sz w:val="24"/>
          <w:szCs w:val="24"/>
        </w:rPr>
        <w:t>Kretanje BDP-a na nivou BiH i F</w:t>
      </w:r>
      <w:r w:rsidR="00424920">
        <w:rPr>
          <w:rFonts w:ascii="Arial" w:hAnsi="Arial" w:cs="Arial"/>
          <w:sz w:val="24"/>
          <w:szCs w:val="24"/>
        </w:rPr>
        <w:t xml:space="preserve">ederacij </w:t>
      </w:r>
      <w:r w:rsidRPr="00C210AF">
        <w:rPr>
          <w:rFonts w:ascii="Arial" w:hAnsi="Arial" w:cs="Arial"/>
          <w:sz w:val="24"/>
          <w:szCs w:val="24"/>
        </w:rPr>
        <w:t>BiH nastavlja pozitivan trend</w:t>
      </w:r>
      <w:r w:rsidR="002F3E3E" w:rsidRPr="00C210AF">
        <w:rPr>
          <w:rFonts w:ascii="Arial" w:hAnsi="Arial" w:cs="Arial"/>
          <w:sz w:val="24"/>
          <w:szCs w:val="24"/>
        </w:rPr>
        <w:t xml:space="preserve"> kako </w:t>
      </w:r>
      <w:r w:rsidRPr="00C210AF">
        <w:rPr>
          <w:rFonts w:ascii="Arial" w:hAnsi="Arial" w:cs="Arial"/>
          <w:sz w:val="24"/>
          <w:szCs w:val="24"/>
        </w:rPr>
        <w:t>u 2014. godini</w:t>
      </w:r>
      <w:r w:rsidR="002F3E3E" w:rsidRPr="00C210AF">
        <w:rPr>
          <w:rFonts w:ascii="Arial" w:hAnsi="Arial" w:cs="Arial"/>
          <w:sz w:val="24"/>
          <w:szCs w:val="24"/>
        </w:rPr>
        <w:t>, tako i u 2015. godini</w:t>
      </w:r>
      <w:r w:rsidRPr="00C210AF">
        <w:rPr>
          <w:rFonts w:ascii="Arial" w:hAnsi="Arial" w:cs="Arial"/>
          <w:sz w:val="24"/>
          <w:szCs w:val="24"/>
        </w:rPr>
        <w:t>. Ostvareni BDP u BiH za 201</w:t>
      </w:r>
      <w:r w:rsidR="002F3E3E" w:rsidRPr="00C210AF">
        <w:rPr>
          <w:rFonts w:ascii="Arial" w:hAnsi="Arial" w:cs="Arial"/>
          <w:sz w:val="24"/>
          <w:szCs w:val="24"/>
        </w:rPr>
        <w:t>5</w:t>
      </w:r>
      <w:r w:rsidRPr="00C210AF">
        <w:rPr>
          <w:rFonts w:ascii="Arial" w:hAnsi="Arial" w:cs="Arial"/>
          <w:sz w:val="24"/>
          <w:szCs w:val="24"/>
        </w:rPr>
        <w:t>. godinu nominalno iznosi 28.</w:t>
      </w:r>
      <w:r w:rsidR="002F3E3E" w:rsidRPr="00C210AF">
        <w:rPr>
          <w:rFonts w:ascii="Arial" w:hAnsi="Arial" w:cs="Arial"/>
          <w:sz w:val="24"/>
          <w:szCs w:val="24"/>
        </w:rPr>
        <w:t>540</w:t>
      </w:r>
      <w:r w:rsidRPr="00C210AF">
        <w:rPr>
          <w:rFonts w:ascii="Arial" w:hAnsi="Arial" w:cs="Arial"/>
          <w:sz w:val="24"/>
          <w:szCs w:val="24"/>
        </w:rPr>
        <w:t xml:space="preserve"> miliona KM, pri čemu </w:t>
      </w:r>
      <w:r w:rsidR="002F3E3E" w:rsidRPr="00C210AF">
        <w:rPr>
          <w:rFonts w:ascii="Arial" w:hAnsi="Arial" w:cs="Arial"/>
          <w:sz w:val="24"/>
          <w:szCs w:val="24"/>
          <w:lang w:val="pl-PL"/>
        </w:rPr>
        <w:t>je ostvaren realan</w:t>
      </w:r>
      <w:r w:rsidR="002F3E3E" w:rsidRPr="00C210AF">
        <w:rPr>
          <w:rFonts w:ascii="Arial" w:hAnsi="Arial" w:cs="Arial"/>
          <w:sz w:val="24"/>
          <w:szCs w:val="24"/>
          <w:lang w:val="hr-HR"/>
        </w:rPr>
        <w:t xml:space="preserve"> rast u procentu od 3,03%</w:t>
      </w:r>
      <w:r w:rsidR="002F3E3E" w:rsidRPr="00C210AF">
        <w:rPr>
          <w:rFonts w:ascii="Arial" w:hAnsi="Arial" w:cs="Arial"/>
          <w:sz w:val="24"/>
          <w:szCs w:val="24"/>
        </w:rPr>
        <w:t>.</w:t>
      </w:r>
      <w:r w:rsidR="00C210AF" w:rsidRPr="00C210AF">
        <w:rPr>
          <w:rStyle w:val="FootnoteReference"/>
          <w:rFonts w:ascii="Arial" w:hAnsi="Arial" w:cs="Arial"/>
          <w:sz w:val="24"/>
          <w:szCs w:val="24"/>
        </w:rPr>
        <w:footnoteReference w:id="2"/>
      </w:r>
      <w:r w:rsidR="00C210AF" w:rsidRPr="00C210AF">
        <w:rPr>
          <w:rFonts w:ascii="Arial" w:hAnsi="Arial" w:cs="Arial"/>
          <w:sz w:val="24"/>
          <w:szCs w:val="24"/>
        </w:rPr>
        <w:t xml:space="preserve"> </w:t>
      </w:r>
      <w:r w:rsidRPr="00C210AF">
        <w:rPr>
          <w:rFonts w:ascii="Arial" w:hAnsi="Arial" w:cs="Arial"/>
          <w:sz w:val="24"/>
          <w:szCs w:val="24"/>
        </w:rPr>
        <w:t>U F</w:t>
      </w:r>
      <w:r w:rsidR="002F3E3E" w:rsidRPr="00C210AF">
        <w:rPr>
          <w:rFonts w:ascii="Arial" w:hAnsi="Arial" w:cs="Arial"/>
          <w:sz w:val="24"/>
          <w:szCs w:val="24"/>
        </w:rPr>
        <w:t xml:space="preserve">ederaciji </w:t>
      </w:r>
      <w:r w:rsidRPr="00C210AF">
        <w:rPr>
          <w:rFonts w:ascii="Arial" w:hAnsi="Arial" w:cs="Arial"/>
          <w:sz w:val="24"/>
          <w:szCs w:val="24"/>
        </w:rPr>
        <w:t>BiH je također zabilježen realni rast BDP-a u 201</w:t>
      </w:r>
      <w:r w:rsidR="002F3E3E" w:rsidRPr="00C210AF">
        <w:rPr>
          <w:rFonts w:ascii="Arial" w:hAnsi="Arial" w:cs="Arial"/>
          <w:sz w:val="24"/>
          <w:szCs w:val="24"/>
        </w:rPr>
        <w:t>5. godini od 3</w:t>
      </w:r>
      <w:r w:rsidRPr="00C210AF">
        <w:rPr>
          <w:rFonts w:ascii="Arial" w:hAnsi="Arial" w:cs="Arial"/>
          <w:sz w:val="24"/>
          <w:szCs w:val="24"/>
        </w:rPr>
        <w:t>,</w:t>
      </w:r>
      <w:r w:rsidR="002F3E3E" w:rsidRPr="00C210AF">
        <w:rPr>
          <w:rFonts w:ascii="Arial" w:hAnsi="Arial" w:cs="Arial"/>
          <w:sz w:val="24"/>
          <w:szCs w:val="24"/>
        </w:rPr>
        <w:t>1</w:t>
      </w:r>
      <w:r w:rsidRPr="00C210AF">
        <w:rPr>
          <w:rFonts w:ascii="Arial" w:hAnsi="Arial" w:cs="Arial"/>
          <w:sz w:val="24"/>
          <w:szCs w:val="24"/>
        </w:rPr>
        <w:t>%.</w:t>
      </w:r>
    </w:p>
    <w:p w:rsidR="00C210AF" w:rsidRDefault="00C210AF" w:rsidP="00F01A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24920" w:rsidRDefault="002F3E3E" w:rsidP="00F01A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210AF">
        <w:rPr>
          <w:rFonts w:ascii="Arial" w:hAnsi="Arial" w:cs="Arial"/>
          <w:sz w:val="24"/>
          <w:szCs w:val="24"/>
        </w:rPr>
        <w:t>Prema ocjenama Federalnog zavoda za programiranje razvoja očekuje se da će realan rast BDP-a u F</w:t>
      </w:r>
      <w:r w:rsidR="00C210AF" w:rsidRPr="00C210AF">
        <w:rPr>
          <w:rFonts w:ascii="Arial" w:hAnsi="Arial" w:cs="Arial"/>
          <w:sz w:val="24"/>
          <w:szCs w:val="24"/>
        </w:rPr>
        <w:t xml:space="preserve">ederaciji </w:t>
      </w:r>
      <w:r w:rsidRPr="00C210AF">
        <w:rPr>
          <w:rFonts w:ascii="Arial" w:hAnsi="Arial" w:cs="Arial"/>
          <w:sz w:val="24"/>
          <w:szCs w:val="24"/>
        </w:rPr>
        <w:t>BiH u  2016. godini iznositi 2,1%.</w:t>
      </w:r>
      <w:r w:rsidR="00C210AF" w:rsidRPr="00C210AF">
        <w:rPr>
          <w:rStyle w:val="FootnoteReference"/>
          <w:rFonts w:ascii="Arial" w:hAnsi="Arial" w:cs="Arial"/>
          <w:sz w:val="24"/>
          <w:szCs w:val="24"/>
        </w:rPr>
        <w:footnoteReference w:id="3"/>
      </w:r>
    </w:p>
    <w:p w:rsidR="00D91097" w:rsidRDefault="00D91097" w:rsidP="00F01A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B3D3A" w:rsidRDefault="00424920" w:rsidP="00F01A5E">
      <w:pPr>
        <w:spacing w:after="240"/>
        <w:jc w:val="both"/>
        <w:rPr>
          <w:rFonts w:ascii="Arial" w:hAnsi="Arial" w:cs="Arial"/>
          <w:sz w:val="24"/>
          <w:szCs w:val="24"/>
          <w:lang w:val="pl-PL"/>
        </w:rPr>
      </w:pPr>
      <w:r w:rsidRPr="00D91097">
        <w:rPr>
          <w:rFonts w:ascii="Arial" w:hAnsi="Arial" w:cs="Arial"/>
          <w:sz w:val="24"/>
          <w:szCs w:val="24"/>
        </w:rPr>
        <w:t>Industrijska proizvodnja u Federaciji Bosne i Hercegovine u prvih devet mjeseci  2016. godini u odnosu na isti period prethodne godine veća je za 2,2%.</w:t>
      </w:r>
      <w:r w:rsidRPr="00D91097">
        <w:rPr>
          <w:rFonts w:ascii="Arial" w:hAnsi="Arial" w:cs="Arial"/>
          <w:sz w:val="24"/>
          <w:szCs w:val="24"/>
          <w:lang w:val="pl-PL"/>
        </w:rPr>
        <w:t xml:space="preserve"> </w:t>
      </w:r>
      <w:r w:rsidR="00D91097" w:rsidRPr="00D91097">
        <w:rPr>
          <w:rFonts w:ascii="Arial" w:hAnsi="Arial" w:cs="Arial"/>
          <w:sz w:val="24"/>
          <w:szCs w:val="24"/>
          <w:lang w:val="pl-PL"/>
        </w:rPr>
        <w:t xml:space="preserve">Također, </w:t>
      </w:r>
      <w:r w:rsidRPr="00D91097">
        <w:rPr>
          <w:rFonts w:ascii="Arial" w:hAnsi="Arial" w:cs="Arial"/>
          <w:sz w:val="24"/>
          <w:szCs w:val="24"/>
          <w:lang w:val="pl-PL"/>
        </w:rPr>
        <w:t xml:space="preserve">i </w:t>
      </w:r>
      <w:r w:rsidRPr="00D91097">
        <w:rPr>
          <w:rFonts w:ascii="Arial" w:hAnsi="Arial" w:cs="Arial"/>
          <w:sz w:val="24"/>
          <w:szCs w:val="24"/>
          <w:lang w:val="pl-PL"/>
        </w:rPr>
        <w:lastRenderedPageBreak/>
        <w:t>indikator rasta industrijske proizvodnje u 2016. godini</w:t>
      </w:r>
      <w:r w:rsidR="00D91097" w:rsidRPr="00D91097">
        <w:rPr>
          <w:rFonts w:ascii="Arial" w:hAnsi="Arial" w:cs="Arial"/>
          <w:sz w:val="24"/>
          <w:szCs w:val="24"/>
          <w:lang w:val="pl-PL"/>
        </w:rPr>
        <w:t xml:space="preserve"> identičan je indikatoru industrijske proizvodnje i iznosi 2,2%</w:t>
      </w:r>
      <w:r w:rsidRPr="00D91097">
        <w:rPr>
          <w:rFonts w:ascii="Arial" w:hAnsi="Arial" w:cs="Arial"/>
          <w:sz w:val="24"/>
          <w:szCs w:val="24"/>
          <w:lang w:val="pl-PL"/>
        </w:rPr>
        <w:t xml:space="preserve">. </w:t>
      </w:r>
    </w:p>
    <w:p w:rsidR="002B3D3A" w:rsidRPr="00060E0A" w:rsidRDefault="00424920" w:rsidP="00F01A5E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060E0A">
        <w:rPr>
          <w:rFonts w:ascii="Arial" w:hAnsi="Arial" w:cs="Arial"/>
          <w:sz w:val="24"/>
          <w:szCs w:val="24"/>
          <w:lang w:val="pl-PL"/>
        </w:rPr>
        <w:t xml:space="preserve">Pokrivenost uvoza izvozom je nešto niža u prva tri kvartala 2016. godine (57,0%), u odnosu </w:t>
      </w:r>
      <w:r w:rsidRPr="00060E0A">
        <w:rPr>
          <w:rFonts w:ascii="Arial" w:hAnsi="Arial" w:cs="Arial"/>
          <w:sz w:val="24"/>
          <w:szCs w:val="24"/>
        </w:rPr>
        <w:t>na prethodnu godinu kada je 57,5% uvoza bilo pokriveno izvozom.</w:t>
      </w:r>
      <w:r w:rsidR="00060E0A" w:rsidRPr="00060E0A">
        <w:rPr>
          <w:rFonts w:ascii="Arial" w:hAnsi="Arial" w:cs="Arial"/>
          <w:sz w:val="24"/>
          <w:szCs w:val="24"/>
        </w:rPr>
        <w:t xml:space="preserve"> </w:t>
      </w:r>
      <w:r w:rsidRPr="00060E0A">
        <w:rPr>
          <w:rFonts w:ascii="Arial" w:hAnsi="Arial" w:cs="Arial"/>
          <w:sz w:val="24"/>
          <w:szCs w:val="24"/>
        </w:rPr>
        <w:t>Rast izvoza u 2015. godini za 6,3%, nije nastavljen i u prvih devet mjeseci 2016. godine, pa</w:t>
      </w:r>
      <w:r w:rsidR="00060E0A" w:rsidRPr="00060E0A">
        <w:rPr>
          <w:rFonts w:ascii="Arial" w:hAnsi="Arial" w:cs="Arial"/>
          <w:sz w:val="24"/>
          <w:szCs w:val="24"/>
        </w:rPr>
        <w:t xml:space="preserve"> isti </w:t>
      </w:r>
      <w:r w:rsidRPr="00060E0A">
        <w:rPr>
          <w:rFonts w:ascii="Arial" w:hAnsi="Arial" w:cs="Arial"/>
          <w:sz w:val="24"/>
          <w:szCs w:val="24"/>
        </w:rPr>
        <w:t>bilježi pad 1,0%. Uvoz je u 2015. godini zabilježio rast u procentu od 3,1%, a u prvih devet mjeseci  2016. godini  rastao je po stopi od  0,8%.</w:t>
      </w:r>
    </w:p>
    <w:p w:rsidR="002B3D3A" w:rsidRPr="00060E0A" w:rsidRDefault="00424920" w:rsidP="00F01A5E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4"/>
          <w:szCs w:val="24"/>
        </w:rPr>
      </w:pPr>
      <w:r w:rsidRPr="00060E0A">
        <w:rPr>
          <w:rFonts w:ascii="Arial" w:hAnsi="Arial" w:cs="Arial"/>
          <w:sz w:val="24"/>
          <w:szCs w:val="24"/>
        </w:rPr>
        <w:t>Blagi rast privredne aktivnost u toku 2015. i početkom 2016. godine uticao je na pozitivna kretanja na tržištu rada. Prema statističkim podacima, prosje</w:t>
      </w:r>
      <w:r w:rsidRPr="00060E0A">
        <w:rPr>
          <w:rFonts w:ascii="Arial" w:eastAsia="TimesNewRoman" w:hAnsi="Arial" w:cs="Arial"/>
          <w:sz w:val="24"/>
          <w:szCs w:val="24"/>
        </w:rPr>
        <w:t>č</w:t>
      </w:r>
      <w:r w:rsidRPr="00060E0A">
        <w:rPr>
          <w:rFonts w:ascii="Arial" w:hAnsi="Arial" w:cs="Arial"/>
          <w:sz w:val="24"/>
          <w:szCs w:val="24"/>
        </w:rPr>
        <w:t>an broj ukupno zaposlenih u 2015. godini povećan je za 1,5%, i u prvih devet mjeseci  2016. godine također</w:t>
      </w:r>
      <w:r w:rsidR="00060E0A" w:rsidRPr="00060E0A">
        <w:rPr>
          <w:rFonts w:ascii="Arial" w:hAnsi="Arial" w:cs="Arial"/>
          <w:sz w:val="24"/>
          <w:szCs w:val="24"/>
        </w:rPr>
        <w:t xml:space="preserve"> ostvaren je rast od </w:t>
      </w:r>
      <w:r w:rsidRPr="00060E0A">
        <w:rPr>
          <w:rFonts w:ascii="Arial" w:hAnsi="Arial" w:cs="Arial"/>
          <w:sz w:val="24"/>
          <w:szCs w:val="24"/>
        </w:rPr>
        <w:t xml:space="preserve">1,5%. </w:t>
      </w:r>
    </w:p>
    <w:p w:rsidR="00424920" w:rsidRPr="00060E0A" w:rsidRDefault="00424920" w:rsidP="00F01A5E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4"/>
          <w:szCs w:val="24"/>
        </w:rPr>
      </w:pPr>
      <w:r w:rsidRPr="00060E0A">
        <w:rPr>
          <w:rFonts w:ascii="Arial" w:hAnsi="Arial" w:cs="Arial"/>
          <w:sz w:val="24"/>
          <w:szCs w:val="24"/>
          <w:lang w:val="pl-PL"/>
        </w:rPr>
        <w:t>Stepen nezaposlenosti (registrovana nezaposlenost) u F</w:t>
      </w:r>
      <w:r w:rsidR="00060E0A" w:rsidRPr="00060E0A">
        <w:rPr>
          <w:rFonts w:ascii="Arial" w:hAnsi="Arial" w:cs="Arial"/>
          <w:sz w:val="24"/>
          <w:szCs w:val="24"/>
          <w:lang w:val="pl-PL"/>
        </w:rPr>
        <w:t xml:space="preserve">ederaciji </w:t>
      </w:r>
      <w:r w:rsidRPr="00060E0A">
        <w:rPr>
          <w:rFonts w:ascii="Arial" w:hAnsi="Arial" w:cs="Arial"/>
          <w:sz w:val="24"/>
          <w:szCs w:val="24"/>
          <w:lang w:val="pl-PL"/>
        </w:rPr>
        <w:t>BiH u 2015. godini iznosio je 46,4% (mjeren brojem nezaposlenih u odnosu na radnu snagu), a u prvih devet mjeseci 2016. godine stepen nezaposlenosti je nešto niži i iznosi 45,5%. Pored nedovoljnog rasta u zemljama EU zone, izostanka strukturnih reformi i pada investicija, ovako visokoj stopi nezaposlenosti u znatnoj mjeri doprinosi veoma velika prisutnost rada na „crno“, pri čemu su, pored stvarno nezaposlenih u ovaj podatak uključeni i zaposleni koji rade u neregistriranoj ekonomiji. Stopa nezaposlenosti u F</w:t>
      </w:r>
      <w:r w:rsidR="00060E0A" w:rsidRPr="00060E0A">
        <w:rPr>
          <w:rFonts w:ascii="Arial" w:hAnsi="Arial" w:cs="Arial"/>
          <w:sz w:val="24"/>
          <w:szCs w:val="24"/>
          <w:lang w:val="pl-PL"/>
        </w:rPr>
        <w:t xml:space="preserve">ederaciji </w:t>
      </w:r>
      <w:r w:rsidRPr="00060E0A">
        <w:rPr>
          <w:rFonts w:ascii="Arial" w:hAnsi="Arial" w:cs="Arial"/>
          <w:sz w:val="24"/>
          <w:szCs w:val="24"/>
          <w:lang w:val="pl-PL"/>
        </w:rPr>
        <w:t xml:space="preserve">BiH prema Anketi o radnoj snazi za 2015. godinu iznosi 29,1% (takođe predstavlja odnos broja nezaposlenih i radne snage) i znatno je </w:t>
      </w:r>
      <w:r w:rsidRPr="00060E0A">
        <w:rPr>
          <w:rFonts w:ascii="Arial" w:hAnsi="Arial" w:cs="Arial"/>
          <w:sz w:val="24"/>
          <w:szCs w:val="24"/>
        </w:rPr>
        <w:t xml:space="preserve">niža u odnosu na zvaničnu (registrovanu) stopu nezaposlenosti. </w:t>
      </w:r>
    </w:p>
    <w:p w:rsidR="00187FC7" w:rsidRPr="00D36624" w:rsidRDefault="00424920" w:rsidP="00F01A5E">
      <w:pPr>
        <w:spacing w:after="360"/>
        <w:jc w:val="both"/>
        <w:rPr>
          <w:rFonts w:ascii="Arial" w:hAnsi="Arial" w:cs="Arial"/>
          <w:sz w:val="24"/>
          <w:szCs w:val="24"/>
        </w:rPr>
      </w:pPr>
      <w:r w:rsidRPr="00060E0A">
        <w:rPr>
          <w:rFonts w:ascii="Arial" w:hAnsi="Arial" w:cs="Arial"/>
          <w:sz w:val="24"/>
          <w:szCs w:val="24"/>
        </w:rPr>
        <w:t xml:space="preserve">U Federaciji Bosne i Hercegovine u 2015. godini zabilježena je deflacija u procentu od 0,7%. Po stopi od 1,7% zabilježen je pad cijena za prvih devet mjeseci u 2016. godini. </w:t>
      </w:r>
    </w:p>
    <w:p w:rsidR="00187FC7" w:rsidRPr="00024636" w:rsidRDefault="00187FC7" w:rsidP="00F01A5E">
      <w:pPr>
        <w:pStyle w:val="Heading2"/>
        <w:spacing w:before="120" w:after="120"/>
        <w:rPr>
          <w:rFonts w:ascii="Arial" w:hAnsi="Arial" w:cs="Arial"/>
          <w:color w:val="C00000"/>
        </w:rPr>
      </w:pPr>
      <w:bookmarkStart w:id="24" w:name="_Toc482799256"/>
      <w:r w:rsidRPr="00024636">
        <w:rPr>
          <w:rFonts w:ascii="Arial" w:hAnsi="Arial" w:cs="Arial"/>
          <w:color w:val="C00000"/>
        </w:rPr>
        <w:t>3.3. Makroekonomske projekcije za period od 201</w:t>
      </w:r>
      <w:r w:rsidR="005E2B56">
        <w:rPr>
          <w:rFonts w:ascii="Arial" w:hAnsi="Arial" w:cs="Arial"/>
          <w:color w:val="C00000"/>
        </w:rPr>
        <w:t>8.</w:t>
      </w:r>
      <w:r w:rsidR="00024636" w:rsidRPr="00024636">
        <w:rPr>
          <w:rFonts w:ascii="Arial" w:hAnsi="Arial" w:cs="Arial"/>
          <w:color w:val="C00000"/>
        </w:rPr>
        <w:t xml:space="preserve"> – 2020</w:t>
      </w:r>
      <w:r w:rsidRPr="00024636">
        <w:rPr>
          <w:rFonts w:ascii="Arial" w:hAnsi="Arial" w:cs="Arial"/>
          <w:color w:val="C00000"/>
        </w:rPr>
        <w:t>. godine</w:t>
      </w:r>
      <w:bookmarkEnd w:id="24"/>
    </w:p>
    <w:p w:rsidR="00076696" w:rsidRPr="00514CAA" w:rsidRDefault="00076696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  <w:r w:rsidRPr="00514CAA">
        <w:rPr>
          <w:rFonts w:ascii="Arial" w:hAnsi="Arial" w:cs="Arial"/>
          <w:sz w:val="24"/>
          <w:lang w:val="bs-Latn-BA"/>
        </w:rPr>
        <w:t>Osnovna pretpostavka projiciranog rasta u BiH se tiče ekonomskih kretanja u okruženju i to prije svega u smislu promjena izvozne tražnje, te inostranog finansiranja finalne potrošnje i investicija. Unutrašnje pretpostavke podrazumjevaju uobičajeni nivo političke stabilnosti, uz postepeno poboljšanje poslovnog okruženja. Osnovni scenarij podrazumijeva aranžman sa MMF-om koji bi pored direktnog uticaja na budžete trebao otvoriti vrata drugih međunarodnih finansijskih institucija u cilju finansiranja povećanja javnih radova. S druge strane, uspješna realizacija tog aranžmana u velikoj mjeri ograničava projicirani rast javne potrošnje i javnih rashoda uopšte. Rast je takođe projiciran uz pretpostavku odsustva elementarnih nepogoda u smislu poplava ili suša koje bi mogle značajno uticati na poljoprivrednu proizvodnju, te proizvodnju električne energije. Konačno, projekcija podrazumjeva povećanje svjetskih cijena koje bi pored porasta cijena bh izvoza i uvoza trebalo zaustaviti deflaciju iz prethodnog perioda.</w:t>
      </w:r>
    </w:p>
    <w:p w:rsidR="00076696" w:rsidRPr="00514CAA" w:rsidRDefault="00076696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</w:p>
    <w:p w:rsidR="00076696" w:rsidRPr="00514CAA" w:rsidRDefault="00076696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  <w:r>
        <w:rPr>
          <w:rFonts w:ascii="Arial" w:hAnsi="Arial" w:cs="Arial"/>
          <w:sz w:val="24"/>
          <w:lang w:val="bs-Latn-BA"/>
        </w:rPr>
        <w:lastRenderedPageBreak/>
        <w:t>Tako, p</w:t>
      </w:r>
      <w:r w:rsidRPr="00514CAA">
        <w:rPr>
          <w:rFonts w:ascii="Arial" w:hAnsi="Arial" w:cs="Arial"/>
          <w:sz w:val="24"/>
          <w:lang w:val="bs-Latn-BA"/>
        </w:rPr>
        <w:t>rema projekcijama DEP-a, ekonomska aktivnost BiH u 2017. godini bi trebala porasti za 3,3%, nakon čega se projicira nešto viša realna stopa od 3,6% u 2018. godini. Ovo je približno na nivou prethodnih projekcija iz novembra 2016. godine obzirom da u međuvremenu nije došlo do značajnijih promjena pretpostavki ekonomskog rasta. Očekuje se da bi nosioci ekonomskih kretanja u ovom periodu bi trebali biti realni rast izvoza od preko 5% godišnje, te povećanje privatne potrošnje od 3,2% i investicija od 7,4-9%. S druge strane, očekivani porast domaće tražnje bi trebao rezultirati realnim povećanjem uvoza sa stopama nešto nižim u odnosu na izvoz.</w:t>
      </w:r>
    </w:p>
    <w:p w:rsidR="00076696" w:rsidRPr="00514CAA" w:rsidRDefault="00076696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</w:p>
    <w:p w:rsidR="00076696" w:rsidRPr="00514CAA" w:rsidRDefault="00076696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  <w:r w:rsidRPr="00514CAA">
        <w:rPr>
          <w:rFonts w:ascii="Arial" w:hAnsi="Arial" w:cs="Arial"/>
          <w:sz w:val="24"/>
          <w:lang w:val="bs-Latn-BA"/>
        </w:rPr>
        <w:t>Očekuje se da bi se ekonomski rast u periodu 2019-20. trebao odvijati u uslovima boljeg eksternog okruženja uz blago poboljšanje poslovne klime za investiranje. Pretpostavlja se sve veća dostupnost povoljnih međunarodnih izvora finansiranja za razvoj infrastrukture. S tim u vezi bi očekivano daljnje jačanje investicija do nivoa od 21% BDP-a u 2020. godini, trebalo biti glavni izvor postepenog jačanja ekonomskog rasta na realne stope od 3,8% i 4,1% u 2019. i 2020. godini.</w:t>
      </w:r>
    </w:p>
    <w:p w:rsidR="00187FC7" w:rsidRPr="00D36624" w:rsidRDefault="00187FC7" w:rsidP="00187F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7FC7" w:rsidRDefault="00187FC7" w:rsidP="00187F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24">
        <w:rPr>
          <w:rFonts w:ascii="Arial" w:hAnsi="Arial" w:cs="Arial"/>
          <w:sz w:val="24"/>
          <w:szCs w:val="24"/>
        </w:rPr>
        <w:t>Tabela 2: Makroekonomski pokazatelji i projekcije za BiH (201</w:t>
      </w:r>
      <w:r w:rsidR="00024636">
        <w:rPr>
          <w:rFonts w:ascii="Arial" w:hAnsi="Arial" w:cs="Arial"/>
          <w:sz w:val="24"/>
          <w:szCs w:val="24"/>
        </w:rPr>
        <w:t>7.</w:t>
      </w:r>
      <w:r w:rsidRPr="00D36624">
        <w:rPr>
          <w:rFonts w:ascii="Arial" w:hAnsi="Arial" w:cs="Arial"/>
          <w:sz w:val="24"/>
          <w:szCs w:val="24"/>
        </w:rPr>
        <w:t xml:space="preserve"> – 20</w:t>
      </w:r>
      <w:r w:rsidR="00024636">
        <w:rPr>
          <w:rFonts w:ascii="Arial" w:hAnsi="Arial" w:cs="Arial"/>
          <w:sz w:val="24"/>
          <w:szCs w:val="24"/>
        </w:rPr>
        <w:t>20.</w:t>
      </w:r>
      <w:r w:rsidRPr="00D36624">
        <w:rPr>
          <w:rFonts w:ascii="Arial" w:hAnsi="Arial" w:cs="Arial"/>
          <w:sz w:val="24"/>
          <w:szCs w:val="24"/>
        </w:rPr>
        <w:t>)</w:t>
      </w:r>
    </w:p>
    <w:p w:rsidR="006C110E" w:rsidRPr="00D36624" w:rsidRDefault="006C110E" w:rsidP="00187F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ghtShading1"/>
        <w:tblW w:w="4904" w:type="pct"/>
        <w:jc w:val="center"/>
        <w:tblLook w:val="04A0" w:firstRow="1" w:lastRow="0" w:firstColumn="1" w:lastColumn="0" w:noHBand="0" w:noVBand="1"/>
      </w:tblPr>
      <w:tblGrid>
        <w:gridCol w:w="5146"/>
        <w:gridCol w:w="1047"/>
        <w:gridCol w:w="1146"/>
        <w:gridCol w:w="860"/>
        <w:gridCol w:w="909"/>
      </w:tblGrid>
      <w:tr w:rsidR="00024636" w:rsidRPr="00D36624" w:rsidTr="00BE1F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Naziv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499" w:type="pc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02463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020</w:t>
            </w:r>
          </w:p>
        </w:tc>
      </w:tr>
      <w:tr w:rsidR="00024636" w:rsidRPr="00D36624" w:rsidTr="00BE1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Bruto domaći proizvod (realni) %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3,3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3,6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024636" w:rsidRPr="00D36624" w:rsidRDefault="00024636" w:rsidP="002B220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3,8</w:t>
            </w:r>
          </w:p>
        </w:tc>
        <w:tc>
          <w:tcPr>
            <w:tcW w:w="499" w:type="pc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5760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4,1</w:t>
            </w:r>
          </w:p>
        </w:tc>
      </w:tr>
      <w:tr w:rsidR="00024636" w:rsidRPr="00D36624" w:rsidTr="00BE1F4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Indeks industrijske proizvodnje %</w:t>
            </w:r>
          </w:p>
        </w:tc>
        <w:tc>
          <w:tcPr>
            <w:tcW w:w="575" w:type="pct"/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4,8</w:t>
            </w:r>
          </w:p>
        </w:tc>
        <w:tc>
          <w:tcPr>
            <w:tcW w:w="629" w:type="pct"/>
            <w:shd w:val="clear" w:color="auto" w:fill="D6E3BC" w:themeFill="accent3" w:themeFillTint="66"/>
          </w:tcPr>
          <w:p w:rsidR="00024636" w:rsidRPr="00D36624" w:rsidRDefault="00024636" w:rsidP="000246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5,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472" w:type="pct"/>
            <w:shd w:val="clear" w:color="auto" w:fill="D6E3BC" w:themeFill="accent3" w:themeFillTint="66"/>
            <w:noWrap/>
            <w:hideMark/>
          </w:tcPr>
          <w:p w:rsidR="00024636" w:rsidRPr="00D36624" w:rsidRDefault="00024636" w:rsidP="000246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5,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5760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5,4</w:t>
            </w:r>
          </w:p>
        </w:tc>
      </w:tr>
      <w:tr w:rsidR="00024636" w:rsidRPr="00D36624" w:rsidTr="00BE1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Izvoz roba (nominalni) %</w:t>
            </w:r>
          </w:p>
        </w:tc>
        <w:tc>
          <w:tcPr>
            <w:tcW w:w="575" w:type="pct"/>
            <w:shd w:val="clear" w:color="auto" w:fill="D6E3BC" w:themeFill="accent3" w:themeFillTint="66"/>
          </w:tcPr>
          <w:p w:rsidR="00024636" w:rsidRPr="00D36624" w:rsidRDefault="00024636" w:rsidP="000246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</w:t>
            </w:r>
            <w:r w:rsidR="005C79E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629" w:type="pct"/>
            <w:shd w:val="clear" w:color="auto" w:fill="D6E3BC" w:themeFill="accent3" w:themeFillTint="66"/>
          </w:tcPr>
          <w:p w:rsidR="00024636" w:rsidRPr="00D36624" w:rsidRDefault="00024636" w:rsidP="0002463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9</w:t>
            </w:r>
          </w:p>
        </w:tc>
        <w:tc>
          <w:tcPr>
            <w:tcW w:w="472" w:type="pct"/>
            <w:shd w:val="clear" w:color="auto" w:fill="D6E3BC" w:themeFill="accent3" w:themeFillTint="66"/>
            <w:noWrap/>
            <w:hideMark/>
          </w:tcPr>
          <w:p w:rsidR="00024636" w:rsidRPr="00D36624" w:rsidRDefault="00024636" w:rsidP="002B220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8,3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5760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7,9</w:t>
            </w:r>
          </w:p>
        </w:tc>
      </w:tr>
      <w:tr w:rsidR="00024636" w:rsidRPr="00D36624" w:rsidTr="00BE1F4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Uvoz roba (nominalni) %</w:t>
            </w:r>
          </w:p>
        </w:tc>
        <w:tc>
          <w:tcPr>
            <w:tcW w:w="575" w:type="pct"/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6,4</w:t>
            </w:r>
          </w:p>
        </w:tc>
        <w:tc>
          <w:tcPr>
            <w:tcW w:w="629" w:type="pct"/>
            <w:shd w:val="clear" w:color="auto" w:fill="D6E3BC" w:themeFill="accent3" w:themeFillTint="66"/>
          </w:tcPr>
          <w:p w:rsidR="00024636" w:rsidRPr="00D36624" w:rsidRDefault="00024636" w:rsidP="002B22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6,8</w:t>
            </w:r>
          </w:p>
        </w:tc>
        <w:tc>
          <w:tcPr>
            <w:tcW w:w="472" w:type="pct"/>
            <w:shd w:val="clear" w:color="auto" w:fill="D6E3BC" w:themeFill="accent3" w:themeFillTint="66"/>
            <w:noWrap/>
            <w:hideMark/>
          </w:tcPr>
          <w:p w:rsidR="00024636" w:rsidRPr="00D36624" w:rsidRDefault="00024636" w:rsidP="002B22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7,3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5760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6,4</w:t>
            </w:r>
          </w:p>
        </w:tc>
      </w:tr>
      <w:tr w:rsidR="00024636" w:rsidRPr="00D36624" w:rsidTr="00BE1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Stope nezaposlenosti %</w:t>
            </w:r>
          </w:p>
        </w:tc>
        <w:tc>
          <w:tcPr>
            <w:tcW w:w="575" w:type="pct"/>
            <w:shd w:val="clear" w:color="auto" w:fill="D6E3BC" w:themeFill="accent3" w:themeFillTint="66"/>
            <w:vAlign w:val="bottom"/>
          </w:tcPr>
          <w:p w:rsidR="00024636" w:rsidRPr="00D36624" w:rsidRDefault="00024636" w:rsidP="002B220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  <w:r w:rsidR="002B220E">
              <w:rPr>
                <w:rFonts w:ascii="Arial" w:hAnsi="Arial" w:cs="Arial"/>
                <w:color w:val="auto"/>
                <w:sz w:val="24"/>
                <w:szCs w:val="24"/>
              </w:rPr>
              <w:t>0</w:t>
            </w: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,</w:t>
            </w:r>
            <w:r w:rsidR="002B220E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629" w:type="pct"/>
            <w:shd w:val="clear" w:color="auto" w:fill="D6E3BC" w:themeFill="accent3" w:themeFillTint="66"/>
            <w:vAlign w:val="bottom"/>
          </w:tcPr>
          <w:p w:rsidR="00024636" w:rsidRPr="00D36624" w:rsidRDefault="002B220E" w:rsidP="002B220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39,0</w:t>
            </w:r>
          </w:p>
        </w:tc>
        <w:tc>
          <w:tcPr>
            <w:tcW w:w="472" w:type="pct"/>
            <w:shd w:val="clear" w:color="auto" w:fill="D6E3BC" w:themeFill="accent3" w:themeFillTint="66"/>
            <w:noWrap/>
            <w:vAlign w:val="bottom"/>
            <w:hideMark/>
          </w:tcPr>
          <w:p w:rsidR="00024636" w:rsidRPr="00D36624" w:rsidRDefault="00024636" w:rsidP="002B220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  <w:r w:rsidR="002B220E">
              <w:rPr>
                <w:rFonts w:ascii="Arial" w:hAnsi="Arial" w:cs="Arial"/>
                <w:color w:val="auto"/>
                <w:sz w:val="24"/>
                <w:szCs w:val="24"/>
              </w:rPr>
              <w:t>7</w:t>
            </w: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,</w:t>
            </w:r>
            <w:r w:rsidR="002B220E">
              <w:rPr>
                <w:rFonts w:ascii="Arial" w:hAnsi="Arial" w:cs="Arial"/>
                <w:color w:val="auto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024636" w:rsidRPr="00D36624" w:rsidRDefault="002B220E" w:rsidP="002B220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36,4</w:t>
            </w:r>
          </w:p>
        </w:tc>
      </w:tr>
      <w:tr w:rsidR="00024636" w:rsidRPr="00D36624" w:rsidTr="00BE1F4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Stope rasta broja zaposlenih lica %</w:t>
            </w:r>
          </w:p>
        </w:tc>
        <w:tc>
          <w:tcPr>
            <w:tcW w:w="575" w:type="pct"/>
            <w:shd w:val="clear" w:color="auto" w:fill="D6E3BC" w:themeFill="accent3" w:themeFillTint="66"/>
            <w:vAlign w:val="bottom"/>
          </w:tcPr>
          <w:p w:rsidR="00024636" w:rsidRPr="00D36624" w:rsidRDefault="00F25614" w:rsidP="002B220E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2,2</w:t>
            </w:r>
          </w:p>
        </w:tc>
        <w:tc>
          <w:tcPr>
            <w:tcW w:w="629" w:type="pct"/>
            <w:shd w:val="clear" w:color="auto" w:fill="D6E3BC" w:themeFill="accent3" w:themeFillTint="66"/>
            <w:vAlign w:val="bottom"/>
          </w:tcPr>
          <w:p w:rsidR="00024636" w:rsidRPr="00D36624" w:rsidRDefault="00024636" w:rsidP="00F25614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2,</w:t>
            </w:r>
            <w:r w:rsidR="00F25614">
              <w:rPr>
                <w:rFonts w:ascii="Arial" w:hAnsi="Arial" w:cs="Arial"/>
                <w:color w:val="auto"/>
                <w:sz w:val="24"/>
                <w:szCs w:val="24"/>
              </w:rPr>
              <w:t>3</w:t>
            </w:r>
          </w:p>
        </w:tc>
        <w:tc>
          <w:tcPr>
            <w:tcW w:w="472" w:type="pct"/>
            <w:shd w:val="clear" w:color="auto" w:fill="D6E3BC" w:themeFill="accent3" w:themeFillTint="66"/>
            <w:noWrap/>
            <w:vAlign w:val="bottom"/>
            <w:hideMark/>
          </w:tcPr>
          <w:p w:rsidR="00024636" w:rsidRPr="00D36624" w:rsidRDefault="00024636" w:rsidP="00F25614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2,</w:t>
            </w:r>
            <w:r w:rsidR="00F25614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024636" w:rsidRPr="00D36624" w:rsidRDefault="00F25614" w:rsidP="00024636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2,3</w:t>
            </w:r>
          </w:p>
        </w:tc>
      </w:tr>
      <w:tr w:rsidR="00024636" w:rsidRPr="00D36624" w:rsidTr="00BE1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Nominalne stope rasta prosječne neto plate %</w:t>
            </w:r>
          </w:p>
        </w:tc>
        <w:tc>
          <w:tcPr>
            <w:tcW w:w="575" w:type="pct"/>
            <w:shd w:val="clear" w:color="auto" w:fill="D6E3BC" w:themeFill="accent3" w:themeFillTint="66"/>
            <w:vAlign w:val="bottom"/>
          </w:tcPr>
          <w:p w:rsidR="00024636" w:rsidRPr="00D36624" w:rsidRDefault="00F25614" w:rsidP="002B220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1,9</w:t>
            </w:r>
          </w:p>
        </w:tc>
        <w:tc>
          <w:tcPr>
            <w:tcW w:w="629" w:type="pct"/>
            <w:shd w:val="clear" w:color="auto" w:fill="D6E3BC" w:themeFill="accent3" w:themeFillTint="66"/>
            <w:vAlign w:val="bottom"/>
          </w:tcPr>
          <w:p w:rsidR="00024636" w:rsidRPr="00D36624" w:rsidRDefault="00024636" w:rsidP="002B220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2,2</w:t>
            </w:r>
          </w:p>
        </w:tc>
        <w:tc>
          <w:tcPr>
            <w:tcW w:w="472" w:type="pct"/>
            <w:shd w:val="clear" w:color="auto" w:fill="D6E3BC" w:themeFill="accent3" w:themeFillTint="66"/>
            <w:noWrap/>
            <w:vAlign w:val="bottom"/>
            <w:hideMark/>
          </w:tcPr>
          <w:p w:rsidR="00024636" w:rsidRPr="00D36624" w:rsidRDefault="00024636" w:rsidP="00F25614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hAnsi="Arial" w:cs="Arial"/>
                <w:color w:val="auto"/>
                <w:sz w:val="24"/>
                <w:szCs w:val="24"/>
              </w:rPr>
              <w:t>2,</w:t>
            </w:r>
            <w:r w:rsidR="00F25614">
              <w:rPr>
                <w:rFonts w:ascii="Arial" w:hAnsi="Arial" w:cs="Arial"/>
                <w:color w:val="auto"/>
                <w:sz w:val="24"/>
                <w:szCs w:val="24"/>
              </w:rPr>
              <w:t>4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024636" w:rsidRPr="00D36624" w:rsidRDefault="00F25614" w:rsidP="005760FE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2,4</w:t>
            </w:r>
          </w:p>
        </w:tc>
      </w:tr>
      <w:tr w:rsidR="00024636" w:rsidRPr="00D36624" w:rsidTr="00BE1F4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4636" w:rsidRPr="00D36624" w:rsidRDefault="00024636" w:rsidP="005760FE">
            <w:pPr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</w:rPr>
              <w:t>Indeks potrošačkih cijena %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F25614" w:rsidP="002B220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0,9</w:t>
            </w:r>
          </w:p>
        </w:tc>
        <w:tc>
          <w:tcPr>
            <w:tcW w:w="629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024636" w:rsidP="00F256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1,</w:t>
            </w:r>
            <w:r w:rsidR="00F2561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024636" w:rsidRPr="00D36624" w:rsidRDefault="00024636" w:rsidP="00F256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1,</w:t>
            </w:r>
            <w:r w:rsidR="00F25614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24636" w:rsidRPr="00D36624" w:rsidRDefault="00F25614" w:rsidP="0002463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1,4</w:t>
            </w:r>
          </w:p>
        </w:tc>
      </w:tr>
    </w:tbl>
    <w:p w:rsidR="00187FC7" w:rsidRPr="00D36624" w:rsidRDefault="00187FC7" w:rsidP="00187FC7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D36624">
        <w:rPr>
          <w:rFonts w:ascii="Arial" w:hAnsi="Arial" w:cs="Arial"/>
          <w:i/>
        </w:rPr>
        <w:t>Izvor: Direkcija za ekonomsko planiranje BiH</w:t>
      </w:r>
      <w:r w:rsidRPr="00D36624">
        <w:rPr>
          <w:rStyle w:val="FootnoteReference"/>
          <w:rFonts w:ascii="Arial" w:hAnsi="Arial" w:cs="Arial"/>
          <w:i/>
        </w:rPr>
        <w:footnoteReference w:id="4"/>
      </w:r>
    </w:p>
    <w:p w:rsidR="007B566C" w:rsidRDefault="007B566C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U periodu 2018. – 2020. godina u zemljama Eurozone se očekuje oporavak privatne potrošnje, porast investicija, te povećanje ukupnog  izvoza i uvoza, što će rezultirati  intenziviranjem  vanjskotrgovinske razmjene  zemalja EU međusobno i sa ostatkom svijeta. Pored  nastavaka  ovih  eksternih dinamika očekuje se i sve utjecajniji značaj internih dinamika kroz strukruralne reforme koje bi trebale biti u funkciji jačanja ukupne industrijske proizvodnje u BiH. Ova pozitivna dešavanja u neposrednom okruženju uz pravovremenu i dosljednu implementaciju strukturalnih reformi trebale  bi rezultirati povećanjem  iskorištenosti  industrijskih kapaciteta u BiH koje se ogleda kroz povećani  obim proizvodnje, viši nivo investicija kako kroz strana ta</w:t>
      </w:r>
      <w:r w:rsidR="00F01A5E">
        <w:rPr>
          <w:rFonts w:ascii="Arial" w:hAnsi="Arial" w:cs="Arial"/>
          <w:sz w:val="24"/>
          <w:szCs w:val="24"/>
          <w:lang w:val="bs-Latn-BA"/>
        </w:rPr>
        <w:t xml:space="preserve">ko i domaća ulaganja, što bi u </w:t>
      </w:r>
      <w:r>
        <w:rPr>
          <w:rFonts w:ascii="Arial" w:hAnsi="Arial" w:cs="Arial"/>
          <w:sz w:val="24"/>
          <w:szCs w:val="24"/>
          <w:lang w:val="bs-Latn-BA"/>
        </w:rPr>
        <w:t xml:space="preserve">konačnici trebalo  rezultirati  rezultirati osjetnijim povećanjem zaposlenosti u BiH. </w:t>
      </w:r>
    </w:p>
    <w:p w:rsidR="007B566C" w:rsidRDefault="007B566C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6C110E" w:rsidRDefault="007B566C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Planirana  investiciona  ulaganja u infrastrukturu i energetiku također bi trebala značajno doprinijeti  jačanju  kako građevinskog sektora u BiH tako i onih grana  prerađivačke industrije koje su usko vezane uz građevinarstvo. Također se očekuje </w:t>
      </w:r>
      <w:r>
        <w:rPr>
          <w:rFonts w:ascii="Arial" w:hAnsi="Arial" w:cs="Arial"/>
          <w:sz w:val="24"/>
          <w:szCs w:val="24"/>
          <w:lang w:val="bs-Latn-BA"/>
        </w:rPr>
        <w:lastRenderedPageBreak/>
        <w:t>da energetski sektor koji je u prethodnom periodu bio jedan od nosilaca industrijske proizvodnje  nastavi  pozitivan trend rasta proizvodnje i dodatno osnaži industrijsku proizvodnju u BiH navedenom periodu. Prema projekcijama DEP-a ovo bi trebalo rezultirati godišnjim povećanjem bh.  industrijske proizvodnje od preko 5% u odnosu na prethodnu godinu.</w:t>
      </w:r>
    </w:p>
    <w:p w:rsidR="007B566C" w:rsidRDefault="007B566C" w:rsidP="007B56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 xml:space="preserve">  </w:t>
      </w:r>
    </w:p>
    <w:p w:rsidR="00BE1F46" w:rsidRDefault="007B566C" w:rsidP="00F01A5E">
      <w:pPr>
        <w:spacing w:after="0"/>
        <w:jc w:val="both"/>
        <w:rPr>
          <w:rFonts w:ascii="Arial" w:hAnsi="Arial" w:cs="Arial"/>
          <w:color w:val="000000"/>
          <w:sz w:val="24"/>
          <w:szCs w:val="24"/>
          <w:lang w:val="bs-Latn-BA"/>
        </w:rPr>
      </w:pPr>
      <w:r w:rsidRPr="006C110E">
        <w:rPr>
          <w:rFonts w:ascii="Arial" w:hAnsi="Arial" w:cs="Arial"/>
          <w:color w:val="000000"/>
          <w:sz w:val="24"/>
          <w:szCs w:val="24"/>
          <w:lang w:val="bs-Latn-BA"/>
        </w:rPr>
        <w:t xml:space="preserve">Potencijalni rizik za navedenu situaciju predstavlja neizvjesnost i još uvijek nedovoljno siguran ekonomski oporavak u užem i širem međunarodnom ekonomskom okruženju. </w:t>
      </w:r>
      <w:r w:rsidRPr="006C110E">
        <w:rPr>
          <w:rFonts w:ascii="Arial" w:hAnsi="Arial" w:cs="Arial"/>
          <w:sz w:val="24"/>
          <w:szCs w:val="24"/>
          <w:lang w:val="bs-Latn-BA"/>
        </w:rPr>
        <w:t xml:space="preserve">Potencijalni rizik za ostvarivanje  navedenih pretpostavki može predstavljati  kašnjenje  odnosno  nizak  stepen implementacije reformskih zakona. </w:t>
      </w:r>
      <w:r w:rsidRPr="006C110E">
        <w:rPr>
          <w:rFonts w:ascii="Arial" w:hAnsi="Arial" w:cs="Arial"/>
          <w:color w:val="000000"/>
          <w:sz w:val="24"/>
          <w:szCs w:val="24"/>
          <w:lang w:val="bs-Latn-BA"/>
        </w:rPr>
        <w:t>Visok nivo integracije sa zemljama EU i regiona  kroz trgovinske  i finansijske  tokove praktički određuje kretanje industrijske proizvodnje u BiH. Eventualno pogoršanje  situacije na EU tržištu posebno u slučaju zemalja  koje su glavni  trgovinski partneri BiH  pretstavlja najveći rizik po oporavak  industrijske  proizvodnje u BiH.</w:t>
      </w:r>
    </w:p>
    <w:p w:rsidR="006C110E" w:rsidRPr="00D36624" w:rsidRDefault="006C110E" w:rsidP="00F01A5E">
      <w:pPr>
        <w:spacing w:after="0"/>
        <w:jc w:val="both"/>
        <w:rPr>
          <w:rFonts w:ascii="Arial" w:hAnsi="Arial" w:cs="Arial"/>
          <w:sz w:val="24"/>
        </w:rPr>
      </w:pPr>
    </w:p>
    <w:p w:rsidR="00B278DB" w:rsidRDefault="00373E65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 w:rsidRPr="00193694">
        <w:rPr>
          <w:rFonts w:ascii="Arial" w:hAnsi="Arial" w:cs="Arial"/>
          <w:sz w:val="24"/>
          <w:szCs w:val="24"/>
          <w:lang w:val="bs-Latn-BA"/>
        </w:rPr>
        <w:t>U Bosni i Hercegovini se očekuje postepeni oporavak tržišta rada. Stopa registrovane nezaposlenosti u BiH u 2017. godini mogla bi se smanjiti u odnosu na nivo prije krize.</w:t>
      </w:r>
    </w:p>
    <w:p w:rsidR="00B278DB" w:rsidRDefault="00B278DB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373E65" w:rsidRDefault="00373E65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 w:rsidRPr="00193694">
        <w:rPr>
          <w:rFonts w:ascii="Arial" w:hAnsi="Arial" w:cs="Arial"/>
          <w:sz w:val="24"/>
          <w:szCs w:val="24"/>
          <w:lang w:val="bs-Latn-BA"/>
        </w:rPr>
        <w:t>Prvi pokazatelji na tržištu rada u 2017. godini ukazuju na nastavak smanjenja broja nezaposlenih lica (-5% g/g u januaru). Rast broja zaposlenih lica odnosno kreiranje radnih mjesta u periodu 2017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. – </w:t>
      </w:r>
      <w:r w:rsidRPr="00193694">
        <w:rPr>
          <w:rFonts w:ascii="Arial" w:hAnsi="Arial" w:cs="Arial"/>
          <w:sz w:val="24"/>
          <w:szCs w:val="24"/>
          <w:lang w:val="bs-Latn-BA"/>
        </w:rPr>
        <w:t xml:space="preserve">2020. godine zavisiće od nivoa investicija s jedne strane, ali i obima trgovine i industrijske proizvodnje. Bitno je napomenuti da najveći broj zaposlenih lica radi u području djelatnosti prerađivačke industije i trgovine na veliko i malo (oko 38%), što ukazuje koliki značaj za tržište rada imaju dešavanja u navedenim djelatnostima. </w:t>
      </w:r>
    </w:p>
    <w:p w:rsidR="00B278DB" w:rsidRDefault="00B278DB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B278DB" w:rsidRDefault="00373E65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 w:rsidRPr="00193694">
        <w:rPr>
          <w:rFonts w:ascii="Arial" w:hAnsi="Arial" w:cs="Arial"/>
          <w:sz w:val="24"/>
          <w:szCs w:val="24"/>
          <w:lang w:val="bs-Latn-BA"/>
        </w:rPr>
        <w:t>Prema predviđanjima DEP-a, u periodu 2017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. – </w:t>
      </w:r>
      <w:r w:rsidRPr="00193694">
        <w:rPr>
          <w:rFonts w:ascii="Arial" w:hAnsi="Arial" w:cs="Arial"/>
          <w:sz w:val="24"/>
          <w:szCs w:val="24"/>
          <w:lang w:val="bs-Latn-BA"/>
        </w:rPr>
        <w:t>2020. godine očekuje se rast investicija, trgovine i obima industrijske proizvodnje, što bi se pozitivno odrazilo na povećanje broja zaposlenih lica (2,2% 2017. godine, oko 2,3% 2018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. – </w:t>
      </w:r>
      <w:r w:rsidRPr="00193694">
        <w:rPr>
          <w:rFonts w:ascii="Arial" w:hAnsi="Arial" w:cs="Arial"/>
          <w:sz w:val="24"/>
          <w:szCs w:val="24"/>
          <w:lang w:val="bs-Latn-BA"/>
        </w:rPr>
        <w:t xml:space="preserve">2020. godine). </w:t>
      </w:r>
    </w:p>
    <w:p w:rsidR="00B278DB" w:rsidRDefault="00B278DB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5C79E2" w:rsidRDefault="00373E65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 w:rsidRPr="00193694">
        <w:rPr>
          <w:rFonts w:ascii="Arial" w:hAnsi="Arial" w:cs="Arial"/>
          <w:sz w:val="24"/>
          <w:szCs w:val="24"/>
          <w:lang w:val="bs-Latn-BA"/>
        </w:rPr>
        <w:t>Prosječne neto plate bi mogle zadržati umjeren rast u posmatranom periodu (1,9% 2017. godine, 2,2%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193694">
        <w:rPr>
          <w:rFonts w:ascii="Arial" w:hAnsi="Arial" w:cs="Arial"/>
          <w:sz w:val="24"/>
          <w:szCs w:val="24"/>
          <w:lang w:val="bs-Latn-BA"/>
        </w:rPr>
        <w:t>-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193694">
        <w:rPr>
          <w:rFonts w:ascii="Arial" w:hAnsi="Arial" w:cs="Arial"/>
          <w:sz w:val="24"/>
          <w:szCs w:val="24"/>
          <w:lang w:val="bs-Latn-BA"/>
        </w:rPr>
        <w:t>2,4%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193694">
        <w:rPr>
          <w:rFonts w:ascii="Arial" w:hAnsi="Arial" w:cs="Arial"/>
          <w:sz w:val="24"/>
          <w:szCs w:val="24"/>
          <w:lang w:val="bs-Latn-BA"/>
        </w:rPr>
        <w:t>2018</w:t>
      </w:r>
      <w:r w:rsidR="00B278DB">
        <w:rPr>
          <w:rFonts w:ascii="Arial" w:hAnsi="Arial" w:cs="Arial"/>
          <w:sz w:val="24"/>
          <w:szCs w:val="24"/>
          <w:lang w:val="bs-Latn-BA"/>
        </w:rPr>
        <w:t xml:space="preserve">. – </w:t>
      </w:r>
      <w:r w:rsidRPr="00193694">
        <w:rPr>
          <w:rFonts w:ascii="Arial" w:hAnsi="Arial" w:cs="Arial"/>
          <w:sz w:val="24"/>
          <w:szCs w:val="24"/>
          <w:lang w:val="bs-Latn-BA"/>
        </w:rPr>
        <w:t xml:space="preserve">2020. godine). Generalno, bolji poslovni ambijent u BiH ali i šire, stvorio bi uslove za kreiranje radnih mjesta i postepeni porast broja zaposlenih lica. Buduća dešavanja u oblasti tržišta rada u BiH uglavnom su bazirana </w:t>
      </w:r>
      <w:r w:rsidRPr="00B278DB">
        <w:rPr>
          <w:rFonts w:ascii="Arial" w:hAnsi="Arial" w:cs="Arial"/>
          <w:sz w:val="24"/>
          <w:szCs w:val="24"/>
          <w:lang w:val="bs-Latn-BA"/>
        </w:rPr>
        <w:t>na predviđanjima u oblasti investicija, trgovine i uopšte poslovnom ambijentu. Time su i najveći rizici za navedene projekcije dešavanja u pomenutim oblastima.</w:t>
      </w:r>
    </w:p>
    <w:p w:rsidR="005C79E2" w:rsidRDefault="005C79E2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5C79E2" w:rsidRDefault="005C79E2" w:rsidP="00F01A5E">
      <w:pPr>
        <w:spacing w:after="0"/>
        <w:jc w:val="both"/>
        <w:rPr>
          <w:rFonts w:ascii="Arial" w:hAnsi="Arial" w:cs="Arial"/>
          <w:bCs/>
          <w:sz w:val="24"/>
          <w:lang w:val="bs-Latn-BA"/>
        </w:rPr>
      </w:pPr>
      <w:r>
        <w:rPr>
          <w:rFonts w:ascii="Arial" w:hAnsi="Arial" w:cs="Arial"/>
          <w:sz w:val="24"/>
          <w:lang w:val="bs-Latn-BA"/>
        </w:rPr>
        <w:t>V</w:t>
      </w:r>
      <w:r w:rsidRPr="00E35CC2">
        <w:rPr>
          <w:rFonts w:ascii="Arial" w:hAnsi="Arial" w:cs="Arial"/>
          <w:sz w:val="24"/>
          <w:lang w:val="bs-Latn-BA"/>
        </w:rPr>
        <w:t xml:space="preserve">iši nivo ekonomskog rasta u BiH od preko 3% , uz </w:t>
      </w:r>
      <w:r w:rsidRPr="00E35CC2">
        <w:rPr>
          <w:rFonts w:ascii="Arial" w:hAnsi="Arial" w:cs="Arial"/>
          <w:bCs/>
          <w:sz w:val="24"/>
          <w:lang w:val="bs-Latn-BA"/>
        </w:rPr>
        <w:t xml:space="preserve">viši nivo ulaganja (inostranih i domaćih), povećanje zaposlenosti i proizvodnje trebao rezultirati intenziviranjem i većom diverzifikacijom vanjskotrgovinske robne  razmjene sa svijetom. Tokom ovog perioda očekuje se da bi trend rasta izvoza trebao biti nešto viši u odnosu na uvoz. Nosilac bh. izvoza u ovom periodu trebala bi biti prerađivačka industrija u okviru koje </w:t>
      </w:r>
      <w:r w:rsidRPr="00E35CC2">
        <w:rPr>
          <w:rFonts w:ascii="Arial" w:hAnsi="Arial" w:cs="Arial"/>
          <w:bCs/>
          <w:sz w:val="24"/>
          <w:lang w:val="bs-Latn-BA"/>
        </w:rPr>
        <w:lastRenderedPageBreak/>
        <w:t xml:space="preserve">bi uz tradicionalne izvozne grane dodatni doprinos trebale biti i ostale djelatnosti  koje  mogu  realizirati svoj izvozni potencijal. Osim toga reformski procesi i unaprijeđenje kako poslovnog okruženja, standardardizacije, te veća diverzifikacija izvoznih tržišta treba bi u značajnoj mjeri osnažiti bh.izvoz.  Imajući u vidu i značaj sektora za proizvodnju  eketrične energije u strukturi bh. izvoza očekuje se kontinuirani  pozitivan doprinos i sa strane ovog sektora. Prema projekcijama DEP-a  u periodu  2018. – 2020. godine mogu se očekivati godišnje realne stope rasta ukupnog  izvoza  od  5,6% , 5,5% i 4,4% respektivno. </w:t>
      </w:r>
    </w:p>
    <w:p w:rsidR="005C79E2" w:rsidRPr="00E35CC2" w:rsidRDefault="005C79E2" w:rsidP="00F01A5E">
      <w:pPr>
        <w:spacing w:after="0"/>
        <w:jc w:val="both"/>
        <w:rPr>
          <w:rFonts w:ascii="Arial" w:hAnsi="Arial" w:cs="Arial"/>
          <w:bCs/>
          <w:sz w:val="24"/>
          <w:lang w:val="bs-Latn-BA"/>
        </w:rPr>
      </w:pPr>
    </w:p>
    <w:p w:rsidR="005C79E2" w:rsidRDefault="005C79E2" w:rsidP="00F01A5E">
      <w:pPr>
        <w:spacing w:after="0"/>
        <w:jc w:val="both"/>
        <w:rPr>
          <w:rFonts w:ascii="Arial" w:hAnsi="Arial" w:cs="Arial"/>
          <w:bCs/>
          <w:sz w:val="24"/>
          <w:lang w:val="bs-Latn-BA"/>
        </w:rPr>
      </w:pPr>
      <w:r w:rsidRPr="00E35CC2">
        <w:rPr>
          <w:rFonts w:ascii="Arial" w:hAnsi="Arial" w:cs="Arial"/>
          <w:bCs/>
          <w:sz w:val="24"/>
          <w:lang w:val="bs-Latn-BA"/>
        </w:rPr>
        <w:t>Sa druge strane,</w:t>
      </w:r>
      <w:r>
        <w:rPr>
          <w:rFonts w:ascii="Arial" w:hAnsi="Arial" w:cs="Arial"/>
          <w:bCs/>
          <w:sz w:val="24"/>
          <w:lang w:val="bs-Latn-BA"/>
        </w:rPr>
        <w:t xml:space="preserve"> </w:t>
      </w:r>
      <w:r w:rsidRPr="00E35CC2">
        <w:rPr>
          <w:rFonts w:ascii="Arial" w:hAnsi="Arial" w:cs="Arial"/>
          <w:bCs/>
          <w:sz w:val="24"/>
          <w:lang w:val="bs-Latn-BA"/>
        </w:rPr>
        <w:t>rast domaće tražnje praćen porastom zaposlenih i njihovih primanja, te viši nivo ukupnih investicija u infrastrukturu i energetiku  doveo bi do povećanja  uvoza.  Međutim, očekuje se da  stope  rasta uvoza  budu nešto  niže u odnosu na izvozne, tako da bi se  realna stopa rasta ukupnog</w:t>
      </w:r>
      <w:r>
        <w:rPr>
          <w:rFonts w:ascii="Arial" w:hAnsi="Arial" w:cs="Arial"/>
          <w:bCs/>
          <w:sz w:val="24"/>
          <w:lang w:val="bs-Latn-BA"/>
        </w:rPr>
        <w:t xml:space="preserve"> </w:t>
      </w:r>
      <w:r w:rsidRPr="00E35CC2">
        <w:rPr>
          <w:rFonts w:ascii="Arial" w:hAnsi="Arial" w:cs="Arial"/>
          <w:bCs/>
          <w:sz w:val="24"/>
          <w:lang w:val="bs-Latn-BA"/>
        </w:rPr>
        <w:t>uvoza kretala od  5,3% u 2018., 5,2% u 2019., i 4,2% u 2020. godini. Ovako kretanje uvoza i izvoza će dovesti do blagog  povećanja vanjskotrgovinskog deficita, a doprinos ekonomskom rastu bi negativan. Međutim, ipak bi tokom  posmatranog  perioda 2018.</w:t>
      </w:r>
      <w:r>
        <w:rPr>
          <w:rFonts w:ascii="Arial" w:hAnsi="Arial" w:cs="Arial"/>
          <w:bCs/>
          <w:sz w:val="24"/>
          <w:lang w:val="bs-Latn-BA"/>
        </w:rPr>
        <w:t xml:space="preserve"> – </w:t>
      </w:r>
      <w:r w:rsidRPr="00E35CC2">
        <w:rPr>
          <w:rFonts w:ascii="Arial" w:hAnsi="Arial" w:cs="Arial"/>
          <w:bCs/>
          <w:sz w:val="24"/>
          <w:lang w:val="bs-Latn-BA"/>
        </w:rPr>
        <w:t>2020. godina  usljed nešto bržeg rasta izvoza i povećanja njegovog udjela u BDP-u  u odnosu na uvoz može očekivati stabilizacija vanjkotrgovinskog bilansa i nešto bolja pokrivenost uvoza izvozom na duži ro</w:t>
      </w:r>
      <w:r>
        <w:rPr>
          <w:rFonts w:ascii="Arial" w:hAnsi="Arial" w:cs="Arial"/>
          <w:bCs/>
          <w:sz w:val="24"/>
          <w:lang w:val="bs-Latn-BA"/>
        </w:rPr>
        <w:t xml:space="preserve">k. </w:t>
      </w:r>
      <w:r w:rsidRPr="00E35CC2">
        <w:rPr>
          <w:rFonts w:ascii="Arial" w:hAnsi="Arial" w:cs="Arial"/>
          <w:bCs/>
          <w:sz w:val="24"/>
          <w:lang w:val="bs-Latn-BA"/>
        </w:rPr>
        <w:t>Prema</w:t>
      </w:r>
      <w:r>
        <w:rPr>
          <w:rFonts w:ascii="Arial" w:hAnsi="Arial" w:cs="Arial"/>
          <w:bCs/>
          <w:sz w:val="24"/>
          <w:lang w:val="bs-Latn-BA"/>
        </w:rPr>
        <w:t xml:space="preserve"> projekcijama </w:t>
      </w:r>
      <w:r w:rsidRPr="00E35CC2">
        <w:rPr>
          <w:rFonts w:ascii="Arial" w:hAnsi="Arial" w:cs="Arial"/>
          <w:bCs/>
          <w:sz w:val="24"/>
          <w:lang w:val="bs-Latn-BA"/>
        </w:rPr>
        <w:t>DEP-a,  do kraja posmatranog perioda  očekuje se povećanje udjela izvoza u BDP-a na 37,1%, dok bi se udio uvoza u okviru BDP-a  zadžao na  nivou od oko  53%, a ukupna pokrivenost uvoza izvozom zaključno sa 2020. godinom iznosila bi  na oko 68,9%.</w:t>
      </w:r>
    </w:p>
    <w:p w:rsidR="005C79E2" w:rsidRPr="00E35CC2" w:rsidRDefault="005C79E2" w:rsidP="00F01A5E">
      <w:pPr>
        <w:spacing w:after="0"/>
        <w:jc w:val="both"/>
        <w:rPr>
          <w:rFonts w:ascii="Arial" w:hAnsi="Arial" w:cs="Arial"/>
          <w:bCs/>
          <w:sz w:val="24"/>
          <w:lang w:val="bs-Latn-BA"/>
        </w:rPr>
      </w:pPr>
    </w:p>
    <w:p w:rsidR="005C79E2" w:rsidRDefault="005C79E2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  <w:r w:rsidRPr="00E35CC2">
        <w:rPr>
          <w:rFonts w:ascii="Arial" w:hAnsi="Arial" w:cs="Arial"/>
          <w:sz w:val="24"/>
          <w:lang w:val="bs-Latn-BA"/>
        </w:rPr>
        <w:t>Prethodno navedena kretanja mogu se očekivati ukoliko se ne desi neki od sljedećih događaja: turbulencija u funkcionisanju ekonomija glavnih trgovinskih partnera BiH, naglo povećanje izvoznih i uvoznih cijena glavnih robnih kategorija izvoza i uvoza, smanjenje industrijske proizvodnje, investicija, potrošnje, ali i novih elementarnih nepogoda, ili bilo čega drugog što bi uticalo na pogoršanje vanjskotrgovinske razmjene.</w:t>
      </w: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lang w:val="bs-Latn-BA"/>
        </w:rPr>
      </w:pP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Strana direktna ulaganja za period  2017. – 2020. godine bi se nakon pada u prethodnom periodu kretala po stopi od 1,6%, 1,9%, 2,1% , 2,3%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5"/>
      </w:r>
      <w:r>
        <w:rPr>
          <w:rFonts w:ascii="Arial" w:hAnsi="Arial" w:cs="Arial"/>
          <w:sz w:val="24"/>
          <w:szCs w:val="24"/>
          <w:lang w:val="bs-Latn-BA"/>
        </w:rPr>
        <w:t xml:space="preserve"> BDP u 2020. god.</w:t>
      </w: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SDU u 2017. godini bi iznosila oko 1,6% BDP. Moguće je očekivati nastavak privatizacije manjinskog udijela državnog kapitala u firmama iz prethodne godine u kojoj je su najinteresantnije su svakako „Sarajevo osiguranje“ d.d. Sarajevo, „Energoinvest“ d.d. Sarajevo i „Aluminij“ d.d. Mostar.</w:t>
      </w: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Najavljena je izgradnja više projekata iz oblasti elektroenergetike kao što su izgradnja vjetroelektrana VE"Gradina",VE“Kupres 1“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6"/>
      </w:r>
      <w:r>
        <w:rPr>
          <w:rFonts w:ascii="Arial" w:hAnsi="Arial" w:cs="Arial"/>
          <w:sz w:val="24"/>
          <w:szCs w:val="24"/>
          <w:lang w:val="bs-Latn-BA"/>
        </w:rPr>
        <w:t>i „VE Trusina“ sa ulaganjem iz UK</w:t>
      </w:r>
      <w:r>
        <w:rPr>
          <w:rFonts w:ascii="Arial" w:hAnsi="Arial" w:cs="Arial"/>
          <w:color w:val="000000"/>
          <w:sz w:val="24"/>
          <w:szCs w:val="24"/>
          <w:lang w:val="bs-Latn-BA"/>
        </w:rPr>
        <w:t xml:space="preserve"> („Kermas“</w:t>
      </w:r>
      <w:r>
        <w:rPr>
          <w:rFonts w:ascii="Arial" w:hAnsi="Arial" w:cs="Arial"/>
          <w:color w:val="000000"/>
          <w:sz w:val="24"/>
          <w:szCs w:val="24"/>
          <w:vertAlign w:val="superscript"/>
          <w:lang w:val="bs-Latn-BA"/>
        </w:rPr>
        <w:footnoteReference w:id="7"/>
      </w:r>
      <w:r>
        <w:rPr>
          <w:rFonts w:ascii="Arial" w:hAnsi="Arial" w:cs="Arial"/>
          <w:color w:val="000000"/>
          <w:sz w:val="24"/>
          <w:szCs w:val="24"/>
          <w:lang w:val="bs-Latn-BA"/>
        </w:rPr>
        <w:t xml:space="preserve">i „Eol Prvi“) </w:t>
      </w:r>
      <w:r>
        <w:rPr>
          <w:rFonts w:ascii="Arial" w:hAnsi="Arial" w:cs="Arial"/>
          <w:sz w:val="24"/>
          <w:szCs w:val="24"/>
          <w:lang w:val="bs-Latn-BA"/>
        </w:rPr>
        <w:t xml:space="preserve">bi trebala da u narednom periodu mogla da donose značajnija sredstva. Nastavak izgradnje rezidencijalnih kompleksa u okolini Sarajeva  </w:t>
      </w:r>
      <w:r>
        <w:rPr>
          <w:rFonts w:ascii="Arial" w:hAnsi="Arial" w:cs="Arial"/>
          <w:sz w:val="24"/>
          <w:szCs w:val="24"/>
          <w:lang w:val="bs-Latn-BA"/>
        </w:rPr>
        <w:lastRenderedPageBreak/>
        <w:t>„</w:t>
      </w:r>
      <w:r>
        <w:rPr>
          <w:rFonts w:ascii="Arial" w:hAnsi="Arial" w:cs="Arial"/>
          <w:color w:val="333333"/>
          <w:sz w:val="24"/>
          <w:szCs w:val="24"/>
          <w:lang w:val="bs-Latn-BA"/>
        </w:rPr>
        <w:t>Green Valley City“</w:t>
      </w:r>
      <w:r>
        <w:rPr>
          <w:rFonts w:ascii="Arial" w:hAnsi="Arial" w:cs="Arial"/>
          <w:color w:val="333333"/>
          <w:sz w:val="24"/>
          <w:szCs w:val="24"/>
          <w:vertAlign w:val="superscript"/>
          <w:lang w:val="bs-Latn-BA"/>
        </w:rPr>
        <w:footnoteReference w:id="8"/>
      </w:r>
      <w:r>
        <w:rPr>
          <w:rFonts w:ascii="Arial" w:hAnsi="Arial" w:cs="Arial"/>
          <w:color w:val="333333"/>
          <w:sz w:val="24"/>
          <w:szCs w:val="24"/>
          <w:lang w:val="bs-Latn-BA"/>
        </w:rPr>
        <w:t>,</w:t>
      </w:r>
      <w:r>
        <w:rPr>
          <w:rFonts w:ascii="Arial" w:hAnsi="Arial" w:cs="Arial"/>
          <w:sz w:val="24"/>
          <w:szCs w:val="24"/>
          <w:lang w:val="bs-Latn-BA"/>
        </w:rPr>
        <w:t xml:space="preserve"> „Compact Invest“ u naselju Otes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9"/>
      </w:r>
      <w:r>
        <w:rPr>
          <w:rFonts w:ascii="Arial" w:hAnsi="Arial" w:cs="Arial"/>
          <w:sz w:val="24"/>
          <w:szCs w:val="24"/>
          <w:lang w:val="bs-Latn-BA"/>
        </w:rPr>
        <w:t xml:space="preserve"> te početak nakon zastoja u prošloj godini gradnje „Buroj ozone“ (opština Trnovo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10"/>
      </w:r>
      <w:r>
        <w:rPr>
          <w:rFonts w:ascii="Arial" w:hAnsi="Arial" w:cs="Arial"/>
          <w:sz w:val="24"/>
          <w:szCs w:val="24"/>
          <w:lang w:val="bs-Latn-BA"/>
        </w:rPr>
        <w:t>) bi takođe trebali da doprinesu povećanju SDU.Tu je i kompanija iz Italije „Pyrox“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11"/>
      </w:r>
      <w:r>
        <w:rPr>
          <w:rFonts w:ascii="Arial" w:hAnsi="Arial" w:cs="Arial"/>
          <w:sz w:val="24"/>
          <w:szCs w:val="24"/>
          <w:lang w:val="bs-Latn-BA"/>
        </w:rPr>
        <w:t xml:space="preserve"> koja planira ulaganje u iznosu oko 150 mil. eura u projekte kogeneracije na drvnu biomasu u BiH. </w:t>
      </w: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Strana direktna ulaganja u 2018. godini bi se kretala oko 1,9% BDP. Ako bi došlo do promjene cijena na tržištu i povoljnijih uslova moguć je početak realizacije više projekata iz oblasti elektroenergetike koji su ranije odgođeni, „TE Ugljevik 3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12"/>
      </w:r>
      <w:r>
        <w:rPr>
          <w:rFonts w:ascii="Arial" w:hAnsi="Arial" w:cs="Arial"/>
          <w:sz w:val="24"/>
          <w:szCs w:val="24"/>
          <w:lang w:val="bs-Latn-BA"/>
        </w:rPr>
        <w:t>“ te „HE Ulog“ i „HE Mrsovo“. Moguća je privatizacije BH Telekom d.d. Sarajevo i HT Telekom d.d. Mostar čija bi prodaja značajno izmjenila iznos ulaganja u BiH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13"/>
      </w:r>
      <w:r>
        <w:rPr>
          <w:rFonts w:ascii="Arial" w:hAnsi="Arial" w:cs="Arial"/>
          <w:sz w:val="24"/>
          <w:szCs w:val="24"/>
          <w:lang w:val="bs-Latn-BA"/>
        </w:rPr>
        <w:t xml:space="preserve"> . </w:t>
      </w: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Učešće stranih direktnih ulaganja u 2019. godini bi se povećala do 2,1% od BDP dok bi u 2020. godini bi iznosila 2,3% od BDP. Uz nastavak ulaganja u elektroenergetske projekte značajnija strana sredstva bi mogla donijeti i ulaganja u autoputeve na principu privatnog javnog partnerstva uz početak izgradnje puta (u dužini 80 km.) Banja Luka Prijedor-N.Grad, na principu privatnog partnerstva sa kineskom kompanijom „China Shadong Int. Economic &amp; technical cooperation Group Ltd.“</w:t>
      </w:r>
      <w:r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14"/>
      </w:r>
      <w:r>
        <w:rPr>
          <w:rFonts w:ascii="Arial" w:hAnsi="Arial" w:cs="Arial"/>
          <w:sz w:val="24"/>
          <w:szCs w:val="24"/>
          <w:lang w:val="bs-Latn-BA"/>
        </w:rPr>
        <w:t xml:space="preserve">U izradu projekcije nije uzeta u obzir moguća privatizacija dijela „BH Telekoma“ dd Sarajevo i „HT Telekom“d.d. Mostar za koje još uvijek nije donešena odluka.    </w:t>
      </w:r>
    </w:p>
    <w:p w:rsidR="00033A3E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7965" w:rsidRDefault="00033A3E" w:rsidP="00F01A5E">
      <w:pPr>
        <w:spacing w:after="0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Rizici po SDU se najviše ogledaju u vidu odlaganju i odustajanju od izgradnje velikih elektroenergetskih objekata uz nezainteresovanost stranih ulagača pri provedbi procesa privatizacije preostalih dijelova državnog kapitala. Time bi se učešće SDU prema alternativnom scenariju kretalo od 1,5% u 2017.god., 1,7% u 2018. god., 1,9% u 2019. god. i 1,7% u 2020. godini. Najneizvjesnija je izgradnja „TE Ugljevik 3“ (cijene eksploatacije uglja najveći problem) a evidentno je kašnjenje izgradnje „HE Mrsovo“ od strane iste kompanije te izgradnje „HE Ulog“ od strane „EFT grupe“. Najavljeni i očekivani pad privrednog rasta NR Kine će se sigurno manifestovati kroz smanjeno interesovanje i učešće u kreditiranju infrastrukturnih i energetskih objekata koji su se pokazali kao dominantan oblik finansiranja.</w:t>
      </w:r>
    </w:p>
    <w:p w:rsidR="00407965" w:rsidRDefault="00407965" w:rsidP="004079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187FC7" w:rsidRDefault="00187FC7" w:rsidP="004079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24">
        <w:rPr>
          <w:rFonts w:ascii="Arial" w:hAnsi="Arial" w:cs="Arial"/>
          <w:sz w:val="24"/>
          <w:szCs w:val="24"/>
        </w:rPr>
        <w:t>Tabela 3: Makroekonomski pokazatelji Federacije BIH za period 201</w:t>
      </w:r>
      <w:r w:rsidR="00107E3E">
        <w:rPr>
          <w:rFonts w:ascii="Arial" w:hAnsi="Arial" w:cs="Arial"/>
          <w:sz w:val="24"/>
          <w:szCs w:val="24"/>
        </w:rPr>
        <w:t>5</w:t>
      </w:r>
      <w:r w:rsidRPr="00D36624">
        <w:rPr>
          <w:rFonts w:ascii="Arial" w:hAnsi="Arial" w:cs="Arial"/>
          <w:sz w:val="24"/>
          <w:szCs w:val="24"/>
        </w:rPr>
        <w:t>.</w:t>
      </w:r>
      <w:r w:rsidR="00407965">
        <w:rPr>
          <w:rFonts w:ascii="Arial" w:hAnsi="Arial" w:cs="Arial"/>
          <w:sz w:val="24"/>
          <w:szCs w:val="24"/>
        </w:rPr>
        <w:t>–</w:t>
      </w:r>
      <w:r w:rsidR="00107E3E">
        <w:rPr>
          <w:rFonts w:ascii="Arial" w:hAnsi="Arial" w:cs="Arial"/>
          <w:sz w:val="24"/>
          <w:szCs w:val="24"/>
        </w:rPr>
        <w:t>2020</w:t>
      </w:r>
      <w:r w:rsidRPr="00D36624">
        <w:rPr>
          <w:rFonts w:ascii="Arial" w:hAnsi="Arial" w:cs="Arial"/>
          <w:sz w:val="24"/>
          <w:szCs w:val="24"/>
        </w:rPr>
        <w:t>. godina</w:t>
      </w:r>
    </w:p>
    <w:p w:rsidR="00407965" w:rsidRPr="00D36624" w:rsidRDefault="00407965" w:rsidP="004079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89" w:type="dxa"/>
        <w:jc w:val="center"/>
        <w:tblLayout w:type="fixed"/>
        <w:tblLook w:val="04A0" w:firstRow="1" w:lastRow="0" w:firstColumn="1" w:lastColumn="0" w:noHBand="0" w:noVBand="1"/>
      </w:tblPr>
      <w:tblGrid>
        <w:gridCol w:w="2992"/>
        <w:gridCol w:w="992"/>
        <w:gridCol w:w="1134"/>
        <w:gridCol w:w="993"/>
        <w:gridCol w:w="992"/>
        <w:gridCol w:w="992"/>
        <w:gridCol w:w="994"/>
      </w:tblGrid>
      <w:tr w:rsidR="00187FC7" w:rsidRPr="00D36624" w:rsidTr="00BE1F46">
        <w:trPr>
          <w:trHeight w:val="468"/>
          <w:jc w:val="center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Procjene ostvarenja                        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Projekcije </w:t>
            </w:r>
          </w:p>
        </w:tc>
      </w:tr>
      <w:tr w:rsidR="00BE1F46" w:rsidRPr="00D36624" w:rsidTr="00BE1F46">
        <w:trPr>
          <w:trHeight w:val="247"/>
          <w:jc w:val="center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87FC7" w:rsidRPr="00D36624" w:rsidRDefault="00187FC7" w:rsidP="0040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</w:t>
            </w:r>
            <w:r w:rsidR="004079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87FC7" w:rsidRPr="00D36624" w:rsidRDefault="00187FC7" w:rsidP="0040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</w:t>
            </w:r>
            <w:r w:rsidR="004079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87FC7" w:rsidRPr="00D36624" w:rsidRDefault="00187FC7" w:rsidP="0040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</w:t>
            </w:r>
            <w:r w:rsidR="004079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87FC7" w:rsidRPr="00D36624" w:rsidRDefault="00187FC7" w:rsidP="0040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</w:t>
            </w:r>
            <w:r w:rsidR="004079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87FC7" w:rsidRPr="00D36624" w:rsidRDefault="00187FC7" w:rsidP="0040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</w:t>
            </w:r>
            <w:r w:rsidR="004079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87FC7" w:rsidRPr="00D36624" w:rsidRDefault="00187FC7" w:rsidP="0040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  <w:r w:rsidR="004079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  <w:r w:rsidRPr="00D366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BE1F46" w:rsidRPr="00D36624" w:rsidTr="00407965">
        <w:trPr>
          <w:trHeight w:val="332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D36624">
              <w:rPr>
                <w:rFonts w:ascii="Arial" w:eastAsia="Times New Roman" w:hAnsi="Arial" w:cs="Arial"/>
                <w:bCs/>
              </w:rPr>
              <w:t>Nominalni BDP u mil. KM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18.677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22.183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107E3E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23.521</w:t>
            </w:r>
          </w:p>
        </w:tc>
      </w:tr>
      <w:tr w:rsidR="00BE1F46" w:rsidRPr="00D36624" w:rsidTr="00407965">
        <w:trPr>
          <w:trHeight w:val="332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D36624">
              <w:rPr>
                <w:rFonts w:ascii="Arial" w:eastAsia="Times New Roman" w:hAnsi="Arial" w:cs="Arial"/>
              </w:rPr>
              <w:t>Nominalni rast u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107E3E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6,0</w:t>
            </w:r>
          </w:p>
        </w:tc>
      </w:tr>
      <w:tr w:rsidR="00BE1F46" w:rsidRPr="00D36624" w:rsidTr="00407965">
        <w:trPr>
          <w:trHeight w:val="332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rPr>
                <w:rFonts w:ascii="Arial" w:eastAsia="Times New Roman" w:hAnsi="Arial" w:cs="Arial"/>
                <w:bCs/>
              </w:rPr>
            </w:pPr>
            <w:r w:rsidRPr="00D36624">
              <w:rPr>
                <w:rFonts w:ascii="Arial" w:eastAsia="Times New Roman" w:hAnsi="Arial" w:cs="Arial"/>
                <w:bCs/>
              </w:rPr>
              <w:t xml:space="preserve">Realni BDP u mil. KM </w:t>
            </w:r>
            <w:r w:rsidRPr="00D36624">
              <w:rPr>
                <w:rFonts w:ascii="Arial" w:eastAsia="Times New Roman" w:hAnsi="Arial" w:cs="Arial"/>
                <w:bCs/>
              </w:rPr>
              <w:lastRenderedPageBreak/>
              <w:t>(prethodna g. = 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18.528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18.254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21.919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107E3E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23.173</w:t>
            </w:r>
          </w:p>
        </w:tc>
      </w:tr>
      <w:tr w:rsidR="00BE1F46" w:rsidRPr="00D36624" w:rsidTr="00407965">
        <w:trPr>
          <w:trHeight w:val="332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87FC7" w:rsidRPr="00D36624" w:rsidRDefault="00187FC7" w:rsidP="005760FE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D36624">
              <w:rPr>
                <w:rFonts w:ascii="Arial" w:eastAsia="Times New Roman" w:hAnsi="Arial" w:cs="Arial"/>
              </w:rPr>
              <w:lastRenderedPageBreak/>
              <w:t xml:space="preserve">Realni rast u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407965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107E3E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87FC7" w:rsidRPr="00D36624" w:rsidRDefault="00107E3E" w:rsidP="004079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4,5</w:t>
            </w:r>
          </w:p>
        </w:tc>
      </w:tr>
    </w:tbl>
    <w:p w:rsidR="00187FC7" w:rsidRPr="00D36624" w:rsidRDefault="00187FC7" w:rsidP="00187FC7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D36624">
        <w:rPr>
          <w:rFonts w:ascii="Arial" w:hAnsi="Arial" w:cs="Arial"/>
          <w:i/>
        </w:rPr>
        <w:t>Izvor: Federalni zavod za programiranje razvoja i FMF</w:t>
      </w:r>
    </w:p>
    <w:p w:rsidR="00407965" w:rsidRDefault="00407965" w:rsidP="00187F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631B" w:rsidRDefault="00407965" w:rsidP="009D631B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6BA8">
        <w:rPr>
          <w:rFonts w:ascii="Arial" w:hAnsi="Arial" w:cs="Arial"/>
          <w:sz w:val="24"/>
          <w:szCs w:val="24"/>
        </w:rPr>
        <w:t>Makroekonoms</w:t>
      </w:r>
      <w:r>
        <w:rPr>
          <w:rFonts w:ascii="Arial" w:hAnsi="Arial" w:cs="Arial"/>
          <w:sz w:val="24"/>
          <w:szCs w:val="24"/>
        </w:rPr>
        <w:t>ke projekcije za period 2017</w:t>
      </w:r>
      <w:r w:rsidR="005C4C94">
        <w:rPr>
          <w:rFonts w:ascii="Arial" w:hAnsi="Arial" w:cs="Arial"/>
          <w:sz w:val="24"/>
          <w:szCs w:val="24"/>
        </w:rPr>
        <w:t>. – 2020</w:t>
      </w:r>
      <w:r w:rsidRPr="00566BA8">
        <w:rPr>
          <w:rFonts w:ascii="Arial" w:hAnsi="Arial" w:cs="Arial"/>
          <w:sz w:val="24"/>
          <w:szCs w:val="24"/>
        </w:rPr>
        <w:t>. godine, temeljene su na dostupnim informacijama o inputima i statističkim pokazateljima objav</w:t>
      </w:r>
      <w:r>
        <w:rPr>
          <w:rFonts w:ascii="Arial" w:hAnsi="Arial" w:cs="Arial"/>
          <w:sz w:val="24"/>
          <w:szCs w:val="24"/>
        </w:rPr>
        <w:t>ljenim do sredine septembra 2016</w:t>
      </w:r>
      <w:r w:rsidRPr="00566BA8">
        <w:rPr>
          <w:rFonts w:ascii="Arial" w:hAnsi="Arial" w:cs="Arial"/>
          <w:sz w:val="24"/>
          <w:szCs w:val="24"/>
        </w:rPr>
        <w:t>. godine. Spor oporavak ekonomskih kretanja u međunarodno</w:t>
      </w:r>
      <w:r>
        <w:rPr>
          <w:rFonts w:ascii="Arial" w:hAnsi="Arial" w:cs="Arial"/>
          <w:sz w:val="24"/>
          <w:szCs w:val="24"/>
        </w:rPr>
        <w:t>m okruženju, prije svega u EU, u</w:t>
      </w:r>
      <w:r w:rsidRPr="00566BA8">
        <w:rPr>
          <w:rFonts w:ascii="Arial" w:hAnsi="Arial" w:cs="Arial"/>
          <w:sz w:val="24"/>
          <w:szCs w:val="24"/>
        </w:rPr>
        <w:t xml:space="preserve"> 2015. i 2016. godin</w:t>
      </w:r>
      <w:r>
        <w:rPr>
          <w:rFonts w:ascii="Arial" w:hAnsi="Arial" w:cs="Arial"/>
          <w:sz w:val="24"/>
          <w:szCs w:val="24"/>
        </w:rPr>
        <w:t>i</w:t>
      </w:r>
      <w:r w:rsidRPr="00566BA8">
        <w:rPr>
          <w:rFonts w:ascii="Arial" w:hAnsi="Arial" w:cs="Arial"/>
          <w:sz w:val="24"/>
          <w:szCs w:val="24"/>
        </w:rPr>
        <w:t>, doveli su do jačanja negativnih rizika, što je uticalo na makroekonomske projekcije. U domaćoj privredi, nakon realnog rasta ekonomskih aktivnosti u 2015. godini (3,1%), procjenjuje se blagi realni rast BDP-a u 2016. godini u procentu od 2,1%. Očekivanja su da će GDP zabilježiti realan rast u 2017. godini po</w:t>
      </w:r>
      <w:r>
        <w:rPr>
          <w:rFonts w:ascii="Arial" w:hAnsi="Arial" w:cs="Arial"/>
          <w:sz w:val="24"/>
          <w:szCs w:val="24"/>
        </w:rPr>
        <w:t xml:space="preserve"> stopi od 3,4%, u 2018. godini 3</w:t>
      </w:r>
      <w:r w:rsidR="009D631B">
        <w:rPr>
          <w:rFonts w:ascii="Arial" w:hAnsi="Arial" w:cs="Arial"/>
          <w:sz w:val="24"/>
          <w:szCs w:val="24"/>
        </w:rPr>
        <w:t>,8%, da bi u  2019., odnosno 2020. godini</w:t>
      </w:r>
      <w:r w:rsidRPr="00566BA8">
        <w:rPr>
          <w:rFonts w:ascii="Arial" w:hAnsi="Arial" w:cs="Arial"/>
          <w:sz w:val="24"/>
          <w:szCs w:val="24"/>
        </w:rPr>
        <w:t xml:space="preserve"> procjenjeni rast iznosio 4,0%</w:t>
      </w:r>
      <w:r w:rsidR="009D631B">
        <w:rPr>
          <w:rFonts w:ascii="Arial" w:hAnsi="Arial" w:cs="Arial"/>
          <w:sz w:val="24"/>
          <w:szCs w:val="24"/>
        </w:rPr>
        <w:t xml:space="preserve"> i 4,5%</w:t>
      </w:r>
      <w:r w:rsidRPr="00566BA8">
        <w:rPr>
          <w:rFonts w:ascii="Arial" w:hAnsi="Arial" w:cs="Arial"/>
          <w:sz w:val="24"/>
          <w:szCs w:val="24"/>
        </w:rPr>
        <w:t xml:space="preserve">. </w:t>
      </w:r>
    </w:p>
    <w:p w:rsidR="009D631B" w:rsidRDefault="009D631B" w:rsidP="009D631B">
      <w:pPr>
        <w:spacing w:after="0"/>
        <w:jc w:val="both"/>
        <w:rPr>
          <w:rFonts w:ascii="Arial" w:hAnsi="Arial" w:cs="Arial"/>
          <w:sz w:val="24"/>
          <w:szCs w:val="24"/>
          <w:lang w:val="hr-HR"/>
        </w:rPr>
      </w:pPr>
    </w:p>
    <w:p w:rsidR="009D631B" w:rsidRPr="00441B7E" w:rsidRDefault="00407965" w:rsidP="0043336C">
      <w:pPr>
        <w:jc w:val="both"/>
        <w:rPr>
          <w:rFonts w:ascii="Arial" w:hAnsi="Arial" w:cs="Arial"/>
          <w:sz w:val="24"/>
          <w:szCs w:val="24"/>
          <w:lang w:val="hr-HR"/>
        </w:rPr>
      </w:pPr>
      <w:r w:rsidRPr="00441B7E">
        <w:rPr>
          <w:rFonts w:ascii="Arial" w:hAnsi="Arial" w:cs="Arial"/>
          <w:sz w:val="24"/>
          <w:szCs w:val="24"/>
          <w:lang w:val="hr-HR"/>
        </w:rPr>
        <w:t>Očekiv</w:t>
      </w:r>
      <w:r w:rsidR="00636720" w:rsidRPr="00441B7E">
        <w:rPr>
          <w:rFonts w:ascii="Arial" w:hAnsi="Arial" w:cs="Arial"/>
          <w:sz w:val="24"/>
          <w:szCs w:val="24"/>
          <w:lang w:val="hr-HR"/>
        </w:rPr>
        <w:t>anja su da u periodu 2017. – 2020</w:t>
      </w:r>
      <w:r w:rsidRPr="00441B7E">
        <w:rPr>
          <w:rFonts w:ascii="Arial" w:hAnsi="Arial" w:cs="Arial"/>
          <w:sz w:val="24"/>
          <w:szCs w:val="24"/>
          <w:lang w:val="hr-HR"/>
        </w:rPr>
        <w:t>. godine F</w:t>
      </w:r>
      <w:r w:rsidR="00636720" w:rsidRPr="00441B7E">
        <w:rPr>
          <w:rFonts w:ascii="Arial" w:hAnsi="Arial" w:cs="Arial"/>
          <w:sz w:val="24"/>
          <w:szCs w:val="24"/>
          <w:lang w:val="hr-HR"/>
        </w:rPr>
        <w:t xml:space="preserve">ederacija </w:t>
      </w:r>
      <w:r w:rsidRPr="00441B7E">
        <w:rPr>
          <w:rFonts w:ascii="Arial" w:hAnsi="Arial" w:cs="Arial"/>
          <w:sz w:val="24"/>
          <w:szCs w:val="24"/>
          <w:lang w:val="hr-HR"/>
        </w:rPr>
        <w:t>BiH ostvaruje kontinuirani rast izvozne aktivnosti i to u 2017. godini za 7,1%, u 2018. za 7,9%, te u 2019.</w:t>
      </w:r>
      <w:r w:rsidR="00636720" w:rsidRPr="00441B7E">
        <w:rPr>
          <w:rFonts w:ascii="Arial" w:hAnsi="Arial" w:cs="Arial"/>
          <w:sz w:val="24"/>
          <w:szCs w:val="24"/>
          <w:lang w:val="hr-HR"/>
        </w:rPr>
        <w:t xml:space="preserve">, odnosno 2020. godini </w:t>
      </w:r>
      <w:r w:rsidRPr="00441B7E">
        <w:rPr>
          <w:rFonts w:ascii="Arial" w:hAnsi="Arial" w:cs="Arial"/>
          <w:sz w:val="24"/>
          <w:szCs w:val="24"/>
          <w:lang w:val="hr-HR"/>
        </w:rPr>
        <w:t>za 7,9%. U istom periodu se očekuje rast uvoza u 2017. godini za 6,4%, dok su očekivanja za 2018. godinu povećanje uvoza za 6,8%., a u 2019.</w:t>
      </w:r>
      <w:r w:rsidR="00636720" w:rsidRPr="00441B7E">
        <w:rPr>
          <w:rFonts w:ascii="Arial" w:hAnsi="Arial" w:cs="Arial"/>
          <w:sz w:val="24"/>
          <w:szCs w:val="24"/>
          <w:lang w:val="hr-HR"/>
        </w:rPr>
        <w:t xml:space="preserve"> i 2020. </w:t>
      </w:r>
      <w:r w:rsidRPr="00441B7E">
        <w:rPr>
          <w:rFonts w:ascii="Arial" w:hAnsi="Arial" w:cs="Arial"/>
          <w:sz w:val="24"/>
          <w:szCs w:val="24"/>
          <w:lang w:val="hr-HR"/>
        </w:rPr>
        <w:t xml:space="preserve"> godini očekuje se rast uvoza za 7,2%</w:t>
      </w:r>
      <w:r w:rsidR="00636720" w:rsidRPr="00441B7E">
        <w:rPr>
          <w:rFonts w:ascii="Arial" w:hAnsi="Arial" w:cs="Arial"/>
          <w:sz w:val="24"/>
          <w:szCs w:val="24"/>
          <w:lang w:val="hr-HR"/>
        </w:rPr>
        <w:t xml:space="preserve"> i </w:t>
      </w:r>
      <w:r w:rsidR="00441B7E" w:rsidRPr="00441B7E">
        <w:rPr>
          <w:rFonts w:ascii="Arial" w:hAnsi="Arial" w:cs="Arial"/>
          <w:sz w:val="24"/>
          <w:szCs w:val="24"/>
          <w:lang w:val="hr-HR"/>
        </w:rPr>
        <w:t>6,4</w:t>
      </w:r>
      <w:r w:rsidR="00636720" w:rsidRPr="00441B7E">
        <w:rPr>
          <w:rFonts w:ascii="Arial" w:hAnsi="Arial" w:cs="Arial"/>
          <w:sz w:val="24"/>
          <w:szCs w:val="24"/>
          <w:lang w:val="hr-HR"/>
        </w:rPr>
        <w:t>%</w:t>
      </w:r>
      <w:r w:rsidRPr="00441B7E">
        <w:rPr>
          <w:rFonts w:ascii="Arial" w:hAnsi="Arial" w:cs="Arial"/>
          <w:sz w:val="24"/>
          <w:szCs w:val="24"/>
          <w:lang w:val="hr-HR"/>
        </w:rPr>
        <w:t>.</w:t>
      </w:r>
    </w:p>
    <w:p w:rsidR="00407965" w:rsidRPr="00441B7E" w:rsidRDefault="00407965" w:rsidP="0043336C">
      <w:pPr>
        <w:jc w:val="both"/>
        <w:rPr>
          <w:rFonts w:ascii="Arial" w:eastAsia="Times New Roman" w:hAnsi="Arial" w:cs="Arial"/>
          <w:sz w:val="24"/>
          <w:szCs w:val="24"/>
        </w:rPr>
      </w:pPr>
      <w:r w:rsidRPr="00441B7E">
        <w:rPr>
          <w:rFonts w:ascii="Arial" w:eastAsia="Times New Roman" w:hAnsi="Arial" w:cs="Arial"/>
          <w:sz w:val="24"/>
          <w:szCs w:val="24"/>
        </w:rPr>
        <w:t>Imajući u vidu planirane aktivnosti Vlade</w:t>
      </w:r>
      <w:r w:rsidR="00441B7E" w:rsidRPr="00441B7E">
        <w:rPr>
          <w:rFonts w:ascii="Arial" w:eastAsia="Times New Roman" w:hAnsi="Arial" w:cs="Arial"/>
          <w:sz w:val="24"/>
          <w:szCs w:val="24"/>
        </w:rPr>
        <w:t xml:space="preserve"> Federacije BiH</w:t>
      </w:r>
      <w:r w:rsidRPr="00441B7E">
        <w:rPr>
          <w:rFonts w:ascii="Arial" w:eastAsia="Times New Roman" w:hAnsi="Arial" w:cs="Arial"/>
          <w:sz w:val="24"/>
          <w:szCs w:val="24"/>
        </w:rPr>
        <w:t>, očekuje se da bi ukupan broj zaposlenih u Federaciji BiH mogao dostići stopu rasta od 2,2% u 2017. godini, stopu rasta od 2,5% u 2018. godini i stopu rasta od 2,5% u</w:t>
      </w:r>
      <w:r w:rsidR="009D631B" w:rsidRPr="00441B7E">
        <w:rPr>
          <w:rFonts w:ascii="Arial" w:eastAsia="Times New Roman" w:hAnsi="Arial" w:cs="Arial"/>
          <w:sz w:val="24"/>
          <w:szCs w:val="24"/>
        </w:rPr>
        <w:t xml:space="preserve"> </w:t>
      </w:r>
      <w:r w:rsidRPr="00441B7E">
        <w:rPr>
          <w:rFonts w:ascii="Arial" w:eastAsia="Times New Roman" w:hAnsi="Arial" w:cs="Arial"/>
          <w:sz w:val="24"/>
          <w:szCs w:val="24"/>
        </w:rPr>
        <w:t>2019. godini</w:t>
      </w:r>
      <w:r w:rsidR="00441B7E" w:rsidRPr="00441B7E">
        <w:rPr>
          <w:rFonts w:ascii="Arial" w:eastAsia="Times New Roman" w:hAnsi="Arial" w:cs="Arial"/>
          <w:sz w:val="24"/>
          <w:szCs w:val="24"/>
        </w:rPr>
        <w:t>, odnosno 2,3% u 2020. godini</w:t>
      </w:r>
      <w:r w:rsidRPr="00441B7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9D631B" w:rsidRPr="00441B7E" w:rsidRDefault="00407965" w:rsidP="009D631B">
      <w:pPr>
        <w:spacing w:before="240" w:after="240"/>
        <w:jc w:val="both"/>
        <w:rPr>
          <w:rFonts w:ascii="Arial" w:eastAsia="Times New Roman" w:hAnsi="Arial" w:cs="Arial"/>
          <w:sz w:val="24"/>
          <w:szCs w:val="24"/>
        </w:rPr>
      </w:pPr>
      <w:r w:rsidRPr="00441B7E">
        <w:rPr>
          <w:rFonts w:ascii="Arial" w:eastAsia="Times New Roman" w:hAnsi="Arial" w:cs="Arial"/>
          <w:sz w:val="24"/>
          <w:szCs w:val="24"/>
        </w:rPr>
        <w:t>Prema rezultatima za prvih devet mjeseci, očekuje se smanjenje broja nezaposlenih u 2016. godini za 2,7%. U 2017. godini se očekuje smanjenje za 2,8%, u 2018. godini za 2,9%, te u 2019.</w:t>
      </w:r>
      <w:r w:rsidR="00441B7E" w:rsidRPr="00441B7E">
        <w:rPr>
          <w:rFonts w:ascii="Arial" w:eastAsia="Times New Roman" w:hAnsi="Arial" w:cs="Arial"/>
          <w:sz w:val="24"/>
          <w:szCs w:val="24"/>
        </w:rPr>
        <w:t xml:space="preserve">, odnosno 2020. </w:t>
      </w:r>
      <w:r w:rsidRPr="00441B7E">
        <w:rPr>
          <w:rFonts w:ascii="Arial" w:eastAsia="Times New Roman" w:hAnsi="Arial" w:cs="Arial"/>
          <w:sz w:val="24"/>
          <w:szCs w:val="24"/>
        </w:rPr>
        <w:t xml:space="preserve">godini smanjenje broja </w:t>
      </w:r>
      <w:r w:rsidR="00441B7E" w:rsidRPr="00441B7E">
        <w:rPr>
          <w:rFonts w:ascii="Arial" w:eastAsia="Times New Roman" w:hAnsi="Arial" w:cs="Arial"/>
          <w:sz w:val="24"/>
          <w:szCs w:val="24"/>
        </w:rPr>
        <w:t>ne</w:t>
      </w:r>
      <w:r w:rsidRPr="00441B7E">
        <w:rPr>
          <w:rFonts w:ascii="Arial" w:eastAsia="Times New Roman" w:hAnsi="Arial" w:cs="Arial"/>
          <w:sz w:val="24"/>
          <w:szCs w:val="24"/>
        </w:rPr>
        <w:t>zaposlenih za 3,0%</w:t>
      </w:r>
      <w:r w:rsidR="00441B7E" w:rsidRPr="00441B7E">
        <w:rPr>
          <w:rFonts w:ascii="Arial" w:eastAsia="Times New Roman" w:hAnsi="Arial" w:cs="Arial"/>
          <w:sz w:val="24"/>
          <w:szCs w:val="24"/>
        </w:rPr>
        <w:t xml:space="preserve"> i 3,5</w:t>
      </w:r>
      <w:r w:rsidRPr="00441B7E">
        <w:rPr>
          <w:rFonts w:ascii="Arial" w:eastAsia="Times New Roman" w:hAnsi="Arial" w:cs="Arial"/>
          <w:sz w:val="24"/>
          <w:szCs w:val="24"/>
        </w:rPr>
        <w:t>.</w:t>
      </w:r>
    </w:p>
    <w:p w:rsidR="00407965" w:rsidRDefault="00407965" w:rsidP="0043336C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441B7E">
        <w:rPr>
          <w:rFonts w:ascii="Arial" w:hAnsi="Arial" w:cs="Arial"/>
          <w:sz w:val="24"/>
          <w:szCs w:val="24"/>
        </w:rPr>
        <w:t>Očekivani oporavak ekonomskih  aktivnosti u FBiH, u periodu 2017. – 2019. godine, temeljit će se na strukturnim reformama koje su predviđene Reformskom agendom i na ubrzanju investicijskog ciklusa, posebno investiranja u sektoru energetike. Povećanje investicijske aktivnosti očekuje se u trogodišnjem periodu za koji se donosi ovaj dokument, uz konstantno povećanje udjela investicijskih aktivnosti u BDP-u, koji se kreće</w:t>
      </w:r>
      <w:r w:rsidR="00441B7E" w:rsidRPr="00441B7E">
        <w:rPr>
          <w:rFonts w:ascii="Arial" w:hAnsi="Arial" w:cs="Arial"/>
          <w:sz w:val="24"/>
          <w:szCs w:val="24"/>
        </w:rPr>
        <w:t xml:space="preserve"> od 14,9% u 2015. do 17,1% u 2020</w:t>
      </w:r>
      <w:r w:rsidRPr="00441B7E">
        <w:rPr>
          <w:rFonts w:ascii="Arial" w:hAnsi="Arial" w:cs="Arial"/>
          <w:sz w:val="24"/>
          <w:szCs w:val="24"/>
        </w:rPr>
        <w:t>. godini. Procjene investicija su vezane za blagi ekonomski oporavak u EU i okruženju, što će pozitivno uticati i na ekonomski oporavak BiH i F</w:t>
      </w:r>
      <w:r w:rsidR="00441B7E" w:rsidRPr="00441B7E">
        <w:rPr>
          <w:rFonts w:ascii="Arial" w:hAnsi="Arial" w:cs="Arial"/>
          <w:sz w:val="24"/>
          <w:szCs w:val="24"/>
        </w:rPr>
        <w:t xml:space="preserve">ederacije </w:t>
      </w:r>
      <w:r w:rsidRPr="00441B7E">
        <w:rPr>
          <w:rFonts w:ascii="Arial" w:hAnsi="Arial" w:cs="Arial"/>
          <w:sz w:val="24"/>
          <w:szCs w:val="24"/>
        </w:rPr>
        <w:t>BiH.</w:t>
      </w:r>
    </w:p>
    <w:p w:rsidR="00441B7E" w:rsidRDefault="00441B7E" w:rsidP="009D631B">
      <w:pPr>
        <w:spacing w:before="240" w:after="240"/>
        <w:jc w:val="both"/>
        <w:rPr>
          <w:rFonts w:ascii="Arial" w:hAnsi="Arial" w:cs="Arial"/>
          <w:sz w:val="24"/>
          <w:szCs w:val="24"/>
        </w:rPr>
      </w:pPr>
    </w:p>
    <w:p w:rsidR="00441B7E" w:rsidRDefault="00441B7E" w:rsidP="009D631B">
      <w:pPr>
        <w:spacing w:before="240" w:after="240"/>
        <w:jc w:val="both"/>
        <w:rPr>
          <w:rFonts w:ascii="Arial" w:hAnsi="Arial" w:cs="Arial"/>
          <w:sz w:val="24"/>
          <w:szCs w:val="24"/>
        </w:rPr>
      </w:pPr>
    </w:p>
    <w:p w:rsidR="00407965" w:rsidRDefault="00407965" w:rsidP="00187F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965" w:rsidRDefault="00407965" w:rsidP="00187F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965" w:rsidRDefault="00407965" w:rsidP="00187F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0F7E" w:rsidRPr="00D36624" w:rsidRDefault="00690F7E" w:rsidP="001E7D0F">
      <w:pPr>
        <w:pStyle w:val="Heading1"/>
        <w:spacing w:before="120" w:after="120"/>
        <w:rPr>
          <w:rFonts w:ascii="Arial" w:hAnsi="Arial" w:cs="Arial"/>
          <w:b w:val="0"/>
          <w:bCs w:val="0"/>
          <w:color w:val="92D050"/>
          <w:sz w:val="24"/>
          <w:szCs w:val="24"/>
        </w:rPr>
      </w:pPr>
      <w:bookmarkStart w:id="25" w:name="_Toc482799257"/>
      <w:r w:rsidRPr="0043070C">
        <w:rPr>
          <w:rFonts w:ascii="Arial" w:hAnsi="Arial" w:cs="Arial"/>
          <w:color w:val="C00000"/>
        </w:rPr>
        <w:lastRenderedPageBreak/>
        <w:t>4. FISKALNA POLITIKA U SREDNJOROČNOM PERIODU</w:t>
      </w:r>
      <w:bookmarkEnd w:id="25"/>
    </w:p>
    <w:p w:rsidR="00C02BF9" w:rsidRPr="00C02BF9" w:rsidRDefault="00690F7E" w:rsidP="00C02BF9">
      <w:pPr>
        <w:pStyle w:val="Heading2"/>
        <w:spacing w:before="120" w:after="120"/>
        <w:rPr>
          <w:rFonts w:ascii="Arial" w:hAnsi="Arial" w:cs="Arial"/>
          <w:color w:val="92D050"/>
        </w:rPr>
      </w:pPr>
      <w:bookmarkStart w:id="26" w:name="_Toc482799258"/>
      <w:r w:rsidRPr="0043070C">
        <w:rPr>
          <w:rFonts w:ascii="Arial" w:hAnsi="Arial" w:cs="Arial"/>
          <w:color w:val="C00000"/>
        </w:rPr>
        <w:t xml:space="preserve">4.1. </w:t>
      </w:r>
      <w:r w:rsidR="005760FE" w:rsidRPr="0043070C">
        <w:rPr>
          <w:rFonts w:ascii="Arial" w:hAnsi="Arial" w:cs="Arial"/>
          <w:color w:val="C00000"/>
        </w:rPr>
        <w:t>Porezna politika i javni prihodi</w:t>
      </w:r>
      <w:bookmarkEnd w:id="26"/>
      <w:r w:rsidRPr="00D36624">
        <w:rPr>
          <w:rFonts w:ascii="Arial" w:hAnsi="Arial" w:cs="Arial"/>
          <w:color w:val="92D050"/>
        </w:rPr>
        <w:t xml:space="preserve"> </w:t>
      </w:r>
    </w:p>
    <w:p w:rsidR="008C2E42" w:rsidRDefault="007534DC" w:rsidP="00CA67D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Kao i u proteklom periodu, Vlada Federacije BiH i u periodu</w:t>
      </w:r>
      <w:r w:rsidR="008C2E42">
        <w:rPr>
          <w:rFonts w:ascii="Arial" w:hAnsi="Arial" w:cs="Arial"/>
          <w:sz w:val="24"/>
          <w:szCs w:val="24"/>
        </w:rPr>
        <w:t xml:space="preserve"> 2018-2020. godina</w:t>
      </w:r>
      <w:r>
        <w:rPr>
          <w:rFonts w:ascii="Arial" w:hAnsi="Arial" w:cs="Arial"/>
          <w:sz w:val="24"/>
          <w:szCs w:val="24"/>
        </w:rPr>
        <w:t xml:space="preserve"> nastavlja na realizaciji započetih aktivnosti, te praćenju provedbe politika i preuzetih obaveza i</w:t>
      </w:r>
      <w:r w:rsidR="00AB7D66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Pisma namjere, potpisanog od strane Bosne i Hercegovine sa Međunarodnim monetarnim fondom.</w:t>
      </w:r>
      <w:r w:rsidR="00AB7D66">
        <w:rPr>
          <w:rFonts w:ascii="Arial" w:hAnsi="Arial" w:cs="Arial"/>
          <w:sz w:val="24"/>
          <w:szCs w:val="24"/>
        </w:rPr>
        <w:t xml:space="preserve"> Također, primarni fokus će biti stavljen na provođenju reformi i svih zadataka ka pridruživanju Evropskoj uniji.</w:t>
      </w:r>
    </w:p>
    <w:p w:rsidR="008C2E42" w:rsidRDefault="008C2E42" w:rsidP="00CA67D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B7D66" w:rsidRDefault="005760FE" w:rsidP="00CA67D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36624">
        <w:rPr>
          <w:rFonts w:ascii="Arial" w:hAnsi="Arial" w:cs="Arial"/>
          <w:sz w:val="24"/>
          <w:szCs w:val="24"/>
        </w:rPr>
        <w:t xml:space="preserve">Prioriteti u oblasti porezne politike i javnih prihoda </w:t>
      </w:r>
      <w:r w:rsidR="00BF259B">
        <w:rPr>
          <w:rFonts w:ascii="Arial" w:hAnsi="Arial" w:cs="Arial"/>
          <w:sz w:val="24"/>
          <w:szCs w:val="24"/>
        </w:rPr>
        <w:t xml:space="preserve">i </w:t>
      </w:r>
      <w:r w:rsidR="008C2E42">
        <w:rPr>
          <w:rFonts w:ascii="Arial" w:hAnsi="Arial" w:cs="Arial"/>
          <w:sz w:val="24"/>
          <w:szCs w:val="24"/>
        </w:rPr>
        <w:t>u ovom periodu</w:t>
      </w:r>
      <w:r w:rsidRPr="00D36624">
        <w:rPr>
          <w:rFonts w:ascii="Arial" w:hAnsi="Arial" w:cs="Arial"/>
          <w:sz w:val="24"/>
          <w:szCs w:val="24"/>
        </w:rPr>
        <w:t xml:space="preserve"> </w:t>
      </w:r>
      <w:r w:rsidR="008C2E42">
        <w:rPr>
          <w:rFonts w:ascii="Arial" w:hAnsi="Arial" w:cs="Arial"/>
          <w:sz w:val="24"/>
          <w:szCs w:val="24"/>
        </w:rPr>
        <w:t xml:space="preserve">će </w:t>
      </w:r>
      <w:r w:rsidR="00AB7D66">
        <w:rPr>
          <w:rFonts w:ascii="Arial" w:hAnsi="Arial" w:cs="Arial"/>
          <w:sz w:val="24"/>
          <w:szCs w:val="24"/>
        </w:rPr>
        <w:t>biti usmjereni</w:t>
      </w:r>
      <w:r w:rsidR="008C2E42">
        <w:rPr>
          <w:rFonts w:ascii="Arial" w:hAnsi="Arial" w:cs="Arial"/>
          <w:sz w:val="24"/>
          <w:szCs w:val="24"/>
        </w:rPr>
        <w:t xml:space="preserve"> </w:t>
      </w:r>
      <w:r w:rsidRPr="00D36624">
        <w:rPr>
          <w:rFonts w:ascii="Arial" w:hAnsi="Arial" w:cs="Arial"/>
          <w:sz w:val="24"/>
          <w:szCs w:val="24"/>
        </w:rPr>
        <w:t>na nastav</w:t>
      </w:r>
      <w:r w:rsidR="008C2E42">
        <w:rPr>
          <w:rFonts w:ascii="Arial" w:hAnsi="Arial" w:cs="Arial"/>
          <w:sz w:val="24"/>
          <w:szCs w:val="24"/>
        </w:rPr>
        <w:t>ak</w:t>
      </w:r>
      <w:r w:rsidRPr="00D36624">
        <w:rPr>
          <w:rFonts w:ascii="Arial" w:hAnsi="Arial" w:cs="Arial"/>
          <w:sz w:val="24"/>
          <w:szCs w:val="24"/>
        </w:rPr>
        <w:t xml:space="preserve"> aktivnosti </w:t>
      </w:r>
      <w:r w:rsidR="00AB7D66">
        <w:rPr>
          <w:rFonts w:ascii="Arial" w:hAnsi="Arial" w:cs="Arial"/>
          <w:sz w:val="24"/>
          <w:szCs w:val="24"/>
        </w:rPr>
        <w:t>izrade prijedloga zakonskih rješenja, kojima će se doprinijeti</w:t>
      </w:r>
      <w:r w:rsidR="00BF259B">
        <w:rPr>
          <w:rFonts w:ascii="Arial" w:hAnsi="Arial" w:cs="Arial"/>
          <w:sz w:val="24"/>
          <w:szCs w:val="24"/>
        </w:rPr>
        <w:t xml:space="preserve"> osiguranju i očuvanju ambijenta pogodnog privrednom rastu, sa stabilnim i predvidivim uslovima poslovanja, te</w:t>
      </w:r>
      <w:r w:rsidR="002E19EC">
        <w:rPr>
          <w:rFonts w:ascii="Arial" w:hAnsi="Arial" w:cs="Arial"/>
          <w:sz w:val="24"/>
          <w:szCs w:val="24"/>
        </w:rPr>
        <w:t xml:space="preserve"> poboljšanju naplate javnih prihoda, kao jednog od osnovnih agregata za planiranje razvojnih, socijalnih i ostalih društvenih potreba i obaveza.</w:t>
      </w:r>
    </w:p>
    <w:p w:rsidR="009024AD" w:rsidRDefault="009024AD" w:rsidP="00CA67D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FC2CBD">
        <w:rPr>
          <w:rFonts w:ascii="Arial" w:hAnsi="Arial" w:cs="Arial"/>
          <w:sz w:val="24"/>
          <w:szCs w:val="24"/>
        </w:rPr>
        <w:t xml:space="preserve">ktivnosti </w:t>
      </w:r>
      <w:r w:rsidR="007640E3">
        <w:rPr>
          <w:rFonts w:ascii="Arial" w:hAnsi="Arial" w:cs="Arial"/>
          <w:sz w:val="24"/>
          <w:szCs w:val="24"/>
        </w:rPr>
        <w:t>u oblasti porezne reforme usmjerene na modernizaciju porezne strukture, prvenstveno proširenjem porezne osnovice oporezivanjem svih izvora dohotka,</w:t>
      </w:r>
      <w:r w:rsidR="006379E6">
        <w:rPr>
          <w:rFonts w:ascii="Arial" w:hAnsi="Arial" w:cs="Arial"/>
          <w:sz w:val="24"/>
          <w:szCs w:val="24"/>
        </w:rPr>
        <w:t xml:space="preserve"> a posebno naknada za topli obrok, prevoz i regres, nastavljaju se procedurama</w:t>
      </w:r>
      <w:r w:rsidR="007640E3">
        <w:rPr>
          <w:rFonts w:ascii="Arial" w:hAnsi="Arial" w:cs="Arial"/>
          <w:sz w:val="24"/>
          <w:szCs w:val="24"/>
        </w:rPr>
        <w:t xml:space="preserve"> </w:t>
      </w:r>
      <w:r w:rsidRPr="00FC2CBD">
        <w:rPr>
          <w:rFonts w:ascii="Arial" w:hAnsi="Arial" w:cs="Arial"/>
          <w:sz w:val="24"/>
          <w:szCs w:val="24"/>
        </w:rPr>
        <w:t>usvajanja propisa Zakona o porezu na dohodak i Zakona o doprinosima, koji su u</w:t>
      </w:r>
      <w:r w:rsidRPr="006F1783">
        <w:rPr>
          <w:rFonts w:ascii="Arial" w:hAnsi="Arial" w:cs="Arial"/>
          <w:sz w:val="24"/>
          <w:szCs w:val="24"/>
        </w:rPr>
        <w:t>pućeni u parlamentarnu poceduru početkom marta 2017.</w:t>
      </w:r>
      <w:r w:rsidR="00A81D90">
        <w:rPr>
          <w:rFonts w:ascii="Arial" w:hAnsi="Arial" w:cs="Arial"/>
          <w:sz w:val="24"/>
          <w:szCs w:val="24"/>
        </w:rPr>
        <w:t xml:space="preserve"> </w:t>
      </w:r>
      <w:r w:rsidRPr="006F1783">
        <w:rPr>
          <w:rFonts w:ascii="Arial" w:hAnsi="Arial" w:cs="Arial"/>
          <w:sz w:val="24"/>
          <w:szCs w:val="24"/>
        </w:rPr>
        <w:t>godine</w:t>
      </w:r>
      <w:r w:rsidR="00A81D90">
        <w:rPr>
          <w:rFonts w:ascii="Arial" w:hAnsi="Arial" w:cs="Arial"/>
          <w:sz w:val="24"/>
          <w:szCs w:val="24"/>
        </w:rPr>
        <w:t>. Cilj pomenutih Z</w:t>
      </w:r>
      <w:r w:rsidRPr="00FC2CBD">
        <w:rPr>
          <w:rFonts w:ascii="Arial" w:hAnsi="Arial" w:cs="Arial"/>
          <w:sz w:val="24"/>
          <w:szCs w:val="24"/>
        </w:rPr>
        <w:t>akona je smanjenje opterećenja na primanja iz radnog odnosa, a u svrhu smanjenja cijene rada na tržištu</w:t>
      </w:r>
      <w:r w:rsidR="00A81D90">
        <w:rPr>
          <w:rFonts w:ascii="Arial" w:hAnsi="Arial" w:cs="Arial"/>
          <w:sz w:val="24"/>
          <w:szCs w:val="24"/>
        </w:rPr>
        <w:t>,</w:t>
      </w:r>
      <w:r w:rsidRPr="00FC2CBD">
        <w:rPr>
          <w:rFonts w:ascii="Arial" w:hAnsi="Arial" w:cs="Arial"/>
          <w:sz w:val="24"/>
          <w:szCs w:val="24"/>
        </w:rPr>
        <w:t xml:space="preserve"> kao faktora pokretača povećanj</w:t>
      </w:r>
      <w:r w:rsidR="00A81D90">
        <w:rPr>
          <w:rFonts w:ascii="Arial" w:hAnsi="Arial" w:cs="Arial"/>
          <w:sz w:val="24"/>
          <w:szCs w:val="24"/>
        </w:rPr>
        <w:t>a</w:t>
      </w:r>
      <w:r w:rsidRPr="00FC2CBD">
        <w:rPr>
          <w:rFonts w:ascii="Arial" w:hAnsi="Arial" w:cs="Arial"/>
          <w:sz w:val="24"/>
          <w:szCs w:val="24"/>
        </w:rPr>
        <w:t xml:space="preserve"> zaposlenosti u Federaciji</w:t>
      </w:r>
      <w:r w:rsidR="00A81D90">
        <w:rPr>
          <w:rFonts w:ascii="Arial" w:hAnsi="Arial" w:cs="Arial"/>
          <w:sz w:val="24"/>
          <w:szCs w:val="24"/>
        </w:rPr>
        <w:t xml:space="preserve"> BiH. Analiza efekata primjene novih Zakona predstavlja aktivnost,</w:t>
      </w:r>
      <w:r>
        <w:rPr>
          <w:rFonts w:ascii="Arial" w:hAnsi="Arial" w:cs="Arial"/>
          <w:sz w:val="24"/>
          <w:szCs w:val="24"/>
        </w:rPr>
        <w:t xml:space="preserve"> koja bi se vršila u kontinuitetu. Nakon usvajanja Zakona, slijedit će usvajanje podzakonksih akata</w:t>
      </w:r>
      <w:r w:rsidR="00A81D90">
        <w:rPr>
          <w:rFonts w:ascii="Arial" w:hAnsi="Arial" w:cs="Arial"/>
          <w:sz w:val="24"/>
          <w:szCs w:val="24"/>
        </w:rPr>
        <w:t>, kao i</w:t>
      </w:r>
      <w:r>
        <w:rPr>
          <w:rFonts w:ascii="Arial" w:hAnsi="Arial" w:cs="Arial"/>
          <w:sz w:val="24"/>
          <w:szCs w:val="24"/>
        </w:rPr>
        <w:t xml:space="preserve"> edukacija poreznih obvezanika i Porezne uprave </w:t>
      </w:r>
      <w:r w:rsidR="00A81D90">
        <w:rPr>
          <w:rFonts w:ascii="Arial" w:hAnsi="Arial" w:cs="Arial"/>
          <w:sz w:val="24"/>
          <w:szCs w:val="24"/>
        </w:rPr>
        <w:t xml:space="preserve">Federacije BiH </w:t>
      </w:r>
      <w:r>
        <w:rPr>
          <w:rFonts w:ascii="Arial" w:hAnsi="Arial" w:cs="Arial"/>
          <w:sz w:val="24"/>
          <w:szCs w:val="24"/>
        </w:rPr>
        <w:t>u njihovoj primjeni.</w:t>
      </w:r>
    </w:p>
    <w:p w:rsidR="00483017" w:rsidRPr="00FC2CBD" w:rsidRDefault="00483017" w:rsidP="00483017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Proces rasterećenja privrede započet je projektom pojednostavljenja plaćanja javnih prihoda u Federaciji BIH </w:t>
      </w:r>
      <w:r w:rsidRPr="003F454D">
        <w:rPr>
          <w:rFonts w:ascii="Arial" w:hAnsi="Arial" w:cs="Arial"/>
          <w:i/>
          <w:sz w:val="24"/>
          <w:szCs w:val="24"/>
        </w:rPr>
        <w:t xml:space="preserve">(USAID Projekat reforme fiskalnog sektora – FAR, </w:t>
      </w:r>
      <w:r w:rsidR="003F454D" w:rsidRPr="003F454D">
        <w:rPr>
          <w:rFonts w:ascii="Arial" w:hAnsi="Arial" w:cs="Arial"/>
          <w:i/>
          <w:sz w:val="24"/>
          <w:szCs w:val="24"/>
        </w:rPr>
        <w:t xml:space="preserve">                  </w:t>
      </w:r>
      <w:r w:rsidRPr="003F454D">
        <w:rPr>
          <w:rFonts w:ascii="Arial" w:hAnsi="Arial" w:cs="Arial"/>
          <w:i/>
          <w:sz w:val="24"/>
          <w:szCs w:val="24"/>
        </w:rPr>
        <w:t xml:space="preserve">2014-2019), </w:t>
      </w:r>
      <w:r w:rsidRPr="009762A7">
        <w:rPr>
          <w:rFonts w:ascii="Arial" w:hAnsi="Arial" w:cs="Arial"/>
          <w:sz w:val="24"/>
          <w:szCs w:val="24"/>
        </w:rPr>
        <w:t>čija provedba bi imala višestruke koristi i za obveznike i za Poreznu upravu F</w:t>
      </w:r>
      <w:r w:rsidR="003F454D">
        <w:rPr>
          <w:rFonts w:ascii="Arial" w:hAnsi="Arial" w:cs="Arial"/>
          <w:sz w:val="24"/>
          <w:szCs w:val="24"/>
        </w:rPr>
        <w:t xml:space="preserve">ederacije </w:t>
      </w:r>
      <w:r w:rsidRPr="009762A7">
        <w:rPr>
          <w:rFonts w:ascii="Arial" w:hAnsi="Arial" w:cs="Arial"/>
          <w:sz w:val="24"/>
          <w:szCs w:val="24"/>
        </w:rPr>
        <w:t>BiH, kao što su uštede u vremenu i troškovima u odnosu na sadašnje stanje, smanjenje prosječnih troškova prikupljanja prihoda, kao i povećanje stepena dobrovoljnog izmirenja obaveza, olakšavajući privrednim subjektima da redovno izmiruju obaveze</w:t>
      </w:r>
      <w:r>
        <w:rPr>
          <w:rFonts w:ascii="Arial" w:hAnsi="Arial" w:cs="Arial"/>
          <w:sz w:val="24"/>
          <w:szCs w:val="24"/>
        </w:rPr>
        <w:t>. U narednom periodu očekuje se nastav</w:t>
      </w:r>
      <w:r w:rsidR="003F454D">
        <w:rPr>
          <w:rFonts w:ascii="Arial" w:hAnsi="Arial" w:cs="Arial"/>
          <w:sz w:val="24"/>
          <w:szCs w:val="24"/>
        </w:rPr>
        <w:t>ak</w:t>
      </w:r>
      <w:r>
        <w:rPr>
          <w:rFonts w:ascii="Arial" w:hAnsi="Arial" w:cs="Arial"/>
          <w:sz w:val="24"/>
          <w:szCs w:val="24"/>
        </w:rPr>
        <w:t xml:space="preserve"> aktivnosti p</w:t>
      </w:r>
      <w:r w:rsidR="003F454D">
        <w:rPr>
          <w:rFonts w:ascii="Arial" w:hAnsi="Arial" w:cs="Arial"/>
          <w:sz w:val="24"/>
          <w:szCs w:val="24"/>
        </w:rPr>
        <w:t>rocjene</w:t>
      </w:r>
      <w:r>
        <w:rPr>
          <w:rFonts w:ascii="Arial" w:hAnsi="Arial" w:cs="Arial"/>
          <w:sz w:val="24"/>
          <w:szCs w:val="24"/>
        </w:rPr>
        <w:t xml:space="preserve"> modela koji se mogu primjeniti.</w:t>
      </w:r>
    </w:p>
    <w:p w:rsidR="00B055D4" w:rsidRDefault="00611771" w:rsidP="006117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FC2CBD">
        <w:rPr>
          <w:rFonts w:ascii="Arial" w:hAnsi="Arial" w:cs="Arial"/>
          <w:sz w:val="24"/>
          <w:szCs w:val="24"/>
        </w:rPr>
        <w:t xml:space="preserve">z tehničku pomoć </w:t>
      </w:r>
      <w:r>
        <w:rPr>
          <w:rFonts w:ascii="Arial" w:hAnsi="Arial" w:cs="Arial"/>
          <w:sz w:val="24"/>
          <w:szCs w:val="24"/>
        </w:rPr>
        <w:t xml:space="preserve">FAR projekta kreirana je </w:t>
      </w:r>
      <w:r w:rsidR="00B055D4">
        <w:rPr>
          <w:rFonts w:ascii="Arial" w:hAnsi="Arial" w:cs="Arial"/>
          <w:sz w:val="24"/>
          <w:szCs w:val="24"/>
        </w:rPr>
        <w:t xml:space="preserve">i javnosti publikovana </w:t>
      </w:r>
      <w:r>
        <w:rPr>
          <w:rFonts w:ascii="Arial" w:hAnsi="Arial" w:cs="Arial"/>
          <w:sz w:val="24"/>
          <w:szCs w:val="24"/>
        </w:rPr>
        <w:t xml:space="preserve">preliminarna verzija </w:t>
      </w:r>
      <w:r w:rsidRPr="00FC2CBD">
        <w:rPr>
          <w:rFonts w:ascii="Arial" w:hAnsi="Arial" w:cs="Arial"/>
          <w:sz w:val="24"/>
          <w:szCs w:val="24"/>
        </w:rPr>
        <w:t>sveobuhvatn</w:t>
      </w:r>
      <w:r>
        <w:rPr>
          <w:rFonts w:ascii="Arial" w:hAnsi="Arial" w:cs="Arial"/>
          <w:sz w:val="24"/>
          <w:szCs w:val="24"/>
        </w:rPr>
        <w:t>og</w:t>
      </w:r>
      <w:r w:rsidRPr="00FC2CBD">
        <w:rPr>
          <w:rFonts w:ascii="Arial" w:hAnsi="Arial" w:cs="Arial"/>
          <w:sz w:val="24"/>
          <w:szCs w:val="24"/>
        </w:rPr>
        <w:t xml:space="preserve"> interaktivn</w:t>
      </w:r>
      <w:r>
        <w:rPr>
          <w:rFonts w:ascii="Arial" w:hAnsi="Arial" w:cs="Arial"/>
          <w:sz w:val="24"/>
          <w:szCs w:val="24"/>
        </w:rPr>
        <w:t>og</w:t>
      </w:r>
      <w:r w:rsidRPr="00FC2CBD">
        <w:rPr>
          <w:rFonts w:ascii="Arial" w:hAnsi="Arial" w:cs="Arial"/>
          <w:sz w:val="24"/>
          <w:szCs w:val="24"/>
        </w:rPr>
        <w:t xml:space="preserve"> Regist</w:t>
      </w:r>
      <w:r>
        <w:rPr>
          <w:rFonts w:ascii="Arial" w:hAnsi="Arial" w:cs="Arial"/>
          <w:sz w:val="24"/>
          <w:szCs w:val="24"/>
        </w:rPr>
        <w:t>ra</w:t>
      </w:r>
      <w:r w:rsidRPr="00FC2CBD">
        <w:rPr>
          <w:rFonts w:ascii="Arial" w:hAnsi="Arial" w:cs="Arial"/>
          <w:sz w:val="24"/>
          <w:szCs w:val="24"/>
        </w:rPr>
        <w:t xml:space="preserve"> neporeznih prihoda</w:t>
      </w:r>
      <w:r>
        <w:rPr>
          <w:rFonts w:ascii="Arial" w:hAnsi="Arial" w:cs="Arial"/>
          <w:sz w:val="24"/>
          <w:szCs w:val="24"/>
        </w:rPr>
        <w:t xml:space="preserve"> u Federaciji BiH, struktuiranog prema </w:t>
      </w:r>
      <w:r w:rsidR="00BF2B4A">
        <w:rPr>
          <w:rFonts w:ascii="Arial" w:hAnsi="Arial" w:cs="Arial"/>
          <w:sz w:val="24"/>
          <w:szCs w:val="24"/>
        </w:rPr>
        <w:t xml:space="preserve">vrsti naknada i taksi koje se naplaćuju, </w:t>
      </w:r>
      <w:r>
        <w:rPr>
          <w:rFonts w:ascii="Arial" w:hAnsi="Arial" w:cs="Arial"/>
          <w:sz w:val="24"/>
          <w:szCs w:val="24"/>
        </w:rPr>
        <w:t>zakonodavnom okviru, obveznicima plaćanja, načinu uplate i pripadnosti.</w:t>
      </w:r>
      <w:r w:rsidR="00BF2B4A">
        <w:rPr>
          <w:rFonts w:ascii="Arial" w:hAnsi="Arial" w:cs="Arial"/>
          <w:sz w:val="24"/>
          <w:szCs w:val="24"/>
        </w:rPr>
        <w:t xml:space="preserve"> </w:t>
      </w:r>
      <w:r w:rsidR="001D1426">
        <w:rPr>
          <w:rFonts w:ascii="Arial" w:hAnsi="Arial" w:cs="Arial"/>
          <w:sz w:val="24"/>
          <w:szCs w:val="24"/>
        </w:rPr>
        <w:t>Potpunom implementacijom Registra uspostaviti će se kontrola i nadzor nad uvođenjem novih neporeznih prihoda, od strane svih nivoa vlasti, te će se na osnovu istog izvršiti analiza neporeznih prihoda u Federaciji BiH</w:t>
      </w:r>
      <w:r w:rsidR="003F7E5C">
        <w:rPr>
          <w:rFonts w:ascii="Arial" w:hAnsi="Arial" w:cs="Arial"/>
          <w:sz w:val="24"/>
          <w:szCs w:val="24"/>
        </w:rPr>
        <w:t>. Analiza bi trebal</w:t>
      </w:r>
      <w:r w:rsidR="003C7C86">
        <w:rPr>
          <w:rFonts w:ascii="Arial" w:hAnsi="Arial" w:cs="Arial"/>
          <w:sz w:val="24"/>
          <w:szCs w:val="24"/>
        </w:rPr>
        <w:t xml:space="preserve">a poslužiti kao osnov za davanje prijedloga smanjenja </w:t>
      </w:r>
      <w:r w:rsidR="00DE51AD">
        <w:rPr>
          <w:rFonts w:ascii="Arial" w:hAnsi="Arial" w:cs="Arial"/>
          <w:sz w:val="24"/>
          <w:szCs w:val="24"/>
        </w:rPr>
        <w:t>postojećih opterećenja za porezne obveznike, čime bi se stimulisalo povećanje stope zaposlenosti i</w:t>
      </w:r>
      <w:r w:rsidR="001F7F19">
        <w:rPr>
          <w:rFonts w:ascii="Arial" w:hAnsi="Arial" w:cs="Arial"/>
          <w:sz w:val="24"/>
          <w:szCs w:val="24"/>
        </w:rPr>
        <w:t xml:space="preserve"> rast</w:t>
      </w:r>
      <w:r w:rsidR="00DE51AD">
        <w:rPr>
          <w:rFonts w:ascii="Arial" w:hAnsi="Arial" w:cs="Arial"/>
          <w:sz w:val="24"/>
          <w:szCs w:val="24"/>
        </w:rPr>
        <w:t xml:space="preserve"> novih privrednih ulaganja.</w:t>
      </w:r>
    </w:p>
    <w:p w:rsidR="001B7FA6" w:rsidRDefault="001B7FA6" w:rsidP="001B7F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Projekat „one-stop-shop“ registracije privrednih društava, koji je započet u 2016. godini od strane Vlade Federacije BIH, a čija se potpuna realizacija očekuje u narednom periodu, obuhvatio je i dio koji se odnosi na poreznu registraciju odnosno dodjeljivanje identifikacionih brojeva. Izmjene i dopune podzakonskih akata iz ove oblasti predstavljaju kontinuitet, koji bi bio praćen izmjena i dopunama drugi propisa koji imaju direkt</w:t>
      </w:r>
      <w:r w:rsidR="0065205F">
        <w:rPr>
          <w:rFonts w:ascii="Arial" w:hAnsi="Arial" w:cs="Arial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 xml:space="preserve"> uticaj na porezne propise. Cilj ovog projekta je rasterećenje privred</w:t>
      </w:r>
      <w:r w:rsidR="0065205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i olakšan</w:t>
      </w:r>
      <w:r w:rsidR="0065205F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vršenja djelatnosti.</w:t>
      </w:r>
    </w:p>
    <w:p w:rsidR="0065205F" w:rsidRDefault="0065205F" w:rsidP="006520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okviru djelatnosti igara na sreću u narednom periodu se očekuju izmjene propisa</w:t>
      </w:r>
      <w:r w:rsidR="000C161B">
        <w:rPr>
          <w:rFonts w:ascii="Arial" w:hAnsi="Arial" w:cs="Arial"/>
          <w:sz w:val="24"/>
          <w:szCs w:val="24"/>
        </w:rPr>
        <w:t xml:space="preserve">, koje bi utjecale na </w:t>
      </w:r>
      <w:r>
        <w:rPr>
          <w:rFonts w:ascii="Arial" w:hAnsi="Arial" w:cs="Arial"/>
          <w:sz w:val="24"/>
          <w:szCs w:val="24"/>
        </w:rPr>
        <w:t>poreznu politiku ove djelatnosti, uzimajući u obzir da je u postupku proces izmjene i dopune Zakona o igrama na sreću kojim se iz Zakona o porezu na dohodak preuzima oporezivanje dobitaka od igara na sreću. U narednom periodu planiran je proces izmjene i dopune podzakonskih akata iz ove oblasti, kao i nastavak praćenja ove djelatnosti kroz izvještavanja</w:t>
      </w:r>
      <w:r w:rsidR="000C161B">
        <w:rPr>
          <w:rFonts w:ascii="Arial" w:hAnsi="Arial" w:cs="Arial"/>
          <w:sz w:val="24"/>
          <w:szCs w:val="24"/>
        </w:rPr>
        <w:t xml:space="preserve"> od strane Porezne uprave FBIH.</w:t>
      </w:r>
    </w:p>
    <w:p w:rsidR="00007299" w:rsidRPr="00007299" w:rsidRDefault="00007299" w:rsidP="00007299">
      <w:pPr>
        <w:jc w:val="both"/>
        <w:rPr>
          <w:rFonts w:ascii="Arial" w:hAnsi="Arial" w:cs="Arial"/>
          <w:sz w:val="24"/>
          <w:szCs w:val="24"/>
        </w:rPr>
      </w:pPr>
      <w:r w:rsidRPr="00007299">
        <w:rPr>
          <w:rFonts w:ascii="Arial" w:hAnsi="Arial" w:cs="Arial"/>
          <w:sz w:val="24"/>
          <w:szCs w:val="24"/>
        </w:rPr>
        <w:t xml:space="preserve">U cilju stvaranja boljih historijskih podataka za </w:t>
      </w:r>
      <w:r w:rsidR="007F7287">
        <w:rPr>
          <w:rFonts w:ascii="Arial" w:hAnsi="Arial" w:cs="Arial"/>
          <w:sz w:val="24"/>
          <w:szCs w:val="24"/>
        </w:rPr>
        <w:t>planiranje javnih</w:t>
      </w:r>
      <w:r w:rsidRPr="00007299">
        <w:rPr>
          <w:rFonts w:ascii="Arial" w:hAnsi="Arial" w:cs="Arial"/>
          <w:sz w:val="24"/>
          <w:szCs w:val="24"/>
        </w:rPr>
        <w:t xml:space="preserve"> prihoda, </w:t>
      </w:r>
      <w:r w:rsidR="007F7287">
        <w:rPr>
          <w:rFonts w:ascii="Arial" w:hAnsi="Arial" w:cs="Arial"/>
          <w:sz w:val="24"/>
          <w:szCs w:val="24"/>
        </w:rPr>
        <w:t>te poboljšanja procesa izvještavanja između Federacije BiH i nižih nivoa vlasti, te ostalih korisnika javnih prihoda, u ovom periodu nastavlja se na uvođenju novog</w:t>
      </w:r>
      <w:r w:rsidRPr="00007299">
        <w:rPr>
          <w:rFonts w:ascii="Arial" w:hAnsi="Arial" w:cs="Arial"/>
          <w:sz w:val="24"/>
          <w:szCs w:val="24"/>
        </w:rPr>
        <w:t xml:space="preserve"> sistem</w:t>
      </w:r>
      <w:r w:rsidR="007F7287">
        <w:rPr>
          <w:rFonts w:ascii="Arial" w:hAnsi="Arial" w:cs="Arial"/>
          <w:sz w:val="24"/>
          <w:szCs w:val="24"/>
        </w:rPr>
        <w:t>a</w:t>
      </w:r>
      <w:r w:rsidRPr="00007299">
        <w:rPr>
          <w:rFonts w:ascii="Arial" w:hAnsi="Arial" w:cs="Arial"/>
          <w:sz w:val="24"/>
          <w:szCs w:val="24"/>
        </w:rPr>
        <w:t xml:space="preserve"> izvještavanja o prikupljenim i raspoređenim jav</w:t>
      </w:r>
      <w:r w:rsidR="007F7287">
        <w:rPr>
          <w:rFonts w:ascii="Arial" w:hAnsi="Arial" w:cs="Arial"/>
          <w:sz w:val="24"/>
          <w:szCs w:val="24"/>
        </w:rPr>
        <w:t xml:space="preserve">nim prihodima u Federaciji BiH, </w:t>
      </w:r>
      <w:r w:rsidR="002764AC">
        <w:rPr>
          <w:rFonts w:ascii="Arial" w:hAnsi="Arial" w:cs="Arial"/>
          <w:sz w:val="24"/>
          <w:szCs w:val="24"/>
        </w:rPr>
        <w:t xml:space="preserve">baziranog na direktnom preuzimanju podataka od strane Porezne uprave Federacije BiH, </w:t>
      </w:r>
      <w:r w:rsidR="007F7287">
        <w:rPr>
          <w:rFonts w:ascii="Arial" w:hAnsi="Arial" w:cs="Arial"/>
          <w:sz w:val="24"/>
          <w:szCs w:val="24"/>
        </w:rPr>
        <w:t>te njegovoj punoj primjeni.</w:t>
      </w:r>
    </w:p>
    <w:p w:rsidR="00007299" w:rsidRDefault="00007299" w:rsidP="00007299">
      <w:pPr>
        <w:jc w:val="both"/>
        <w:rPr>
          <w:rFonts w:ascii="Arial" w:hAnsi="Arial" w:cs="Arial"/>
          <w:sz w:val="24"/>
          <w:szCs w:val="24"/>
        </w:rPr>
      </w:pPr>
      <w:r w:rsidRPr="00007299">
        <w:rPr>
          <w:rFonts w:ascii="Arial" w:hAnsi="Arial" w:cs="Arial"/>
          <w:sz w:val="24"/>
          <w:szCs w:val="24"/>
        </w:rPr>
        <w:t xml:space="preserve">Očekivanja od novog sistema za izvještavanje su višestruka, jer prije svega kvalitetni i pouzdani izvještaji o prikupljenim i raspoređenim javnim prihodima predstavljaju osnov za izradu </w:t>
      </w:r>
      <w:r w:rsidR="007F7287">
        <w:rPr>
          <w:rFonts w:ascii="Arial" w:hAnsi="Arial" w:cs="Arial"/>
          <w:sz w:val="24"/>
          <w:szCs w:val="24"/>
        </w:rPr>
        <w:t>plana</w:t>
      </w:r>
      <w:r w:rsidRPr="00007299">
        <w:rPr>
          <w:rFonts w:ascii="Arial" w:hAnsi="Arial" w:cs="Arial"/>
          <w:sz w:val="24"/>
          <w:szCs w:val="24"/>
        </w:rPr>
        <w:t xml:space="preserve"> prihoda u fazi budžetskog procesa, </w:t>
      </w:r>
      <w:r w:rsidR="007F7287">
        <w:rPr>
          <w:rFonts w:ascii="Arial" w:hAnsi="Arial" w:cs="Arial"/>
          <w:sz w:val="24"/>
          <w:szCs w:val="24"/>
        </w:rPr>
        <w:t>budući da isti</w:t>
      </w:r>
      <w:r w:rsidRPr="00007299">
        <w:rPr>
          <w:rFonts w:ascii="Arial" w:hAnsi="Arial" w:cs="Arial"/>
          <w:sz w:val="24"/>
          <w:szCs w:val="24"/>
        </w:rPr>
        <w:t xml:space="preserve"> predviđa</w:t>
      </w:r>
      <w:r w:rsidR="007F7287">
        <w:rPr>
          <w:rFonts w:ascii="Arial" w:hAnsi="Arial" w:cs="Arial"/>
          <w:sz w:val="24"/>
          <w:szCs w:val="24"/>
        </w:rPr>
        <w:t xml:space="preserve"> </w:t>
      </w:r>
      <w:r w:rsidRPr="00007299">
        <w:rPr>
          <w:rFonts w:ascii="Arial" w:hAnsi="Arial" w:cs="Arial"/>
          <w:sz w:val="24"/>
          <w:szCs w:val="24"/>
        </w:rPr>
        <w:t xml:space="preserve">okvir sredstava za finansiranje potrošnje i prioritetnih programa vlada svih nivoa vlasti u </w:t>
      </w:r>
      <w:r w:rsidR="007F7287">
        <w:rPr>
          <w:rFonts w:ascii="Arial" w:hAnsi="Arial" w:cs="Arial"/>
          <w:sz w:val="24"/>
          <w:szCs w:val="24"/>
        </w:rPr>
        <w:t>Federaciji Bosne i Hercegovine.</w:t>
      </w:r>
      <w:r w:rsidR="007F7287" w:rsidRPr="007F7287">
        <w:rPr>
          <w:rFonts w:ascii="Arial" w:hAnsi="Arial" w:cs="Arial"/>
          <w:sz w:val="24"/>
          <w:szCs w:val="24"/>
        </w:rPr>
        <w:t xml:space="preserve"> </w:t>
      </w:r>
      <w:r w:rsidR="007F7287" w:rsidRPr="00007299">
        <w:rPr>
          <w:rFonts w:ascii="Arial" w:hAnsi="Arial" w:cs="Arial"/>
          <w:sz w:val="24"/>
          <w:szCs w:val="24"/>
        </w:rPr>
        <w:t>Novi sistem izvještavanja ć</w:t>
      </w:r>
      <w:r w:rsidR="007F7287">
        <w:rPr>
          <w:rFonts w:ascii="Arial" w:hAnsi="Arial" w:cs="Arial"/>
          <w:sz w:val="24"/>
          <w:szCs w:val="24"/>
        </w:rPr>
        <w:t xml:space="preserve">e između ostalog </w:t>
      </w:r>
      <w:r w:rsidRPr="00007299">
        <w:rPr>
          <w:rFonts w:ascii="Arial" w:hAnsi="Arial" w:cs="Arial"/>
          <w:sz w:val="24"/>
          <w:szCs w:val="24"/>
        </w:rPr>
        <w:t>služiti kao dobra podloga za donošenje strateških odluka od značaja za Federaciju</w:t>
      </w:r>
      <w:r w:rsidR="007F7287">
        <w:rPr>
          <w:rFonts w:ascii="Arial" w:hAnsi="Arial" w:cs="Arial"/>
          <w:sz w:val="24"/>
          <w:szCs w:val="24"/>
        </w:rPr>
        <w:t xml:space="preserve"> BiH</w:t>
      </w:r>
      <w:r w:rsidRPr="00007299">
        <w:rPr>
          <w:rFonts w:ascii="Arial" w:hAnsi="Arial" w:cs="Arial"/>
          <w:sz w:val="24"/>
          <w:szCs w:val="24"/>
        </w:rPr>
        <w:t>.</w:t>
      </w:r>
    </w:p>
    <w:p w:rsidR="00245250" w:rsidRPr="001C5D58" w:rsidRDefault="00245250" w:rsidP="00007299">
      <w:pPr>
        <w:jc w:val="both"/>
        <w:rPr>
          <w:rFonts w:ascii="Arial" w:hAnsi="Arial" w:cs="Arial"/>
          <w:sz w:val="24"/>
          <w:szCs w:val="24"/>
        </w:rPr>
      </w:pPr>
      <w:r w:rsidRPr="001C5D58">
        <w:rPr>
          <w:rFonts w:ascii="Arial" w:hAnsi="Arial" w:cs="Arial"/>
          <w:sz w:val="24"/>
          <w:szCs w:val="24"/>
        </w:rPr>
        <w:t>U oblasti javnih prihoda kontinuirano se provode i aktivnosti na sagledavanju zakonskih rješenja u oblasti pripadnosti i raspodjele javnih prihoda u Federaciji, sa posebnim naglaskom na davanje prijedloga za poboljšanje postojećeg vertikalnog i horizontalnog sistema raspodjele prihoda od indirektnih poreza. Zbog kompleksnosti rješavanja pitanja raspodjele javnih prihoda uključen je i Međunarodni monetarni fond (MMF), koji je dao određene preporuke i sugestije za raspodjelu prihoda, kao i potrebu rješavanja pitanja otplate vanjskog duga, čime bi se osigurala odgovornost odgovarajućih nivoa vlasti i transparentno upravljanje otplatom duga.</w:t>
      </w:r>
    </w:p>
    <w:p w:rsidR="00245250" w:rsidRPr="001C5D58" w:rsidRDefault="00245250" w:rsidP="00007299">
      <w:pPr>
        <w:jc w:val="both"/>
        <w:rPr>
          <w:rFonts w:ascii="Arial" w:hAnsi="Arial" w:cs="Arial"/>
          <w:sz w:val="24"/>
          <w:szCs w:val="24"/>
        </w:rPr>
      </w:pPr>
      <w:r w:rsidRPr="001C5D58">
        <w:rPr>
          <w:rFonts w:ascii="Arial" w:hAnsi="Arial" w:cs="Arial"/>
          <w:sz w:val="24"/>
          <w:szCs w:val="24"/>
        </w:rPr>
        <w:t>Prateći preporuke MMF-a, kao i zahtjeve i inicijative korisnika, Vladi Federacije BIH će se u narednom periodui dostaviti nacrt novog Zakona o pripadnosti javnih prihoda u Federaciji Bosne i Hercegovine.</w:t>
      </w:r>
    </w:p>
    <w:p w:rsidR="000C58DD" w:rsidRDefault="000C58DD" w:rsidP="000C58DD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C5D58">
        <w:rPr>
          <w:rFonts w:ascii="Arial" w:hAnsi="Arial" w:cs="Arial"/>
          <w:sz w:val="24"/>
          <w:szCs w:val="24"/>
        </w:rPr>
        <w:t>Obzirom na stanje duga u Federaciji, u saradnji sa Svjetskom bankom, u narednom periodu će se raditi na pripremanju strategije upravljanja javnim dugom, koja bi prestavljaja početnu tačku u sagledavanju stanja javnog duga te koja bi bila početni korak ka usvajanja rješenja rješavanja  javnog duga u Federaciji.</w:t>
      </w:r>
    </w:p>
    <w:p w:rsidR="0048060B" w:rsidRDefault="0048060B" w:rsidP="0048060B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Uzimajući u obzir da je implem</w:t>
      </w:r>
      <w:r w:rsidR="006C1965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tiran projekat mehanizma</w:t>
      </w:r>
      <w:r w:rsidRPr="004D022E">
        <w:rPr>
          <w:rFonts w:ascii="Arial" w:hAnsi="Arial" w:cs="Arial"/>
          <w:sz w:val="24"/>
          <w:szCs w:val="24"/>
        </w:rPr>
        <w:t xml:space="preserve"> razmjene podataka o poreznim obveznicim</w:t>
      </w:r>
      <w:r w:rsidR="006C1965">
        <w:rPr>
          <w:rFonts w:ascii="Arial" w:hAnsi="Arial" w:cs="Arial"/>
          <w:sz w:val="24"/>
          <w:szCs w:val="24"/>
        </w:rPr>
        <w:t xml:space="preserve">a između četiri porezne uprave </w:t>
      </w:r>
      <w:r w:rsidRPr="004D022E">
        <w:rPr>
          <w:rFonts w:ascii="Arial" w:hAnsi="Arial" w:cs="Arial"/>
          <w:sz w:val="24"/>
          <w:szCs w:val="24"/>
        </w:rPr>
        <w:t xml:space="preserve">(UINO, PUFBiH, PURS i PUBD) </w:t>
      </w:r>
      <w:r>
        <w:rPr>
          <w:rFonts w:ascii="Arial" w:hAnsi="Arial" w:cs="Arial"/>
          <w:sz w:val="24"/>
          <w:szCs w:val="24"/>
        </w:rPr>
        <w:t xml:space="preserve">koji je </w:t>
      </w:r>
      <w:r w:rsidRPr="004D022E">
        <w:rPr>
          <w:rFonts w:ascii="Arial" w:hAnsi="Arial" w:cs="Arial"/>
          <w:sz w:val="24"/>
          <w:szCs w:val="24"/>
        </w:rPr>
        <w:t>uspostavljen</w:t>
      </w:r>
      <w:r>
        <w:rPr>
          <w:rFonts w:ascii="Arial" w:hAnsi="Arial" w:cs="Arial"/>
          <w:sz w:val="24"/>
          <w:szCs w:val="24"/>
        </w:rPr>
        <w:t xml:space="preserve"> uz pomoć MMF-a, </w:t>
      </w:r>
      <w:r w:rsidRPr="004D022E">
        <w:rPr>
          <w:rFonts w:ascii="Arial" w:hAnsi="Arial" w:cs="Arial"/>
          <w:sz w:val="24"/>
          <w:szCs w:val="24"/>
        </w:rPr>
        <w:t xml:space="preserve">odnosno </w:t>
      </w:r>
      <w:r>
        <w:rPr>
          <w:rFonts w:ascii="Arial" w:hAnsi="Arial" w:cs="Arial"/>
          <w:sz w:val="24"/>
          <w:szCs w:val="24"/>
        </w:rPr>
        <w:t xml:space="preserve">potpuna </w:t>
      </w:r>
      <w:r w:rsidRPr="004D022E">
        <w:rPr>
          <w:rFonts w:ascii="Arial" w:hAnsi="Arial" w:cs="Arial"/>
          <w:sz w:val="24"/>
          <w:szCs w:val="24"/>
        </w:rPr>
        <w:t>uspostav</w:t>
      </w:r>
      <w:r>
        <w:rPr>
          <w:rFonts w:ascii="Arial" w:hAnsi="Arial" w:cs="Arial"/>
          <w:sz w:val="24"/>
          <w:szCs w:val="24"/>
        </w:rPr>
        <w:t>a</w:t>
      </w:r>
      <w:r w:rsidRPr="004D022E">
        <w:rPr>
          <w:rFonts w:ascii="Arial" w:hAnsi="Arial" w:cs="Arial"/>
          <w:sz w:val="24"/>
          <w:szCs w:val="24"/>
        </w:rPr>
        <w:t xml:space="preserve"> informacionog sistema na način da svaka porezna uprava ima elektronski pristup informacijama koje se odnose konkretno na porezne obveznike, a koji se nalaze u drugim upravama</w:t>
      </w:r>
      <w:r>
        <w:rPr>
          <w:rFonts w:ascii="Arial" w:hAnsi="Arial" w:cs="Arial"/>
          <w:sz w:val="24"/>
          <w:szCs w:val="24"/>
        </w:rPr>
        <w:t>, u narednom periodu očekuju se rezultati tih aktivnosti koji će se u kontinuitetu pratiti i analizirati.</w:t>
      </w:r>
      <w:r w:rsidR="006C1965">
        <w:rPr>
          <w:rFonts w:ascii="Arial" w:hAnsi="Arial" w:cs="Arial"/>
          <w:sz w:val="24"/>
          <w:szCs w:val="24"/>
        </w:rPr>
        <w:t xml:space="preserve"> Cilj ovog projekt</w:t>
      </w:r>
      <w:r>
        <w:rPr>
          <w:rFonts w:ascii="Arial" w:hAnsi="Arial" w:cs="Arial"/>
          <w:sz w:val="24"/>
          <w:szCs w:val="24"/>
        </w:rPr>
        <w:t>a je suzbijanje sive ekon</w:t>
      </w:r>
      <w:r w:rsidR="006C1965">
        <w:rPr>
          <w:rFonts w:ascii="Arial" w:hAnsi="Arial" w:cs="Arial"/>
          <w:sz w:val="24"/>
          <w:szCs w:val="24"/>
        </w:rPr>
        <w:t>omije i porezne evazije, koje dovode do smanjenja javnih prihoda.</w:t>
      </w:r>
    </w:p>
    <w:p w:rsidR="0048060B" w:rsidRDefault="0048060B" w:rsidP="0048060B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8B5063">
        <w:rPr>
          <w:rFonts w:ascii="Arial" w:hAnsi="Arial" w:cs="Arial"/>
          <w:sz w:val="24"/>
          <w:szCs w:val="24"/>
        </w:rPr>
        <w:t>Također, u cilju izvršavanja efikasnije</w:t>
      </w:r>
      <w:r w:rsidR="00E02E60">
        <w:rPr>
          <w:rFonts w:ascii="Arial" w:hAnsi="Arial" w:cs="Arial"/>
          <w:sz w:val="24"/>
          <w:szCs w:val="24"/>
        </w:rPr>
        <w:t xml:space="preserve">g prikupljanja javnih prihoda, </w:t>
      </w:r>
      <w:r w:rsidRPr="008B5063">
        <w:rPr>
          <w:rFonts w:ascii="Arial" w:hAnsi="Arial" w:cs="Arial"/>
          <w:sz w:val="24"/>
          <w:szCs w:val="24"/>
        </w:rPr>
        <w:t>prateći izmjene Zakona</w:t>
      </w:r>
      <w:r w:rsidRPr="001A63CF">
        <w:rPr>
          <w:rFonts w:ascii="Arial" w:hAnsi="Arial" w:cs="Arial"/>
          <w:sz w:val="24"/>
          <w:szCs w:val="24"/>
        </w:rPr>
        <w:t xml:space="preserve"> koji reguliš</w:t>
      </w:r>
      <w:r>
        <w:rPr>
          <w:rFonts w:ascii="Arial" w:hAnsi="Arial" w:cs="Arial"/>
          <w:sz w:val="24"/>
          <w:szCs w:val="24"/>
        </w:rPr>
        <w:t>u</w:t>
      </w:r>
      <w:r w:rsidRPr="001A63CF">
        <w:rPr>
          <w:rFonts w:ascii="Arial" w:hAnsi="Arial" w:cs="Arial"/>
          <w:sz w:val="24"/>
          <w:szCs w:val="24"/>
        </w:rPr>
        <w:t xml:space="preserve"> direktne poreze, administrativne takse i ostale javne prihode, a u cilju smanjenja sive ekonomije i rada na crno </w:t>
      </w:r>
      <w:r>
        <w:rPr>
          <w:rFonts w:ascii="Arial" w:hAnsi="Arial" w:cs="Arial"/>
          <w:sz w:val="24"/>
          <w:szCs w:val="24"/>
        </w:rPr>
        <w:t xml:space="preserve">planirano je usvajanja </w:t>
      </w:r>
      <w:r w:rsidR="00E02E60">
        <w:rPr>
          <w:rFonts w:ascii="Arial" w:hAnsi="Arial" w:cs="Arial"/>
          <w:sz w:val="24"/>
          <w:szCs w:val="24"/>
        </w:rPr>
        <w:t>seta</w:t>
      </w:r>
      <w:r>
        <w:rPr>
          <w:rFonts w:ascii="Arial" w:hAnsi="Arial" w:cs="Arial"/>
          <w:sz w:val="24"/>
          <w:szCs w:val="24"/>
        </w:rPr>
        <w:t xml:space="preserve"> zakona kojim bi se uredili porezni postupci i proezne procedure,  koji su u fazi pripreme, a  sa sličnim rješenjima koji su u primjeni u Republici Srpskoj.</w:t>
      </w:r>
    </w:p>
    <w:p w:rsidR="0048060B" w:rsidRDefault="0048060B" w:rsidP="0048060B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2017.godini očekuje se početak projekta u saradnji sa Svjetskom bankom. </w:t>
      </w:r>
      <w:r w:rsidRPr="00C93893">
        <w:rPr>
          <w:rFonts w:ascii="Arial" w:hAnsi="Arial" w:cs="Arial"/>
          <w:sz w:val="24"/>
          <w:szCs w:val="24"/>
        </w:rPr>
        <w:t>Svrha ovog projekta jeste pružanje podrške organima vlasti u daljem razvoju kapaciteta njihovih po</w:t>
      </w:r>
      <w:r w:rsidR="00FF7134">
        <w:rPr>
          <w:rFonts w:ascii="Arial" w:hAnsi="Arial" w:cs="Arial"/>
          <w:sz w:val="24"/>
          <w:szCs w:val="24"/>
        </w:rPr>
        <w:t xml:space="preserve">reskih uprava. Projekat će: </w:t>
      </w:r>
      <w:r w:rsidRPr="00C93893">
        <w:rPr>
          <w:rFonts w:ascii="Arial" w:hAnsi="Arial" w:cs="Arial"/>
          <w:sz w:val="24"/>
          <w:szCs w:val="24"/>
        </w:rPr>
        <w:t>poboljšati zakonski okvir u cilju pružanja podrške u upravljanju porezima i provođenju kontrola i istraga, kako direktnih, tako i indirekt</w:t>
      </w:r>
      <w:r w:rsidR="00FF7134">
        <w:rPr>
          <w:rFonts w:ascii="Arial" w:hAnsi="Arial" w:cs="Arial"/>
          <w:sz w:val="24"/>
          <w:szCs w:val="24"/>
        </w:rPr>
        <w:t xml:space="preserve">nih poreza, </w:t>
      </w:r>
      <w:r w:rsidRPr="00C93893">
        <w:rPr>
          <w:rFonts w:ascii="Arial" w:hAnsi="Arial" w:cs="Arial"/>
          <w:sz w:val="24"/>
          <w:szCs w:val="24"/>
        </w:rPr>
        <w:t>jačati kapacitete za postepeno usvajanje savremenog pristupa</w:t>
      </w:r>
      <w:r w:rsidR="00FF7134">
        <w:rPr>
          <w:rFonts w:ascii="Arial" w:hAnsi="Arial" w:cs="Arial"/>
          <w:sz w:val="24"/>
          <w:szCs w:val="24"/>
        </w:rPr>
        <w:t xml:space="preserve"> upravljanju rizicima, te </w:t>
      </w:r>
      <w:r w:rsidRPr="00C93893">
        <w:rPr>
          <w:rFonts w:ascii="Arial" w:hAnsi="Arial" w:cs="Arial"/>
          <w:sz w:val="24"/>
          <w:szCs w:val="24"/>
        </w:rPr>
        <w:t xml:space="preserve">unaprijediti efikasnost u izabranim glavnim poslovnim procesima. </w:t>
      </w:r>
    </w:p>
    <w:p w:rsidR="0048060B" w:rsidRPr="00E55BAE" w:rsidRDefault="000F48E8" w:rsidP="0048060B">
      <w:pPr>
        <w:spacing w:before="120" w:after="12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 u periodu 2018-2020. godina nastavljaju se aktivnosti provođenja reforme</w:t>
      </w:r>
      <w:r w:rsidR="0048060B" w:rsidRPr="00E55BAE">
        <w:rPr>
          <w:rFonts w:ascii="Arial" w:hAnsi="Arial" w:cs="Arial"/>
          <w:sz w:val="24"/>
          <w:szCs w:val="24"/>
          <w:lang w:val="hr-HR"/>
        </w:rPr>
        <w:t xml:space="preserve"> Porezne uprave Federacije kroz izmjene pravnih pretpostavki koje će omogućiti racionalnije i efikasnije djelovanje Porezne uprave kroz: </w:t>
      </w:r>
    </w:p>
    <w:p w:rsidR="0048060B" w:rsidRPr="00E55BAE" w:rsidRDefault="0048060B" w:rsidP="0048060B">
      <w:pPr>
        <w:pStyle w:val="ListParagraph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  <w:lang w:val="hr-HR"/>
        </w:rPr>
      </w:pPr>
      <w:r w:rsidRPr="00E55BAE">
        <w:rPr>
          <w:rFonts w:ascii="Arial" w:hAnsi="Arial" w:cs="Arial"/>
          <w:sz w:val="24"/>
          <w:szCs w:val="24"/>
          <w:lang w:val="hr-HR"/>
        </w:rPr>
        <w:t>izmjene organizacione struktrure i radnih procesa koji će promicati efikasnost, racionalnost i odgovornost;</w:t>
      </w:r>
    </w:p>
    <w:p w:rsidR="0048060B" w:rsidRPr="00E55BAE" w:rsidRDefault="0048060B" w:rsidP="0048060B">
      <w:pPr>
        <w:pStyle w:val="ListParagraph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  <w:lang w:val="hr-HR"/>
        </w:rPr>
      </w:pPr>
      <w:r w:rsidRPr="00E55BAE">
        <w:rPr>
          <w:rFonts w:ascii="Arial" w:hAnsi="Arial" w:cs="Arial"/>
          <w:sz w:val="24"/>
          <w:szCs w:val="24"/>
          <w:lang w:val="hr-HR"/>
        </w:rPr>
        <w:t xml:space="preserve">poticanje unaprijeđenja informacionih tehnologija i obnavljanje ljudskih resursa s ciljem bolje komunikacije sa poreznim obveznicima te brže i kvalitetnije pružanje usluga; </w:t>
      </w:r>
    </w:p>
    <w:p w:rsidR="00007299" w:rsidRPr="00F4633A" w:rsidRDefault="0048060B" w:rsidP="00F4633A">
      <w:pPr>
        <w:pStyle w:val="ListParagraph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4"/>
          <w:szCs w:val="24"/>
          <w:lang w:val="hr-HR"/>
        </w:rPr>
      </w:pPr>
      <w:r w:rsidRPr="00E55BAE">
        <w:rPr>
          <w:rFonts w:ascii="Arial" w:hAnsi="Arial" w:cs="Arial"/>
          <w:sz w:val="24"/>
          <w:szCs w:val="24"/>
          <w:lang w:val="hr-HR"/>
        </w:rPr>
        <w:t>unaprijeđenja dobrovoljnog poštivanja poreznih propisa kroz poreznu edukaciju, obavješavanje i komunikaciju sa poreznim obveznicima.</w:t>
      </w:r>
    </w:p>
    <w:p w:rsidR="00360DF9" w:rsidRPr="00D36624" w:rsidRDefault="00F4633A" w:rsidP="00F803F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Također, </w:t>
      </w:r>
      <w:r w:rsidR="00D61DDB">
        <w:rPr>
          <w:rFonts w:ascii="Arial" w:hAnsi="Arial" w:cs="Arial"/>
          <w:sz w:val="24"/>
          <w:szCs w:val="24"/>
        </w:rPr>
        <w:t xml:space="preserve">kao i u proteklom periodu, </w:t>
      </w:r>
      <w:r>
        <w:rPr>
          <w:rFonts w:ascii="Arial" w:hAnsi="Arial" w:cs="Arial"/>
          <w:sz w:val="24"/>
          <w:szCs w:val="24"/>
        </w:rPr>
        <w:t>nastavlja se kontinuirano</w:t>
      </w:r>
      <w:r w:rsidRPr="00F4633A">
        <w:rPr>
          <w:rFonts w:ascii="Arial" w:hAnsi="Arial" w:cs="Arial"/>
          <w:sz w:val="24"/>
          <w:szCs w:val="24"/>
        </w:rPr>
        <w:t xml:space="preserve"> </w:t>
      </w:r>
      <w:r w:rsidRPr="004D022E">
        <w:rPr>
          <w:rFonts w:ascii="Arial" w:hAnsi="Arial" w:cs="Arial"/>
          <w:sz w:val="24"/>
          <w:szCs w:val="24"/>
        </w:rPr>
        <w:t xml:space="preserve">provođenje aktivnosti na jačanju inspekcijskih </w:t>
      </w:r>
      <w:r w:rsidR="00D61DDB">
        <w:rPr>
          <w:rFonts w:ascii="Arial" w:hAnsi="Arial" w:cs="Arial"/>
          <w:sz w:val="24"/>
          <w:szCs w:val="24"/>
        </w:rPr>
        <w:t xml:space="preserve">organa u BiH, uvođenju preventivnih mjera za poticanje poštivanja propisa, kao i pooštravanje sankcija za nepoštivanje istih, uvođenju mehanizma kontrole za otkrivanje prevara, unapređenju sistema fiskalizacije u Federaciji BiH, kojim bi se minimiziralo prikrivanje ostvarenog prometa, </w:t>
      </w:r>
      <w:r>
        <w:rPr>
          <w:rFonts w:ascii="Arial" w:hAnsi="Arial" w:cs="Arial"/>
          <w:sz w:val="24"/>
          <w:szCs w:val="24"/>
        </w:rPr>
        <w:t xml:space="preserve">a u cilju </w:t>
      </w:r>
      <w:r w:rsidR="00D61DDB">
        <w:rPr>
          <w:rFonts w:ascii="Arial" w:hAnsi="Arial" w:cs="Arial"/>
          <w:sz w:val="24"/>
          <w:szCs w:val="24"/>
        </w:rPr>
        <w:t xml:space="preserve">poboljšanja porezne disciplne, </w:t>
      </w:r>
      <w:r w:rsidR="00DC72FA">
        <w:rPr>
          <w:rFonts w:ascii="Arial" w:hAnsi="Arial" w:cs="Arial"/>
          <w:sz w:val="24"/>
          <w:szCs w:val="24"/>
        </w:rPr>
        <w:t>suzbijanja sive ekonomije, te postizanja efikasnije naplate javnih prihoda.</w:t>
      </w:r>
    </w:p>
    <w:p w:rsidR="005760FE" w:rsidRPr="00D36624" w:rsidRDefault="005760FE" w:rsidP="00F803F6">
      <w:pPr>
        <w:spacing w:after="0"/>
        <w:jc w:val="both"/>
        <w:rPr>
          <w:rFonts w:ascii="Arial" w:hAnsi="Arial" w:cs="Arial"/>
          <w:sz w:val="24"/>
          <w:szCs w:val="24"/>
        </w:rPr>
      </w:pPr>
      <w:r w:rsidRPr="00D36624">
        <w:rPr>
          <w:rFonts w:ascii="Arial" w:hAnsi="Arial" w:cs="Arial"/>
          <w:sz w:val="24"/>
          <w:szCs w:val="24"/>
        </w:rPr>
        <w:t xml:space="preserve">Realizacija </w:t>
      </w:r>
      <w:r w:rsidR="00F803F6">
        <w:rPr>
          <w:rFonts w:ascii="Arial" w:hAnsi="Arial" w:cs="Arial"/>
          <w:sz w:val="24"/>
          <w:szCs w:val="24"/>
        </w:rPr>
        <w:t>prezentiranog plana</w:t>
      </w:r>
      <w:r w:rsidRPr="00D36624">
        <w:rPr>
          <w:rFonts w:ascii="Arial" w:hAnsi="Arial" w:cs="Arial"/>
          <w:sz w:val="24"/>
          <w:szCs w:val="24"/>
        </w:rPr>
        <w:t xml:space="preserve"> aktivnosti zavisit će prije svega od političke stabilnosti i institucionalne spremnosti nosioca aktivnosti, kao i drugih nepredviđenih događaja koji bi</w:t>
      </w:r>
      <w:r w:rsidR="00F803F6">
        <w:rPr>
          <w:rFonts w:ascii="Arial" w:hAnsi="Arial" w:cs="Arial"/>
          <w:sz w:val="24"/>
          <w:szCs w:val="24"/>
        </w:rPr>
        <w:t xml:space="preserve"> eventualno</w:t>
      </w:r>
      <w:r w:rsidRPr="00D36624">
        <w:rPr>
          <w:rFonts w:ascii="Arial" w:hAnsi="Arial" w:cs="Arial"/>
          <w:sz w:val="24"/>
          <w:szCs w:val="24"/>
        </w:rPr>
        <w:t xml:space="preserve"> usporili i/ili odgodili realizaciju istih.</w:t>
      </w:r>
    </w:p>
    <w:p w:rsidR="005760FE" w:rsidRPr="00D36624" w:rsidRDefault="005760FE" w:rsidP="005760FE">
      <w:pPr>
        <w:spacing w:after="0" w:line="240" w:lineRule="auto"/>
        <w:ind w:left="720"/>
        <w:rPr>
          <w:rFonts w:ascii="Arial" w:hAnsi="Arial" w:cs="Arial"/>
          <w:color w:val="FF0000"/>
          <w:sz w:val="24"/>
          <w:szCs w:val="24"/>
        </w:rPr>
      </w:pPr>
    </w:p>
    <w:p w:rsidR="00CC6A98" w:rsidRPr="00C02BF9" w:rsidRDefault="00690F7E" w:rsidP="00C02BF9">
      <w:pPr>
        <w:pStyle w:val="Heading2"/>
        <w:spacing w:before="120" w:after="120"/>
        <w:rPr>
          <w:rFonts w:ascii="Arial" w:hAnsi="Arial" w:cs="Arial"/>
          <w:color w:val="C00000"/>
        </w:rPr>
      </w:pPr>
      <w:bookmarkStart w:id="27" w:name="_Toc482799259"/>
      <w:r w:rsidRPr="0043336C">
        <w:rPr>
          <w:rFonts w:ascii="Arial" w:hAnsi="Arial" w:cs="Arial"/>
          <w:color w:val="C00000"/>
        </w:rPr>
        <w:lastRenderedPageBreak/>
        <w:t xml:space="preserve">4.2. </w:t>
      </w:r>
      <w:r w:rsidR="005760FE" w:rsidRPr="0043336C">
        <w:rPr>
          <w:rFonts w:ascii="Arial" w:hAnsi="Arial" w:cs="Arial"/>
          <w:color w:val="C00000"/>
        </w:rPr>
        <w:t xml:space="preserve">Javni prihodi za period </w:t>
      </w:r>
      <w:r w:rsidRPr="0043336C">
        <w:rPr>
          <w:rFonts w:ascii="Arial" w:hAnsi="Arial" w:cs="Arial"/>
          <w:color w:val="C00000"/>
        </w:rPr>
        <w:t>201</w:t>
      </w:r>
      <w:r w:rsidR="00CC6A98">
        <w:rPr>
          <w:rFonts w:ascii="Arial" w:hAnsi="Arial" w:cs="Arial"/>
          <w:color w:val="C00000"/>
        </w:rPr>
        <w:t>8 – 2020</w:t>
      </w:r>
      <w:r w:rsidRPr="0043336C">
        <w:rPr>
          <w:rFonts w:ascii="Arial" w:hAnsi="Arial" w:cs="Arial"/>
          <w:color w:val="C00000"/>
        </w:rPr>
        <w:t xml:space="preserve">. </w:t>
      </w:r>
      <w:r w:rsidR="00A63454" w:rsidRPr="0043336C">
        <w:rPr>
          <w:rFonts w:ascii="Arial" w:hAnsi="Arial" w:cs="Arial"/>
          <w:color w:val="C00000"/>
        </w:rPr>
        <w:t>godine</w:t>
      </w:r>
      <w:bookmarkEnd w:id="27"/>
    </w:p>
    <w:p w:rsidR="00CC6A98" w:rsidRDefault="00CC6A98" w:rsidP="00E303B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CC6A98">
        <w:rPr>
          <w:rFonts w:ascii="Arial" w:eastAsia="Times New Roman" w:hAnsi="Arial" w:cs="Arial"/>
          <w:sz w:val="24"/>
          <w:szCs w:val="24"/>
        </w:rPr>
        <w:t xml:space="preserve">Prateći makroekonomske pokazatelje za ovaj srednjoročni period, </w:t>
      </w:r>
      <w:r w:rsidR="006708C2">
        <w:rPr>
          <w:rFonts w:ascii="Arial" w:eastAsia="Times New Roman" w:hAnsi="Arial" w:cs="Arial"/>
          <w:sz w:val="24"/>
          <w:szCs w:val="24"/>
        </w:rPr>
        <w:t xml:space="preserve">u periodu                     2018 – 2020. godina nastavlja se </w:t>
      </w:r>
      <w:r w:rsidRPr="00CC6A98">
        <w:rPr>
          <w:rFonts w:ascii="Arial" w:eastAsia="Times New Roman" w:hAnsi="Arial" w:cs="Arial"/>
          <w:sz w:val="24"/>
          <w:szCs w:val="24"/>
        </w:rPr>
        <w:t>trend bla</w:t>
      </w:r>
      <w:r w:rsidR="006708C2">
        <w:rPr>
          <w:rFonts w:ascii="Arial" w:eastAsia="Times New Roman" w:hAnsi="Arial" w:cs="Arial"/>
          <w:sz w:val="24"/>
          <w:szCs w:val="24"/>
        </w:rPr>
        <w:t>gog rasta ekonomske aktivnost</w:t>
      </w:r>
      <w:r w:rsidRPr="00CC6A98">
        <w:rPr>
          <w:rFonts w:ascii="Arial" w:eastAsia="Times New Roman" w:hAnsi="Arial" w:cs="Arial"/>
          <w:sz w:val="24"/>
          <w:szCs w:val="24"/>
        </w:rPr>
        <w:t>, što će prije svega biti uvjetovano daljim reformskim aktivnostima na poboljšanju poslovnog ambijenta. Bolji poslovni ambijent u ovom periodu bi trebao biti najveći pokretač privatnih investicija i stranih ulaganja, što će se direktno implicirati na tržište rada i cjelokupan rast.</w:t>
      </w:r>
    </w:p>
    <w:p w:rsidR="00CC6A98" w:rsidRDefault="00CC6A98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708C2" w:rsidRDefault="008211A5" w:rsidP="008211A5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8211A5">
        <w:rPr>
          <w:rFonts w:ascii="Arial" w:eastAsia="Times New Roman" w:hAnsi="Arial" w:cs="Arial"/>
          <w:sz w:val="24"/>
          <w:szCs w:val="24"/>
        </w:rPr>
        <w:t>Prikupljanje i raspodjela poreznih prihoda, prihoda po osnovu naknada i taksi, doprinosa i ostalih javnih prihoda vrši se u skladu sa važećim propisima na teritoriji Federaciji Bosne i Hercegovine. Prikupljenim javnim prihodima vrši se finansiranje funkcija Federacije BiH, kantona, jedinica lokalne samouprave, vanbudžetskih fondova, nadležnih tijela za ceste i ostalih korisnika javnih prihoda u Federaciji BiH.</w:t>
      </w:r>
    </w:p>
    <w:p w:rsidR="006708C2" w:rsidRDefault="006708C2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A6D05" w:rsidRDefault="006666C2" w:rsidP="00EF46A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skladu sa planom, ukupni javni prihodi u 2018. godini iznose 8.10</w:t>
      </w:r>
      <w:r w:rsidR="00116D0D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 xml:space="preserve"> miliona, u 2018. godini 8.3</w:t>
      </w:r>
      <w:r w:rsidR="00116D0D">
        <w:rPr>
          <w:rFonts w:ascii="Arial" w:eastAsia="Times New Roman" w:hAnsi="Arial" w:cs="Arial"/>
          <w:sz w:val="24"/>
          <w:szCs w:val="24"/>
        </w:rPr>
        <w:t>28</w:t>
      </w:r>
      <w:r>
        <w:rPr>
          <w:rFonts w:ascii="Arial" w:eastAsia="Times New Roman" w:hAnsi="Arial" w:cs="Arial"/>
          <w:sz w:val="24"/>
          <w:szCs w:val="24"/>
        </w:rPr>
        <w:t xml:space="preserve"> miliona KM, dok je u 2020. godini planira</w:t>
      </w:r>
      <w:r w:rsidR="00CA6D05">
        <w:rPr>
          <w:rFonts w:ascii="Arial" w:eastAsia="Times New Roman" w:hAnsi="Arial" w:cs="Arial"/>
          <w:sz w:val="24"/>
          <w:szCs w:val="24"/>
        </w:rPr>
        <w:t>n nivo od 8.58</w:t>
      </w:r>
      <w:r w:rsidR="00116D0D">
        <w:rPr>
          <w:rFonts w:ascii="Arial" w:eastAsia="Times New Roman" w:hAnsi="Arial" w:cs="Arial"/>
          <w:sz w:val="24"/>
          <w:szCs w:val="24"/>
        </w:rPr>
        <w:t>2</w:t>
      </w:r>
      <w:r w:rsidR="00CA6D05">
        <w:rPr>
          <w:rFonts w:ascii="Arial" w:eastAsia="Times New Roman" w:hAnsi="Arial" w:cs="Arial"/>
          <w:sz w:val="24"/>
          <w:szCs w:val="24"/>
        </w:rPr>
        <w:t xml:space="preserve"> miliona KM. Planirani iznosi prihoda, sa očekivanim rastom od oko 2,5% iz godine u godinu, uzimaju prosječno učešće od 24% u projektovanom GDP-u Federacije BiH. </w:t>
      </w:r>
    </w:p>
    <w:p w:rsidR="006666C2" w:rsidRDefault="006666C2" w:rsidP="00EF46A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EF46AC" w:rsidRDefault="005760FE" w:rsidP="00EF46A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D36624">
        <w:rPr>
          <w:rFonts w:ascii="Arial" w:eastAsia="Times New Roman" w:hAnsi="Arial" w:cs="Arial"/>
          <w:sz w:val="24"/>
          <w:szCs w:val="24"/>
        </w:rPr>
        <w:t xml:space="preserve">U nastavku </w:t>
      </w:r>
      <w:r w:rsidR="00CA6D05">
        <w:rPr>
          <w:rFonts w:ascii="Arial" w:eastAsia="Times New Roman" w:hAnsi="Arial" w:cs="Arial"/>
          <w:sz w:val="24"/>
          <w:szCs w:val="24"/>
        </w:rPr>
        <w:t>slijedi</w:t>
      </w:r>
      <w:r w:rsidRPr="00D36624">
        <w:rPr>
          <w:rFonts w:ascii="Arial" w:eastAsia="Times New Roman" w:hAnsi="Arial" w:cs="Arial"/>
          <w:sz w:val="24"/>
          <w:szCs w:val="24"/>
        </w:rPr>
        <w:t xml:space="preserve"> konsolidirani pregled izvršenj</w:t>
      </w:r>
      <w:r w:rsidR="00983C47">
        <w:rPr>
          <w:rFonts w:ascii="Arial" w:eastAsia="Times New Roman" w:hAnsi="Arial" w:cs="Arial"/>
          <w:sz w:val="24"/>
          <w:szCs w:val="24"/>
        </w:rPr>
        <w:t>a</w:t>
      </w:r>
      <w:r w:rsidRPr="00D36624">
        <w:rPr>
          <w:rFonts w:ascii="Arial" w:eastAsia="Times New Roman" w:hAnsi="Arial" w:cs="Arial"/>
          <w:sz w:val="24"/>
          <w:szCs w:val="24"/>
        </w:rPr>
        <w:t xml:space="preserve"> prihoda u 201</w:t>
      </w:r>
      <w:r w:rsidR="006666C2">
        <w:rPr>
          <w:rFonts w:ascii="Arial" w:eastAsia="Times New Roman" w:hAnsi="Arial" w:cs="Arial"/>
          <w:sz w:val="24"/>
          <w:szCs w:val="24"/>
        </w:rPr>
        <w:t>6</w:t>
      </w:r>
      <w:r w:rsidRPr="00D36624">
        <w:rPr>
          <w:rFonts w:ascii="Arial" w:eastAsia="Times New Roman" w:hAnsi="Arial" w:cs="Arial"/>
          <w:sz w:val="24"/>
          <w:szCs w:val="24"/>
        </w:rPr>
        <w:t xml:space="preserve">. godini i </w:t>
      </w:r>
      <w:r w:rsidR="00983C47">
        <w:rPr>
          <w:rFonts w:ascii="Arial" w:eastAsia="Times New Roman" w:hAnsi="Arial" w:cs="Arial"/>
          <w:sz w:val="24"/>
          <w:szCs w:val="24"/>
        </w:rPr>
        <w:t>plan</w:t>
      </w:r>
      <w:r w:rsidRPr="00D36624">
        <w:rPr>
          <w:rFonts w:ascii="Arial" w:eastAsia="Times New Roman" w:hAnsi="Arial" w:cs="Arial"/>
          <w:sz w:val="24"/>
          <w:szCs w:val="24"/>
        </w:rPr>
        <w:t xml:space="preserve"> raspoloživih prihoda za period 201</w:t>
      </w:r>
      <w:r w:rsidR="00983C47">
        <w:rPr>
          <w:rFonts w:ascii="Arial" w:eastAsia="Times New Roman" w:hAnsi="Arial" w:cs="Arial"/>
          <w:sz w:val="24"/>
          <w:szCs w:val="24"/>
        </w:rPr>
        <w:t>8</w:t>
      </w:r>
      <w:r w:rsidR="00263DA9" w:rsidRPr="00D36624">
        <w:rPr>
          <w:rFonts w:ascii="Arial" w:eastAsia="Times New Roman" w:hAnsi="Arial" w:cs="Arial"/>
          <w:sz w:val="24"/>
          <w:szCs w:val="24"/>
        </w:rPr>
        <w:t xml:space="preserve"> </w:t>
      </w:r>
      <w:r w:rsidRPr="00D36624">
        <w:rPr>
          <w:rFonts w:ascii="Arial" w:eastAsia="Times New Roman" w:hAnsi="Arial" w:cs="Arial"/>
          <w:sz w:val="24"/>
          <w:szCs w:val="24"/>
        </w:rPr>
        <w:t>-</w:t>
      </w:r>
      <w:r w:rsidR="00263DA9" w:rsidRPr="00D36624">
        <w:rPr>
          <w:rFonts w:ascii="Arial" w:eastAsia="Times New Roman" w:hAnsi="Arial" w:cs="Arial"/>
          <w:sz w:val="24"/>
          <w:szCs w:val="24"/>
        </w:rPr>
        <w:t xml:space="preserve"> </w:t>
      </w:r>
      <w:r w:rsidRPr="00D36624">
        <w:rPr>
          <w:rFonts w:ascii="Arial" w:eastAsia="Times New Roman" w:hAnsi="Arial" w:cs="Arial"/>
          <w:sz w:val="24"/>
          <w:szCs w:val="24"/>
        </w:rPr>
        <w:t>20</w:t>
      </w:r>
      <w:r w:rsidR="00983C47">
        <w:rPr>
          <w:rFonts w:ascii="Arial" w:eastAsia="Times New Roman" w:hAnsi="Arial" w:cs="Arial"/>
          <w:sz w:val="24"/>
          <w:szCs w:val="24"/>
        </w:rPr>
        <w:t>20</w:t>
      </w:r>
      <w:r w:rsidRPr="00D36624">
        <w:rPr>
          <w:rFonts w:ascii="Arial" w:eastAsia="Times New Roman" w:hAnsi="Arial" w:cs="Arial"/>
          <w:sz w:val="24"/>
          <w:szCs w:val="24"/>
        </w:rPr>
        <w:t>.</w:t>
      </w:r>
      <w:r w:rsidR="00263DA9" w:rsidRPr="00D36624">
        <w:rPr>
          <w:rFonts w:ascii="Arial" w:eastAsia="Times New Roman" w:hAnsi="Arial" w:cs="Arial"/>
          <w:sz w:val="24"/>
          <w:szCs w:val="24"/>
        </w:rPr>
        <w:t xml:space="preserve"> </w:t>
      </w:r>
      <w:r w:rsidRPr="00D36624">
        <w:rPr>
          <w:rFonts w:ascii="Arial" w:eastAsia="Times New Roman" w:hAnsi="Arial" w:cs="Arial"/>
          <w:sz w:val="24"/>
          <w:szCs w:val="24"/>
        </w:rPr>
        <w:t>godina u Federaciji BiH</w:t>
      </w:r>
      <w:r w:rsidR="00CA6D05">
        <w:rPr>
          <w:rFonts w:ascii="Arial" w:eastAsia="Times New Roman" w:hAnsi="Arial" w:cs="Arial"/>
          <w:sz w:val="24"/>
          <w:szCs w:val="24"/>
        </w:rPr>
        <w:t xml:space="preserve"> u koji su uključeni prihodi </w:t>
      </w:r>
      <w:r w:rsidR="00CA6D05" w:rsidRPr="00CA6D05">
        <w:rPr>
          <w:rFonts w:ascii="Arial" w:eastAsia="Times New Roman" w:hAnsi="Arial" w:cs="Arial"/>
          <w:sz w:val="24"/>
          <w:szCs w:val="24"/>
        </w:rPr>
        <w:t>Budžet</w:t>
      </w:r>
      <w:r w:rsidR="00CA6D05">
        <w:rPr>
          <w:rFonts w:ascii="Arial" w:eastAsia="Times New Roman" w:hAnsi="Arial" w:cs="Arial"/>
          <w:sz w:val="24"/>
          <w:szCs w:val="24"/>
        </w:rPr>
        <w:t>a</w:t>
      </w:r>
      <w:r w:rsidR="00CA6D05" w:rsidRPr="00CA6D05">
        <w:rPr>
          <w:rFonts w:ascii="Arial" w:eastAsia="Times New Roman" w:hAnsi="Arial" w:cs="Arial"/>
          <w:sz w:val="24"/>
          <w:szCs w:val="24"/>
        </w:rPr>
        <w:t xml:space="preserve"> Federacije BiH, kantonaln</w:t>
      </w:r>
      <w:r w:rsidR="00CA6D05">
        <w:rPr>
          <w:rFonts w:ascii="Arial" w:eastAsia="Times New Roman" w:hAnsi="Arial" w:cs="Arial"/>
          <w:sz w:val="24"/>
          <w:szCs w:val="24"/>
        </w:rPr>
        <w:t>ih</w:t>
      </w:r>
      <w:r w:rsidR="00CA6D05" w:rsidRPr="00CA6D05">
        <w:rPr>
          <w:rFonts w:ascii="Arial" w:eastAsia="Times New Roman" w:hAnsi="Arial" w:cs="Arial"/>
          <w:sz w:val="24"/>
          <w:szCs w:val="24"/>
        </w:rPr>
        <w:t xml:space="preserve"> budžet</w:t>
      </w:r>
      <w:r w:rsidR="00CA6D05">
        <w:rPr>
          <w:rFonts w:ascii="Arial" w:eastAsia="Times New Roman" w:hAnsi="Arial" w:cs="Arial"/>
          <w:sz w:val="24"/>
          <w:szCs w:val="24"/>
        </w:rPr>
        <w:t>a</w:t>
      </w:r>
      <w:r w:rsidR="00CA6D05" w:rsidRPr="00CA6D05">
        <w:rPr>
          <w:rFonts w:ascii="Arial" w:eastAsia="Times New Roman" w:hAnsi="Arial" w:cs="Arial"/>
          <w:sz w:val="24"/>
          <w:szCs w:val="24"/>
        </w:rPr>
        <w:t>, budžet</w:t>
      </w:r>
      <w:r w:rsidR="00CA6D05">
        <w:rPr>
          <w:rFonts w:ascii="Arial" w:eastAsia="Times New Roman" w:hAnsi="Arial" w:cs="Arial"/>
          <w:sz w:val="24"/>
          <w:szCs w:val="24"/>
        </w:rPr>
        <w:t>a</w:t>
      </w:r>
      <w:r w:rsidR="00CA6D05" w:rsidRPr="00CA6D05">
        <w:rPr>
          <w:rFonts w:ascii="Arial" w:eastAsia="Times New Roman" w:hAnsi="Arial" w:cs="Arial"/>
          <w:sz w:val="24"/>
          <w:szCs w:val="24"/>
        </w:rPr>
        <w:t xml:space="preserve"> jedinica lokalne samouprave, nadležnih tijela za ceste i vanbudžetskih fondova</w:t>
      </w:r>
      <w:r w:rsidR="00CA6D05">
        <w:rPr>
          <w:rFonts w:ascii="Arial" w:eastAsia="Times New Roman" w:hAnsi="Arial" w:cs="Arial"/>
          <w:sz w:val="24"/>
          <w:szCs w:val="24"/>
        </w:rPr>
        <w:t xml:space="preserve">. </w:t>
      </w:r>
    </w:p>
    <w:p w:rsidR="00EF46AC" w:rsidRDefault="00EF46AC" w:rsidP="00EF46A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CA6D05" w:rsidRDefault="00CA6D05" w:rsidP="00EF46A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Pregled pojedinačnog plana prihoda po nivoima vlasti i ostalim korisnicima također je prikazan u narednim tabelama.</w:t>
      </w:r>
    </w:p>
    <w:p w:rsidR="00CA6D05" w:rsidRDefault="00CA6D05" w:rsidP="00EF46A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CA6D05" w:rsidRDefault="00CA6D05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A6D05" w:rsidRDefault="00CA6D05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63DA9" w:rsidRPr="00D36624" w:rsidRDefault="00263DA9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63DA9" w:rsidRPr="00D36624" w:rsidRDefault="00116D0D" w:rsidP="00CD7BB4">
      <w:pPr>
        <w:spacing w:after="0" w:line="240" w:lineRule="auto"/>
        <w:ind w:left="-851" w:right="-851" w:firstLine="851"/>
        <w:jc w:val="both"/>
        <w:rPr>
          <w:rFonts w:ascii="Arial" w:eastAsia="Times New Roman" w:hAnsi="Arial" w:cs="Arial"/>
          <w:sz w:val="24"/>
          <w:szCs w:val="24"/>
        </w:rPr>
      </w:pPr>
      <w:r w:rsidRPr="00116D0D">
        <w:lastRenderedPageBreak/>
        <w:drawing>
          <wp:inline distT="0" distB="0" distL="0" distR="0">
            <wp:extent cx="5759450" cy="559225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9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D85" w:rsidRDefault="00C62D85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06F9F" w:rsidRPr="00D36624" w:rsidRDefault="00D06F9F" w:rsidP="009F7E9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06F9F">
        <w:drawing>
          <wp:inline distT="0" distB="0" distL="0" distR="0">
            <wp:extent cx="5759450" cy="2071922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7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D85" w:rsidRPr="00D36624" w:rsidRDefault="00C62D85" w:rsidP="00CD7BB4">
      <w:pPr>
        <w:spacing w:after="0" w:line="240" w:lineRule="auto"/>
        <w:ind w:left="-851"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C62D85" w:rsidRPr="00D36624" w:rsidRDefault="00C62D85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62D85" w:rsidRPr="00D36624" w:rsidRDefault="00C62D85" w:rsidP="00CD7BB4">
      <w:pPr>
        <w:spacing w:after="0" w:line="240" w:lineRule="auto"/>
        <w:ind w:left="-851"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C62D85" w:rsidRPr="00D36624" w:rsidRDefault="009F7E9B" w:rsidP="00CD7BB4">
      <w:pPr>
        <w:tabs>
          <w:tab w:val="left" w:pos="142"/>
        </w:tabs>
        <w:ind w:left="720" w:hanging="720"/>
        <w:rPr>
          <w:rFonts w:ascii="Arial" w:hAnsi="Arial" w:cs="Arial"/>
          <w:noProof/>
          <w:sz w:val="24"/>
          <w:szCs w:val="24"/>
        </w:rPr>
      </w:pPr>
      <w:r w:rsidRPr="009F7E9B">
        <w:lastRenderedPageBreak/>
        <w:drawing>
          <wp:inline distT="0" distB="0" distL="0" distR="0">
            <wp:extent cx="5759450" cy="3632030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3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D85" w:rsidRPr="00D36624" w:rsidRDefault="009F7E9B" w:rsidP="00CD7BB4">
      <w:pPr>
        <w:tabs>
          <w:tab w:val="left" w:pos="142"/>
        </w:tabs>
        <w:ind w:left="720" w:hanging="720"/>
        <w:rPr>
          <w:rFonts w:ascii="Arial" w:hAnsi="Arial" w:cs="Arial"/>
          <w:noProof/>
          <w:sz w:val="24"/>
          <w:szCs w:val="24"/>
        </w:rPr>
      </w:pPr>
      <w:r w:rsidRPr="009F7E9B">
        <w:drawing>
          <wp:inline distT="0" distB="0" distL="0" distR="0">
            <wp:extent cx="5759450" cy="164643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4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BE7" w:rsidRDefault="00801BE7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1BE7">
        <w:drawing>
          <wp:inline distT="0" distB="0" distL="0" distR="0">
            <wp:extent cx="5759450" cy="98046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8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396" w:rsidRDefault="00E17396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7396" w:rsidRDefault="00E17396" w:rsidP="0025400A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E17396">
        <w:rPr>
          <w:rFonts w:ascii="Arial" w:eastAsia="Times New Roman" w:hAnsi="Arial" w:cs="Arial"/>
          <w:sz w:val="24"/>
          <w:szCs w:val="24"/>
        </w:rPr>
        <w:t xml:space="preserve">U strukturi ukupnih prihoda, porezni prihodi predstavljaju najznačajniji izvor, sa najvećim učešćem prihoda po osnovu indirektnih poreza. </w:t>
      </w:r>
      <w:r w:rsidR="0025400A">
        <w:rPr>
          <w:rFonts w:ascii="Arial" w:eastAsia="Times New Roman" w:hAnsi="Arial" w:cs="Arial"/>
          <w:sz w:val="24"/>
          <w:szCs w:val="24"/>
        </w:rPr>
        <w:t xml:space="preserve">Plan ove kategorije prihoda izvršen je </w:t>
      </w:r>
      <w:r w:rsidRPr="00E17396">
        <w:rPr>
          <w:rFonts w:ascii="Arial" w:eastAsia="Times New Roman" w:hAnsi="Arial" w:cs="Arial"/>
          <w:sz w:val="24"/>
          <w:szCs w:val="24"/>
        </w:rPr>
        <w:t xml:space="preserve">u skladu sa planom prihoda od indirektnih poreza na Jedinstvenom računu, preuzetom od strane Odjeljenja za makroekonomsku analizu Uprave za indirektno oporezivanje (OMA), u </w:t>
      </w:r>
      <w:r w:rsidR="0025400A">
        <w:rPr>
          <w:rFonts w:ascii="Arial" w:eastAsia="Times New Roman" w:hAnsi="Arial" w:cs="Arial"/>
          <w:sz w:val="24"/>
          <w:szCs w:val="24"/>
        </w:rPr>
        <w:t>aprilu</w:t>
      </w:r>
      <w:r w:rsidRPr="00E17396">
        <w:rPr>
          <w:rFonts w:ascii="Arial" w:eastAsia="Times New Roman" w:hAnsi="Arial" w:cs="Arial"/>
          <w:sz w:val="24"/>
          <w:szCs w:val="24"/>
        </w:rPr>
        <w:t xml:space="preserve"> 201</w:t>
      </w:r>
      <w:r w:rsidR="0025400A">
        <w:rPr>
          <w:rFonts w:ascii="Arial" w:eastAsia="Times New Roman" w:hAnsi="Arial" w:cs="Arial"/>
          <w:sz w:val="24"/>
          <w:szCs w:val="24"/>
        </w:rPr>
        <w:t>7</w:t>
      </w:r>
      <w:r w:rsidRPr="00E17396">
        <w:rPr>
          <w:rFonts w:ascii="Arial" w:eastAsia="Times New Roman" w:hAnsi="Arial" w:cs="Arial"/>
          <w:sz w:val="24"/>
          <w:szCs w:val="24"/>
        </w:rPr>
        <w:t>. godine. Ist</w:t>
      </w:r>
      <w:r w:rsidR="0025400A">
        <w:rPr>
          <w:rFonts w:ascii="Arial" w:eastAsia="Times New Roman" w:hAnsi="Arial" w:cs="Arial"/>
          <w:sz w:val="24"/>
          <w:szCs w:val="24"/>
        </w:rPr>
        <w:t>i</w:t>
      </w:r>
      <w:r w:rsidRPr="00E17396">
        <w:rPr>
          <w:rFonts w:ascii="Arial" w:eastAsia="Times New Roman" w:hAnsi="Arial" w:cs="Arial"/>
          <w:sz w:val="24"/>
          <w:szCs w:val="24"/>
        </w:rPr>
        <w:t xml:space="preserve"> se temelj</w:t>
      </w:r>
      <w:r w:rsidR="0025400A">
        <w:rPr>
          <w:rFonts w:ascii="Arial" w:eastAsia="Times New Roman" w:hAnsi="Arial" w:cs="Arial"/>
          <w:sz w:val="24"/>
          <w:szCs w:val="24"/>
        </w:rPr>
        <w:t>i</w:t>
      </w:r>
      <w:r w:rsidRPr="00E17396">
        <w:rPr>
          <w:rFonts w:ascii="Arial" w:eastAsia="Times New Roman" w:hAnsi="Arial" w:cs="Arial"/>
          <w:sz w:val="24"/>
          <w:szCs w:val="24"/>
        </w:rPr>
        <w:t xml:space="preserve"> na projekcijama kretanja makroekonomskih pokazatelja u navedenom periodu, kao i na historijskom trendu naplate ovih prihoda. Plan prihoda po osnovu indirektnih poreza uzima u obzir i efekte primjene Sporazuma o slobodnoj trgovini između Bosne i Hercegovine i EFTA, efekte nastavka kontinuirane harmonizacije akciza na cigaret</w:t>
      </w:r>
      <w:r w:rsidR="0025400A">
        <w:rPr>
          <w:rFonts w:ascii="Arial" w:eastAsia="Times New Roman" w:hAnsi="Arial" w:cs="Arial"/>
          <w:sz w:val="24"/>
          <w:szCs w:val="24"/>
        </w:rPr>
        <w:t>e sa standardima Evropske unije, kao i efekte primjene adaptiranog Sporazuma o stabilizaciji i pridruživanju EU.</w:t>
      </w:r>
    </w:p>
    <w:p w:rsidR="00E17396" w:rsidRDefault="00E17396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7BD4" w:rsidRDefault="00307BD4" w:rsidP="00E4509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07BD4">
        <w:rPr>
          <w:rFonts w:ascii="Arial" w:eastAsia="Times New Roman" w:hAnsi="Arial" w:cs="Arial"/>
          <w:sz w:val="24"/>
          <w:szCs w:val="24"/>
        </w:rPr>
        <w:lastRenderedPageBreak/>
        <w:t>Izvršenje raspoloživih prihoda po osnovu indirektnih poreza za budžete korisnika u Federaciji BiH direktno će ovisiti i o visini otplate vanjskog duga, s obzirom da se ukupan iznos prihoda sa Jedinstvenog računa, koji pripada Federaciji BiH, u skladu sa članom 21. Zakona o sistemu indirektnog oporezivanja („Službeni glasnik BiH“, broj: 44/03) umanjuje za iznos sredstava potrebnih za servisiranje vanjskog duga Federacije BiH.</w:t>
      </w:r>
      <w:r w:rsidR="00E45099">
        <w:rPr>
          <w:rFonts w:ascii="Arial" w:eastAsia="Times New Roman" w:hAnsi="Arial" w:cs="Arial"/>
          <w:sz w:val="24"/>
          <w:szCs w:val="24"/>
        </w:rPr>
        <w:t xml:space="preserve"> </w:t>
      </w:r>
      <w:r w:rsidR="00E45099" w:rsidRPr="00E45099">
        <w:rPr>
          <w:rFonts w:ascii="Arial" w:eastAsia="Times New Roman" w:hAnsi="Arial" w:cs="Arial"/>
          <w:sz w:val="24"/>
          <w:szCs w:val="24"/>
        </w:rPr>
        <w:t>Također, naplata prihoda od indirektnih poreza ovisit će i od kvalitetne koordinacije svih korisnika, institucija Bosne i Hercegovine, entiteta i Brčko Distrikta, s jedne strane i svih korisnika prihoda od indirektnih poreza unutar Federacije BiH, s druge strane, a sa naglaskom na nastavak prilagođavanja koeficijenata za raspodjelu ovih prihoda korisnicima.</w:t>
      </w:r>
    </w:p>
    <w:p w:rsidR="008B11C5" w:rsidRDefault="008B11C5" w:rsidP="00E4509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8B11C5" w:rsidRDefault="008B11C5" w:rsidP="00E4509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8B11C5">
        <w:drawing>
          <wp:inline distT="0" distB="0" distL="0" distR="0">
            <wp:extent cx="5759450" cy="143398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33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BD4" w:rsidRDefault="00307BD4" w:rsidP="00576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E41D2" w:rsidRPr="00AE41D2" w:rsidRDefault="00AE41D2" w:rsidP="00AE41D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41D2">
        <w:rPr>
          <w:rFonts w:ascii="Arial" w:eastAsia="Times New Roman" w:hAnsi="Arial" w:cs="Arial"/>
          <w:sz w:val="24"/>
          <w:szCs w:val="24"/>
        </w:rPr>
        <w:t>S obzirom da su projekcije javnih prihoda između ostalog bazirane i na predviđanjima kretanja makroekonomskih pokazatelja, odnosno usko vezane za kretanje privrednog rasta, postoji mogućnost drugačijeg kretanja plana javnih prihoda, ukoliko rast makroekonomskih pokazatelja bude ispod procijenjenog.</w:t>
      </w:r>
    </w:p>
    <w:p w:rsidR="00AE41D2" w:rsidRPr="00AE41D2" w:rsidRDefault="00AE41D2" w:rsidP="00AE41D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E45099" w:rsidRDefault="00AE41D2" w:rsidP="00AE41D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E41D2">
        <w:rPr>
          <w:rFonts w:ascii="Arial" w:eastAsia="Times New Roman" w:hAnsi="Arial" w:cs="Arial"/>
          <w:sz w:val="24"/>
          <w:szCs w:val="24"/>
        </w:rPr>
        <w:t xml:space="preserve">Realizacija planiranog nivoa javnih prihoda direktno zavisi i od izmjena poreznih politika, kao i drugačijeg ishoda drugih parametara kao što su promjena nivoa zaduženosti od planiranog, povećanje povrata PDV-a i odsustvo stabilnih koeficijenata raspodjele </w:t>
      </w:r>
      <w:r>
        <w:rPr>
          <w:rFonts w:ascii="Arial" w:eastAsia="Times New Roman" w:hAnsi="Arial" w:cs="Arial"/>
          <w:sz w:val="24"/>
          <w:szCs w:val="24"/>
        </w:rPr>
        <w:t>kada se radi o prihodima po osnovu</w:t>
      </w:r>
      <w:r w:rsidRPr="00AE41D2">
        <w:rPr>
          <w:rFonts w:ascii="Arial" w:eastAsia="Times New Roman" w:hAnsi="Arial" w:cs="Arial"/>
          <w:sz w:val="24"/>
          <w:szCs w:val="24"/>
        </w:rPr>
        <w:t xml:space="preserve"> indirektnih poreza, rad</w:t>
      </w:r>
      <w:r w:rsidR="00D2372C">
        <w:rPr>
          <w:rFonts w:ascii="Arial" w:eastAsia="Times New Roman" w:hAnsi="Arial" w:cs="Arial"/>
          <w:sz w:val="24"/>
          <w:szCs w:val="24"/>
        </w:rPr>
        <w:t>u</w:t>
      </w:r>
      <w:r w:rsidRPr="00AE41D2">
        <w:rPr>
          <w:rFonts w:ascii="Arial" w:eastAsia="Times New Roman" w:hAnsi="Arial" w:cs="Arial"/>
          <w:sz w:val="24"/>
          <w:szCs w:val="24"/>
        </w:rPr>
        <w:t xml:space="preserve"> porezne administracije, te razvoj</w:t>
      </w:r>
      <w:r w:rsidR="00D2372C">
        <w:rPr>
          <w:rFonts w:ascii="Arial" w:eastAsia="Times New Roman" w:hAnsi="Arial" w:cs="Arial"/>
          <w:sz w:val="24"/>
          <w:szCs w:val="24"/>
        </w:rPr>
        <w:t>u</w:t>
      </w:r>
      <w:r w:rsidRPr="00AE41D2">
        <w:rPr>
          <w:rFonts w:ascii="Arial" w:eastAsia="Times New Roman" w:hAnsi="Arial" w:cs="Arial"/>
          <w:sz w:val="24"/>
          <w:szCs w:val="24"/>
        </w:rPr>
        <w:t xml:space="preserve"> ostalih mogućih nepredviđenih događaja.</w:t>
      </w:r>
    </w:p>
    <w:p w:rsidR="005760FE" w:rsidRPr="00D36624" w:rsidRDefault="005760FE" w:rsidP="00AE41D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5760FE" w:rsidRPr="00D36624" w:rsidRDefault="005760FE" w:rsidP="00AE41D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D36624">
        <w:rPr>
          <w:rFonts w:ascii="Arial" w:eastAsia="Times New Roman" w:hAnsi="Arial" w:cs="Arial"/>
          <w:sz w:val="24"/>
          <w:szCs w:val="24"/>
        </w:rPr>
        <w:t>Projekcije su rađene pod pretpostavkom da neće doći do prenosa nadležnosti, sa nivoa Federacije BiH i kantona na nivo države ili kantona na nivo Federacije BiH ni zakonskih promjena u oblasti oporezivanja.</w:t>
      </w:r>
    </w:p>
    <w:p w:rsidR="00BF53E5" w:rsidRDefault="00BF53E5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56169" w:rsidRPr="00D36624" w:rsidRDefault="00956169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D7BB4" w:rsidRPr="00D36624" w:rsidRDefault="00CD7BB4" w:rsidP="00970D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830F2" w:rsidRPr="00464D02" w:rsidRDefault="00E830F2" w:rsidP="00231FB5">
      <w:pPr>
        <w:pStyle w:val="Heading1"/>
        <w:spacing w:before="120" w:after="120"/>
        <w:rPr>
          <w:rFonts w:ascii="Arial" w:hAnsi="Arial" w:cs="Arial"/>
          <w:color w:val="92D050"/>
        </w:rPr>
      </w:pPr>
      <w:bookmarkStart w:id="28" w:name="_Toc482799260"/>
      <w:r w:rsidRPr="00956169">
        <w:rPr>
          <w:rFonts w:ascii="Arial" w:hAnsi="Arial" w:cs="Arial"/>
          <w:color w:val="C00000"/>
        </w:rPr>
        <w:lastRenderedPageBreak/>
        <w:t>5. JAVNI DUG U SREDNJOROČNOM PERIODU</w:t>
      </w:r>
      <w:bookmarkEnd w:id="28"/>
    </w:p>
    <w:p w:rsidR="00225F9C" w:rsidRPr="00956169" w:rsidRDefault="00E830F2" w:rsidP="00225F9C">
      <w:pPr>
        <w:pStyle w:val="Heading2"/>
        <w:spacing w:before="120" w:after="120"/>
        <w:rPr>
          <w:rFonts w:ascii="Arial" w:hAnsi="Arial" w:cs="Arial"/>
          <w:color w:val="C00000"/>
        </w:rPr>
      </w:pPr>
      <w:bookmarkStart w:id="29" w:name="_Toc482799261"/>
      <w:r w:rsidRPr="00956169">
        <w:rPr>
          <w:rFonts w:ascii="Arial" w:hAnsi="Arial" w:cs="Arial"/>
          <w:color w:val="C00000"/>
        </w:rPr>
        <w:t xml:space="preserve">5.1. </w:t>
      </w:r>
      <w:r w:rsidR="00225F9C" w:rsidRPr="00956169">
        <w:rPr>
          <w:rFonts w:ascii="Arial" w:hAnsi="Arial" w:cs="Arial"/>
          <w:color w:val="C00000"/>
        </w:rPr>
        <w:t>Stanje i projekcije javnog duga u periodu od 2018. – 2020. godine</w:t>
      </w:r>
      <w:bookmarkEnd w:id="29"/>
    </w:p>
    <w:p w:rsidR="00A87066" w:rsidRDefault="00225F9C" w:rsidP="00F01A5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AC5607">
        <w:rPr>
          <w:rFonts w:ascii="Arial" w:hAnsi="Arial" w:cs="Arial"/>
          <w:sz w:val="24"/>
          <w:szCs w:val="24"/>
        </w:rPr>
        <w:t>Stanje i projekcije javnog duga su od izuzetne važnosti za kreiranje fiskalnih i razvojnih politika. Da bi se održala stabilnost fiskalnog sistema i obezbijedio osnov za razvojne inicijative, zaduživanje treba biti na realnim i održivim osnovama. Pregled stanja i projekcija javnog duga u ovom dokumentu se temelji na podacima o unutarnjem i vanjskom dugu u Federaciji BiH sa kojima raspolaže Federalno ministarstvo finansija</w:t>
      </w:r>
      <w:r>
        <w:rPr>
          <w:rFonts w:ascii="Arial" w:hAnsi="Arial" w:cs="Arial"/>
          <w:sz w:val="24"/>
          <w:szCs w:val="24"/>
        </w:rPr>
        <w:t>,</w:t>
      </w:r>
      <w:r w:rsidRPr="00AC5607">
        <w:rPr>
          <w:rFonts w:ascii="Arial" w:hAnsi="Arial" w:cs="Arial"/>
          <w:sz w:val="24"/>
          <w:szCs w:val="24"/>
        </w:rPr>
        <w:t xml:space="preserve">  na Strategiji upravljanja dugom 2017</w:t>
      </w:r>
      <w:r w:rsidR="00956169">
        <w:rPr>
          <w:rFonts w:ascii="Arial" w:hAnsi="Arial" w:cs="Arial"/>
          <w:sz w:val="24"/>
          <w:szCs w:val="24"/>
        </w:rPr>
        <w:t>.</w:t>
      </w:r>
      <w:r w:rsidRPr="00AC5607">
        <w:rPr>
          <w:rFonts w:ascii="Arial" w:hAnsi="Arial" w:cs="Arial"/>
          <w:sz w:val="24"/>
          <w:szCs w:val="24"/>
        </w:rPr>
        <w:t>-</w:t>
      </w:r>
      <w:r w:rsidR="00956169">
        <w:rPr>
          <w:rFonts w:ascii="Arial" w:hAnsi="Arial" w:cs="Arial"/>
          <w:sz w:val="24"/>
          <w:szCs w:val="24"/>
        </w:rPr>
        <w:t xml:space="preserve"> </w:t>
      </w:r>
      <w:r w:rsidRPr="00AC5607">
        <w:rPr>
          <w:rFonts w:ascii="Arial" w:hAnsi="Arial" w:cs="Arial"/>
          <w:sz w:val="24"/>
          <w:szCs w:val="24"/>
        </w:rPr>
        <w:t>2019</w:t>
      </w:r>
      <w:r w:rsidR="0095616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i </w:t>
      </w:r>
      <w:r w:rsidR="00956169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odišnjem planu zaduživanja za 2017. godinu.</w:t>
      </w:r>
    </w:p>
    <w:p w:rsidR="00956169" w:rsidRPr="00956169" w:rsidRDefault="00956169" w:rsidP="00956169">
      <w:pPr>
        <w:spacing w:before="120" w:after="12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</w:p>
    <w:p w:rsidR="00225F9C" w:rsidRPr="00956169" w:rsidRDefault="00E830F2" w:rsidP="00225F9C">
      <w:pPr>
        <w:pStyle w:val="Heading3"/>
        <w:spacing w:before="120" w:after="120"/>
        <w:rPr>
          <w:rFonts w:ascii="Arial" w:hAnsi="Arial" w:cs="Arial"/>
          <w:color w:val="C00000"/>
          <w:sz w:val="24"/>
          <w:szCs w:val="24"/>
        </w:rPr>
      </w:pPr>
      <w:bookmarkStart w:id="30" w:name="_Toc482799262"/>
      <w:r w:rsidRPr="00956169">
        <w:rPr>
          <w:rFonts w:ascii="Arial" w:hAnsi="Arial" w:cs="Arial"/>
          <w:color w:val="C00000"/>
          <w:sz w:val="24"/>
          <w:szCs w:val="24"/>
        </w:rPr>
        <w:t xml:space="preserve">5.1.1. </w:t>
      </w:r>
      <w:r w:rsidR="00225F9C" w:rsidRPr="00956169">
        <w:rPr>
          <w:rFonts w:ascii="Arial" w:hAnsi="Arial" w:cs="Arial"/>
          <w:color w:val="C00000"/>
          <w:sz w:val="24"/>
          <w:szCs w:val="24"/>
        </w:rPr>
        <w:t>Stanje javnog duga u Federaciji BiH u periodu od 2014. - 2016. godine</w:t>
      </w:r>
      <w:bookmarkEnd w:id="30"/>
    </w:p>
    <w:p w:rsidR="00225F9C" w:rsidRDefault="00225F9C" w:rsidP="00F01A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C5607">
        <w:rPr>
          <w:rFonts w:ascii="Arial" w:hAnsi="Arial" w:cs="Arial"/>
          <w:sz w:val="24"/>
          <w:szCs w:val="24"/>
        </w:rPr>
        <w:t>Ukupan dug Federacij</w:t>
      </w:r>
      <w:r>
        <w:rPr>
          <w:rFonts w:ascii="Arial" w:hAnsi="Arial" w:cs="Arial"/>
          <w:sz w:val="24"/>
          <w:szCs w:val="24"/>
        </w:rPr>
        <w:t xml:space="preserve">e, kantona, gradova, općina i javnih preduzeća u Federaciji </w:t>
      </w:r>
      <w:r w:rsidRPr="00AC5607">
        <w:rPr>
          <w:rFonts w:ascii="Arial" w:hAnsi="Arial" w:cs="Arial"/>
          <w:sz w:val="24"/>
          <w:szCs w:val="24"/>
        </w:rPr>
        <w:t xml:space="preserve">BiH </w:t>
      </w:r>
      <w:r>
        <w:rPr>
          <w:rFonts w:ascii="Arial" w:hAnsi="Arial" w:cs="Arial"/>
          <w:sz w:val="24"/>
          <w:szCs w:val="24"/>
        </w:rPr>
        <w:t>(u daljem tekstu: ukupan dug u Federaciji BiH</w:t>
      </w:r>
      <w:r>
        <w:rPr>
          <w:rStyle w:val="FootnoteReference"/>
          <w:rFonts w:ascii="Arial" w:hAnsi="Arial" w:cs="Arial"/>
          <w:sz w:val="24"/>
          <w:szCs w:val="24"/>
        </w:rPr>
        <w:footnoteReference w:id="15"/>
      </w:r>
      <w:r>
        <w:rPr>
          <w:rFonts w:ascii="Arial" w:hAnsi="Arial" w:cs="Arial"/>
          <w:sz w:val="24"/>
          <w:szCs w:val="24"/>
        </w:rPr>
        <w:t xml:space="preserve">) </w:t>
      </w:r>
      <w:r w:rsidRPr="00AC5607">
        <w:rPr>
          <w:rFonts w:ascii="Arial" w:hAnsi="Arial" w:cs="Arial"/>
          <w:sz w:val="24"/>
          <w:szCs w:val="24"/>
        </w:rPr>
        <w:t>na dan 31.12.201</w:t>
      </w:r>
      <w:r>
        <w:rPr>
          <w:rFonts w:ascii="Arial" w:hAnsi="Arial" w:cs="Arial"/>
          <w:sz w:val="24"/>
          <w:szCs w:val="24"/>
        </w:rPr>
        <w:t>6</w:t>
      </w:r>
      <w:r w:rsidRPr="00AC5607">
        <w:rPr>
          <w:rFonts w:ascii="Arial" w:hAnsi="Arial" w:cs="Arial"/>
          <w:sz w:val="24"/>
          <w:szCs w:val="24"/>
        </w:rPr>
        <w:t>. godine iznosi  6.</w:t>
      </w:r>
      <w:r>
        <w:rPr>
          <w:rFonts w:ascii="Arial" w:hAnsi="Arial" w:cs="Arial"/>
          <w:sz w:val="24"/>
          <w:szCs w:val="24"/>
        </w:rPr>
        <w:t>523,92</w:t>
      </w:r>
      <w:r w:rsidRPr="00AC5607">
        <w:rPr>
          <w:rFonts w:ascii="Arial" w:hAnsi="Arial" w:cs="Arial"/>
          <w:sz w:val="24"/>
          <w:szCs w:val="24"/>
        </w:rPr>
        <w:t xml:space="preserve"> mil. KM,</w:t>
      </w:r>
      <w:r>
        <w:rPr>
          <w:rFonts w:ascii="Arial" w:hAnsi="Arial" w:cs="Arial"/>
          <w:sz w:val="24"/>
          <w:szCs w:val="24"/>
        </w:rPr>
        <w:t xml:space="preserve"> što predstavlja smanjenje za 13,24 mil. KM u odnosu na prethodnu godinu. U navedenom iznosu duga dug Federacije iznosi  </w:t>
      </w:r>
      <w:r w:rsidRPr="00AC5607">
        <w:rPr>
          <w:rFonts w:ascii="Arial" w:hAnsi="Arial" w:cs="Arial"/>
          <w:sz w:val="24"/>
          <w:szCs w:val="24"/>
        </w:rPr>
        <w:t>3.8</w:t>
      </w:r>
      <w:r>
        <w:rPr>
          <w:rFonts w:ascii="Arial" w:hAnsi="Arial" w:cs="Arial"/>
          <w:sz w:val="24"/>
          <w:szCs w:val="24"/>
        </w:rPr>
        <w:t>46,14</w:t>
      </w:r>
      <w:r w:rsidRPr="00AC56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mil. KM </w:t>
      </w:r>
      <w:r>
        <w:rPr>
          <w:rFonts w:ascii="Arial" w:hAnsi="Arial" w:cs="Arial"/>
          <w:sz w:val="24"/>
          <w:szCs w:val="24"/>
        </w:rPr>
        <w:t xml:space="preserve">, što je </w:t>
      </w:r>
      <w:r>
        <w:rPr>
          <w:rFonts w:ascii="Arial" w:hAnsi="Arial" w:cs="Arial"/>
          <w:bCs/>
          <w:sz w:val="24"/>
          <w:szCs w:val="24"/>
        </w:rPr>
        <w:t>58,95% ukupnog duga u Federaciji. Učešće kantona u ukupnom dugu iznosi 7,34% (</w:t>
      </w:r>
      <w:r>
        <w:rPr>
          <w:rFonts w:ascii="Arial" w:hAnsi="Arial" w:cs="Arial"/>
          <w:sz w:val="24"/>
          <w:szCs w:val="24"/>
        </w:rPr>
        <w:t>478,68</w:t>
      </w:r>
      <w:r w:rsidRPr="00AC5607">
        <w:rPr>
          <w:rFonts w:ascii="Arial" w:hAnsi="Arial" w:cs="Arial"/>
          <w:sz w:val="24"/>
          <w:szCs w:val="24"/>
        </w:rPr>
        <w:t xml:space="preserve"> </w:t>
      </w:r>
      <w:r w:rsidRPr="00AC5607">
        <w:rPr>
          <w:rFonts w:ascii="Arial" w:hAnsi="Arial" w:cs="Arial"/>
          <w:bCs/>
          <w:sz w:val="24"/>
          <w:szCs w:val="24"/>
        </w:rPr>
        <w:t>mil. KM</w:t>
      </w:r>
      <w:r>
        <w:rPr>
          <w:rFonts w:ascii="Arial" w:hAnsi="Arial" w:cs="Arial"/>
          <w:bCs/>
          <w:sz w:val="24"/>
          <w:szCs w:val="24"/>
        </w:rPr>
        <w:t>)</w:t>
      </w:r>
      <w:r w:rsidRPr="00AC5607">
        <w:rPr>
          <w:rFonts w:ascii="Arial" w:hAnsi="Arial" w:cs="Arial"/>
          <w:bCs/>
          <w:sz w:val="24"/>
          <w:szCs w:val="24"/>
        </w:rPr>
        <w:t>, općin</w:t>
      </w:r>
      <w:r>
        <w:rPr>
          <w:rFonts w:ascii="Arial" w:hAnsi="Arial" w:cs="Arial"/>
          <w:bCs/>
          <w:sz w:val="24"/>
          <w:szCs w:val="24"/>
        </w:rPr>
        <w:t>a i gradova</w:t>
      </w:r>
      <w:r w:rsidRPr="00AC560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2,74% (</w:t>
      </w:r>
      <w:r>
        <w:rPr>
          <w:rFonts w:ascii="Arial" w:hAnsi="Arial" w:cs="Arial"/>
          <w:sz w:val="24"/>
          <w:szCs w:val="24"/>
        </w:rPr>
        <w:t>178,50</w:t>
      </w:r>
      <w:r w:rsidRPr="00AC5607">
        <w:rPr>
          <w:rFonts w:ascii="Arial" w:hAnsi="Arial" w:cs="Arial"/>
          <w:sz w:val="24"/>
          <w:szCs w:val="24"/>
        </w:rPr>
        <w:t xml:space="preserve"> </w:t>
      </w:r>
      <w:r w:rsidRPr="00AC5607">
        <w:rPr>
          <w:rFonts w:ascii="Arial" w:hAnsi="Arial" w:cs="Arial"/>
          <w:bCs/>
          <w:sz w:val="24"/>
          <w:szCs w:val="24"/>
        </w:rPr>
        <w:t>mil. KM</w:t>
      </w:r>
      <w:r>
        <w:rPr>
          <w:rFonts w:ascii="Arial" w:hAnsi="Arial" w:cs="Arial"/>
          <w:bCs/>
          <w:sz w:val="24"/>
          <w:szCs w:val="24"/>
        </w:rPr>
        <w:t>), a</w:t>
      </w:r>
      <w:r w:rsidRPr="00AC5607">
        <w:rPr>
          <w:rFonts w:ascii="Arial" w:hAnsi="Arial" w:cs="Arial"/>
          <w:bCs/>
          <w:sz w:val="24"/>
          <w:szCs w:val="24"/>
        </w:rPr>
        <w:t xml:space="preserve"> javnih preduzeća i ostalih  korisnika </w:t>
      </w:r>
      <w:r>
        <w:rPr>
          <w:rFonts w:ascii="Arial" w:hAnsi="Arial" w:cs="Arial"/>
          <w:bCs/>
          <w:sz w:val="24"/>
          <w:szCs w:val="24"/>
        </w:rPr>
        <w:t>30,97% (</w:t>
      </w:r>
      <w:r w:rsidRPr="00AC5607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20,60</w:t>
      </w:r>
      <w:r w:rsidRPr="00AC5607">
        <w:rPr>
          <w:rFonts w:ascii="Arial" w:hAnsi="Arial" w:cs="Arial"/>
          <w:sz w:val="24"/>
          <w:szCs w:val="24"/>
        </w:rPr>
        <w:t xml:space="preserve"> mil. KM</w:t>
      </w:r>
      <w:r>
        <w:rPr>
          <w:rFonts w:ascii="Arial" w:hAnsi="Arial" w:cs="Arial"/>
          <w:sz w:val="24"/>
          <w:szCs w:val="24"/>
        </w:rPr>
        <w:t>)</w:t>
      </w:r>
      <w:r w:rsidRPr="00AC5607">
        <w:rPr>
          <w:rFonts w:ascii="Arial" w:hAnsi="Arial" w:cs="Arial"/>
          <w:sz w:val="24"/>
          <w:szCs w:val="24"/>
        </w:rPr>
        <w:t xml:space="preserve">. </w:t>
      </w:r>
    </w:p>
    <w:p w:rsidR="00225F9C" w:rsidRDefault="00225F9C" w:rsidP="00225F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073" w:type="dxa"/>
        <w:jc w:val="center"/>
        <w:tblLook w:val="04A0" w:firstRow="1" w:lastRow="0" w:firstColumn="1" w:lastColumn="0" w:noHBand="0" w:noVBand="1"/>
      </w:tblPr>
      <w:tblGrid>
        <w:gridCol w:w="5524"/>
        <w:gridCol w:w="1276"/>
        <w:gridCol w:w="1134"/>
        <w:gridCol w:w="1139"/>
      </w:tblGrid>
      <w:tr w:rsidR="00225F9C" w:rsidRPr="00F475AC" w:rsidTr="00956169">
        <w:trPr>
          <w:trHeight w:val="263"/>
          <w:jc w:val="center"/>
        </w:trPr>
        <w:tc>
          <w:tcPr>
            <w:tcW w:w="90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5F9C" w:rsidRPr="003406CE" w:rsidRDefault="00225F9C" w:rsidP="00956169">
            <w:pPr>
              <w:rPr>
                <w:rFonts w:ascii="Arial" w:hAnsi="Arial" w:cs="Arial"/>
                <w:b/>
                <w:bCs/>
              </w:rPr>
            </w:pPr>
            <w:r w:rsidRPr="00AC5607">
              <w:rPr>
                <w:rFonts w:ascii="Arial" w:hAnsi="Arial" w:cs="Arial"/>
                <w:sz w:val="24"/>
                <w:szCs w:val="24"/>
              </w:rPr>
              <w:t>Struktura duga</w:t>
            </w:r>
            <w:r>
              <w:rPr>
                <w:rFonts w:ascii="Arial" w:hAnsi="Arial" w:cs="Arial"/>
                <w:sz w:val="24"/>
                <w:szCs w:val="24"/>
              </w:rPr>
              <w:t xml:space="preserve"> u</w:t>
            </w:r>
            <w:r w:rsidRPr="00AC5607">
              <w:rPr>
                <w:rFonts w:ascii="Arial" w:hAnsi="Arial" w:cs="Arial"/>
                <w:sz w:val="24"/>
                <w:szCs w:val="24"/>
              </w:rPr>
              <w:t xml:space="preserve"> Federacij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AC5607">
              <w:rPr>
                <w:rFonts w:ascii="Arial" w:hAnsi="Arial" w:cs="Arial"/>
                <w:sz w:val="24"/>
                <w:szCs w:val="24"/>
              </w:rPr>
              <w:t xml:space="preserve"> BiH u periodu 2014. - 2016. godina (u mil</w:t>
            </w:r>
            <w:r w:rsidR="0095616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AC5607">
              <w:rPr>
                <w:rFonts w:ascii="Arial" w:hAnsi="Arial" w:cs="Arial"/>
                <w:sz w:val="24"/>
                <w:szCs w:val="24"/>
              </w:rPr>
              <w:t>KM)</w:t>
            </w:r>
          </w:p>
        </w:tc>
      </w:tr>
      <w:tr w:rsidR="00225F9C" w:rsidRPr="00F475AC" w:rsidTr="00956169">
        <w:trPr>
          <w:trHeight w:val="480"/>
          <w:jc w:val="center"/>
        </w:trPr>
        <w:tc>
          <w:tcPr>
            <w:tcW w:w="5524" w:type="dxa"/>
            <w:shd w:val="clear" w:color="auto" w:fill="C00000"/>
            <w:vAlign w:val="center"/>
          </w:tcPr>
          <w:p w:rsidR="00225F9C" w:rsidRPr="00FF5068" w:rsidRDefault="00225F9C" w:rsidP="00956169">
            <w:pPr>
              <w:jc w:val="center"/>
              <w:rPr>
                <w:rFonts w:ascii="Arial" w:hAnsi="Arial" w:cs="Arial"/>
                <w:b/>
                <w:bCs/>
              </w:rPr>
            </w:pPr>
            <w:r w:rsidRPr="00FF5068">
              <w:rPr>
                <w:rFonts w:ascii="Arial" w:hAnsi="Arial" w:cs="Arial"/>
                <w:b/>
                <w:bCs/>
              </w:rPr>
              <w:t>Opis</w:t>
            </w:r>
          </w:p>
        </w:tc>
        <w:tc>
          <w:tcPr>
            <w:tcW w:w="1276" w:type="dxa"/>
            <w:shd w:val="clear" w:color="auto" w:fill="C00000"/>
            <w:vAlign w:val="center"/>
          </w:tcPr>
          <w:p w:rsidR="00225F9C" w:rsidRPr="003406CE" w:rsidRDefault="00225F9C" w:rsidP="00956169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2014.</w:t>
            </w:r>
          </w:p>
        </w:tc>
        <w:tc>
          <w:tcPr>
            <w:tcW w:w="1134" w:type="dxa"/>
            <w:shd w:val="clear" w:color="auto" w:fill="C00000"/>
            <w:vAlign w:val="center"/>
          </w:tcPr>
          <w:p w:rsidR="00225F9C" w:rsidRPr="003406CE" w:rsidRDefault="00225F9C" w:rsidP="00956169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2015.</w:t>
            </w:r>
          </w:p>
        </w:tc>
        <w:tc>
          <w:tcPr>
            <w:tcW w:w="1139" w:type="dxa"/>
            <w:shd w:val="clear" w:color="auto" w:fill="C00000"/>
            <w:vAlign w:val="center"/>
          </w:tcPr>
          <w:p w:rsidR="00225F9C" w:rsidRPr="003406CE" w:rsidRDefault="00225F9C" w:rsidP="00956169">
            <w:pPr>
              <w:jc w:val="center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2016.</w:t>
            </w:r>
          </w:p>
        </w:tc>
      </w:tr>
      <w:tr w:rsidR="00225F9C" w:rsidRPr="00F475AC" w:rsidTr="00956169">
        <w:trPr>
          <w:trHeight w:val="270"/>
          <w:jc w:val="center"/>
        </w:trPr>
        <w:tc>
          <w:tcPr>
            <w:tcW w:w="5524" w:type="dxa"/>
            <w:shd w:val="clear" w:color="auto" w:fill="E5B8B7" w:themeFill="accent2" w:themeFillTint="66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1. Unutarnji dug u Federaciji BiH</w:t>
            </w:r>
          </w:p>
        </w:tc>
        <w:tc>
          <w:tcPr>
            <w:tcW w:w="1276" w:type="dxa"/>
            <w:shd w:val="clear" w:color="auto" w:fill="E5B8B7" w:themeFill="accent2" w:themeFillTint="66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1.109,04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1.263,55</w:t>
            </w:r>
          </w:p>
        </w:tc>
        <w:tc>
          <w:tcPr>
            <w:tcW w:w="1139" w:type="dxa"/>
            <w:shd w:val="clear" w:color="auto" w:fill="E5B8B7" w:themeFill="accent2" w:themeFillTint="66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</w:rPr>
            </w:pPr>
            <w:r w:rsidRPr="003406CE">
              <w:rPr>
                <w:rFonts w:ascii="Arial" w:hAnsi="Arial" w:cs="Arial"/>
                <w:b/>
              </w:rPr>
              <w:t>1.273,67</w:t>
            </w:r>
          </w:p>
        </w:tc>
      </w:tr>
      <w:tr w:rsidR="00225F9C" w:rsidRPr="00F475AC" w:rsidTr="00956169">
        <w:trPr>
          <w:trHeight w:val="268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1.1. Unutarnji dug Federacije</w:t>
            </w:r>
            <w:r w:rsidRPr="00FF5068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szCs w:val="20"/>
                <w:lang w:val="bs-Latn-BA"/>
              </w:rPr>
              <w:footnoteReference w:id="16"/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888,13</w:t>
            </w:r>
          </w:p>
        </w:tc>
        <w:tc>
          <w:tcPr>
            <w:tcW w:w="1134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1.027,58</w:t>
            </w:r>
          </w:p>
        </w:tc>
        <w:tc>
          <w:tcPr>
            <w:tcW w:w="1139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1.016,99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1.3. Unutarnji dug kantona</w:t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167,18</w:t>
            </w:r>
          </w:p>
        </w:tc>
        <w:tc>
          <w:tcPr>
            <w:tcW w:w="1134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174,46</w:t>
            </w:r>
          </w:p>
        </w:tc>
        <w:tc>
          <w:tcPr>
            <w:tcW w:w="1139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199,87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1.4. Unutarnji dug općina i gradova</w:t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53,74</w:t>
            </w:r>
          </w:p>
        </w:tc>
        <w:tc>
          <w:tcPr>
            <w:tcW w:w="1134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61,51</w:t>
            </w:r>
          </w:p>
        </w:tc>
        <w:tc>
          <w:tcPr>
            <w:tcW w:w="1139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57,01</w:t>
            </w:r>
          </w:p>
        </w:tc>
      </w:tr>
      <w:tr w:rsidR="00225F9C" w:rsidRPr="00F475AC" w:rsidTr="00956169">
        <w:trPr>
          <w:trHeight w:val="314"/>
          <w:jc w:val="center"/>
        </w:trPr>
        <w:tc>
          <w:tcPr>
            <w:tcW w:w="5524" w:type="dxa"/>
            <w:shd w:val="clear" w:color="auto" w:fill="E5B8B7" w:themeFill="accent2" w:themeFillTint="66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2. Vanjski dug u Federaciji BiH</w:t>
            </w:r>
          </w:p>
        </w:tc>
        <w:tc>
          <w:tcPr>
            <w:tcW w:w="1276" w:type="dxa"/>
            <w:shd w:val="clear" w:color="auto" w:fill="E5B8B7" w:themeFill="accent2" w:themeFillTint="66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5.143,90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5.273,61</w:t>
            </w:r>
          </w:p>
        </w:tc>
        <w:tc>
          <w:tcPr>
            <w:tcW w:w="1139" w:type="dxa"/>
            <w:shd w:val="clear" w:color="auto" w:fill="E5B8B7" w:themeFill="accent2" w:themeFillTint="66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5.250,05</w:t>
            </w:r>
          </w:p>
        </w:tc>
      </w:tr>
      <w:tr w:rsidR="00225F9C" w:rsidRPr="00F475AC" w:rsidTr="00956169">
        <w:trPr>
          <w:trHeight w:val="287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2.1.Vanjski dug Federacije</w:t>
            </w:r>
            <w:r w:rsidRPr="00FF5068">
              <w:rPr>
                <w:rStyle w:val="FootnoteReference"/>
                <w:rFonts w:ascii="Arial" w:hAnsi="Arial" w:cs="Arial"/>
              </w:rPr>
              <w:footnoteReference w:id="17"/>
            </w:r>
            <w:r w:rsidRPr="00FF50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2.800,31</w:t>
            </w:r>
          </w:p>
        </w:tc>
        <w:tc>
          <w:tcPr>
            <w:tcW w:w="1134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2.825,99</w:t>
            </w:r>
          </w:p>
        </w:tc>
        <w:tc>
          <w:tcPr>
            <w:tcW w:w="1139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2.829,15</w:t>
            </w:r>
          </w:p>
        </w:tc>
      </w:tr>
      <w:tr w:rsidR="00225F9C" w:rsidRPr="00F475AC" w:rsidTr="00956169">
        <w:trPr>
          <w:trHeight w:val="264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2.2.Vanjski dug kantona</w:t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254,24</w:t>
            </w:r>
          </w:p>
        </w:tc>
        <w:tc>
          <w:tcPr>
            <w:tcW w:w="1134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290,74</w:t>
            </w:r>
          </w:p>
        </w:tc>
        <w:tc>
          <w:tcPr>
            <w:tcW w:w="1139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278,81</w:t>
            </w:r>
          </w:p>
        </w:tc>
      </w:tr>
      <w:tr w:rsidR="00225F9C" w:rsidRPr="00F475AC" w:rsidTr="00956169">
        <w:trPr>
          <w:trHeight w:val="268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2.3.Vanjski dug općina i gradova</w:t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99,40</w:t>
            </w:r>
          </w:p>
        </w:tc>
        <w:tc>
          <w:tcPr>
            <w:tcW w:w="1134" w:type="dxa"/>
            <w:vAlign w:val="bottom"/>
            <w:hideMark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106,30</w:t>
            </w:r>
          </w:p>
        </w:tc>
        <w:tc>
          <w:tcPr>
            <w:tcW w:w="1139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121,49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2.4.Vanjski dug javnih preduzeća i ostalih korisnika</w:t>
            </w:r>
          </w:p>
        </w:tc>
        <w:tc>
          <w:tcPr>
            <w:tcW w:w="1276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1.989,95</w:t>
            </w:r>
          </w:p>
        </w:tc>
        <w:tc>
          <w:tcPr>
            <w:tcW w:w="1134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Cs/>
              </w:rPr>
            </w:pPr>
            <w:r w:rsidRPr="003406CE">
              <w:rPr>
                <w:rFonts w:ascii="Arial" w:hAnsi="Arial" w:cs="Arial"/>
                <w:bCs/>
              </w:rPr>
              <w:t>2.050,58</w:t>
            </w:r>
          </w:p>
        </w:tc>
        <w:tc>
          <w:tcPr>
            <w:tcW w:w="1139" w:type="dxa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  <w:bCs/>
              </w:rPr>
            </w:pPr>
            <w:r w:rsidRPr="003406CE">
              <w:rPr>
                <w:rFonts w:ascii="Arial" w:hAnsi="Arial" w:cs="Arial"/>
                <w:b/>
                <w:bCs/>
              </w:rPr>
              <w:t>2.020,60</w:t>
            </w:r>
          </w:p>
        </w:tc>
      </w:tr>
      <w:tr w:rsidR="00225F9C" w:rsidRPr="00F475AC" w:rsidTr="00956169">
        <w:trPr>
          <w:trHeight w:val="292"/>
          <w:jc w:val="center"/>
        </w:trPr>
        <w:tc>
          <w:tcPr>
            <w:tcW w:w="5524" w:type="dxa"/>
            <w:shd w:val="clear" w:color="auto" w:fill="E5B8B7" w:themeFill="accent2" w:themeFillTint="66"/>
            <w:vAlign w:val="bottom"/>
            <w:hideMark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3. Ukup</w:t>
            </w:r>
            <w:r>
              <w:rPr>
                <w:rFonts w:ascii="Arial" w:hAnsi="Arial" w:cs="Arial"/>
              </w:rPr>
              <w:t>no -</w:t>
            </w:r>
            <w:r w:rsidRPr="00FF5068">
              <w:rPr>
                <w:rFonts w:ascii="Arial" w:hAnsi="Arial" w:cs="Arial"/>
              </w:rPr>
              <w:t xml:space="preserve"> dug u Federaciji BiH</w:t>
            </w:r>
          </w:p>
        </w:tc>
        <w:tc>
          <w:tcPr>
            <w:tcW w:w="1276" w:type="dxa"/>
            <w:shd w:val="clear" w:color="auto" w:fill="E5B8B7" w:themeFill="accent2" w:themeFillTint="66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6.252,95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  <w:bCs/>
              </w:rPr>
              <w:t>6.537,16</w:t>
            </w:r>
          </w:p>
        </w:tc>
        <w:tc>
          <w:tcPr>
            <w:tcW w:w="1139" w:type="dxa"/>
            <w:shd w:val="clear" w:color="auto" w:fill="E5B8B7" w:themeFill="accent2" w:themeFillTint="66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</w:rPr>
            </w:pPr>
            <w:r w:rsidRPr="003406CE">
              <w:rPr>
                <w:rFonts w:ascii="Arial" w:hAnsi="Arial" w:cs="Arial"/>
                <w:b/>
              </w:rPr>
              <w:t>6.523,92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shd w:val="clear" w:color="auto" w:fill="auto"/>
            <w:vAlign w:val="bottom"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3.1. Ukup</w:t>
            </w:r>
            <w:r>
              <w:rPr>
                <w:rFonts w:ascii="Arial" w:hAnsi="Arial" w:cs="Arial"/>
              </w:rPr>
              <w:t>no -</w:t>
            </w:r>
            <w:r w:rsidRPr="00FF5068">
              <w:rPr>
                <w:rFonts w:ascii="Arial" w:hAnsi="Arial" w:cs="Arial"/>
              </w:rPr>
              <w:t xml:space="preserve"> dug Federacije BiH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3.688,44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  <w:bCs/>
              </w:rPr>
              <w:t>3.853,57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</w:rPr>
            </w:pPr>
            <w:r w:rsidRPr="003406CE">
              <w:rPr>
                <w:rFonts w:ascii="Arial" w:hAnsi="Arial" w:cs="Arial"/>
                <w:b/>
              </w:rPr>
              <w:t>3.846,14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shd w:val="clear" w:color="auto" w:fill="auto"/>
            <w:vAlign w:val="bottom"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 w:rsidRPr="00FF5068">
              <w:rPr>
                <w:rFonts w:ascii="Arial" w:hAnsi="Arial" w:cs="Arial"/>
              </w:rPr>
              <w:t>3.2. Ukup</w:t>
            </w:r>
            <w:r>
              <w:rPr>
                <w:rFonts w:ascii="Arial" w:hAnsi="Arial" w:cs="Arial"/>
              </w:rPr>
              <w:t>no -</w:t>
            </w:r>
            <w:r w:rsidRPr="00FF5068">
              <w:rPr>
                <w:rFonts w:ascii="Arial" w:hAnsi="Arial" w:cs="Arial"/>
              </w:rPr>
              <w:t xml:space="preserve"> dug kantona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421,41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  <w:bCs/>
              </w:rPr>
              <w:t>465,20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</w:rPr>
            </w:pPr>
            <w:r w:rsidRPr="003406CE">
              <w:rPr>
                <w:rFonts w:ascii="Arial" w:hAnsi="Arial" w:cs="Arial"/>
                <w:b/>
              </w:rPr>
              <w:t>478,68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shd w:val="clear" w:color="auto" w:fill="auto"/>
            <w:vAlign w:val="bottom"/>
          </w:tcPr>
          <w:p w:rsidR="00225F9C" w:rsidRPr="00FF5068" w:rsidRDefault="00225F9C" w:rsidP="009561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 Ukupno -</w:t>
            </w:r>
            <w:r w:rsidRPr="00FF5068">
              <w:rPr>
                <w:rFonts w:ascii="Arial" w:hAnsi="Arial" w:cs="Arial"/>
              </w:rPr>
              <w:t xml:space="preserve"> dug općina i gradova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153,14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  <w:bCs/>
              </w:rPr>
              <w:t>167,81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</w:rPr>
            </w:pPr>
            <w:r w:rsidRPr="003406CE">
              <w:rPr>
                <w:rFonts w:ascii="Arial" w:hAnsi="Arial" w:cs="Arial"/>
                <w:b/>
              </w:rPr>
              <w:t>178,50</w:t>
            </w:r>
          </w:p>
        </w:tc>
      </w:tr>
      <w:tr w:rsidR="00225F9C" w:rsidRPr="00F475AC" w:rsidTr="00956169">
        <w:trPr>
          <w:trHeight w:val="57"/>
          <w:jc w:val="center"/>
        </w:trPr>
        <w:tc>
          <w:tcPr>
            <w:tcW w:w="5524" w:type="dxa"/>
            <w:shd w:val="clear" w:color="auto" w:fill="auto"/>
            <w:vAlign w:val="bottom"/>
          </w:tcPr>
          <w:p w:rsidR="00225F9C" w:rsidRPr="00F475AC" w:rsidRDefault="00225F9C" w:rsidP="00956169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3.4. Ukupno -</w:t>
            </w:r>
            <w:r w:rsidRPr="003406CE">
              <w:rPr>
                <w:rFonts w:ascii="Arial" w:hAnsi="Arial" w:cs="Arial"/>
              </w:rPr>
              <w:t xml:space="preserve"> dug javnih preduzeća i ostalih korisnika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</w:rPr>
              <w:t>1.989,95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</w:rPr>
            </w:pPr>
            <w:r w:rsidRPr="003406CE">
              <w:rPr>
                <w:rFonts w:ascii="Arial" w:hAnsi="Arial" w:cs="Arial"/>
                <w:bCs/>
              </w:rPr>
              <w:t>2.050,58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225F9C" w:rsidRPr="003406CE" w:rsidRDefault="00225F9C" w:rsidP="00956169">
            <w:pPr>
              <w:jc w:val="right"/>
              <w:rPr>
                <w:rFonts w:ascii="Arial" w:hAnsi="Arial" w:cs="Arial"/>
                <w:b/>
              </w:rPr>
            </w:pPr>
            <w:r w:rsidRPr="003406CE">
              <w:rPr>
                <w:rFonts w:ascii="Arial" w:hAnsi="Arial" w:cs="Arial"/>
                <w:b/>
              </w:rPr>
              <w:t>2.020,60</w:t>
            </w:r>
          </w:p>
        </w:tc>
      </w:tr>
    </w:tbl>
    <w:p w:rsidR="00225F9C" w:rsidRPr="00AC5607" w:rsidRDefault="00225F9C" w:rsidP="00225F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5F9C" w:rsidRPr="00294CC5" w:rsidRDefault="00225F9C" w:rsidP="00F01A5E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</w:t>
      </w:r>
      <w:r w:rsidRPr="00F26C35">
        <w:rPr>
          <w:rFonts w:ascii="Arial" w:hAnsi="Arial" w:cs="Arial"/>
          <w:i/>
          <w:sz w:val="24"/>
          <w:szCs w:val="24"/>
        </w:rPr>
        <w:t>ug Federacije BiH</w:t>
      </w:r>
      <w:r w:rsidRPr="00294CC5">
        <w:rPr>
          <w:rFonts w:ascii="Arial" w:hAnsi="Arial" w:cs="Arial"/>
          <w:sz w:val="24"/>
          <w:szCs w:val="24"/>
        </w:rPr>
        <w:t xml:space="preserve"> na dan 31.12.2016. godine</w:t>
      </w:r>
      <w:r>
        <w:rPr>
          <w:rFonts w:ascii="Arial" w:hAnsi="Arial" w:cs="Arial"/>
          <w:sz w:val="24"/>
          <w:szCs w:val="24"/>
        </w:rPr>
        <w:t xml:space="preserve"> u</w:t>
      </w:r>
      <w:r w:rsidRPr="00294CC5">
        <w:rPr>
          <w:rFonts w:ascii="Arial" w:hAnsi="Arial" w:cs="Arial"/>
          <w:sz w:val="24"/>
          <w:szCs w:val="24"/>
        </w:rPr>
        <w:t xml:space="preserve"> iznos</w:t>
      </w:r>
      <w:r>
        <w:rPr>
          <w:rFonts w:ascii="Arial" w:hAnsi="Arial" w:cs="Arial"/>
          <w:sz w:val="24"/>
          <w:szCs w:val="24"/>
        </w:rPr>
        <w:t>u od</w:t>
      </w:r>
      <w:r w:rsidRPr="00294CC5">
        <w:rPr>
          <w:rFonts w:ascii="Arial" w:hAnsi="Arial" w:cs="Arial"/>
          <w:sz w:val="24"/>
          <w:szCs w:val="24"/>
        </w:rPr>
        <w:t xml:space="preserve"> 3.846,14 mil. KM </w:t>
      </w:r>
      <w:r>
        <w:rPr>
          <w:rFonts w:ascii="Arial" w:hAnsi="Arial" w:cs="Arial"/>
          <w:sz w:val="24"/>
          <w:szCs w:val="24"/>
        </w:rPr>
        <w:t>(</w:t>
      </w:r>
      <w:r w:rsidRPr="00294CC5">
        <w:rPr>
          <w:rFonts w:ascii="Arial" w:hAnsi="Arial" w:cs="Arial"/>
          <w:sz w:val="24"/>
          <w:szCs w:val="24"/>
        </w:rPr>
        <w:t>20,</w:t>
      </w:r>
      <w:r>
        <w:rPr>
          <w:rFonts w:ascii="Arial" w:hAnsi="Arial" w:cs="Arial"/>
          <w:sz w:val="24"/>
          <w:szCs w:val="24"/>
        </w:rPr>
        <w:t>07</w:t>
      </w:r>
      <w:r w:rsidRPr="00294CC5">
        <w:rPr>
          <w:rFonts w:ascii="Arial" w:hAnsi="Arial" w:cs="Arial"/>
          <w:sz w:val="24"/>
          <w:szCs w:val="24"/>
        </w:rPr>
        <w:t>% BDP-a Federacije BiH</w:t>
      </w:r>
      <w:r w:rsidRPr="00294CC5">
        <w:rPr>
          <w:rStyle w:val="FootnoteReference"/>
          <w:rFonts w:ascii="Arial" w:hAnsi="Arial" w:cs="Arial"/>
          <w:sz w:val="24"/>
          <w:szCs w:val="24"/>
        </w:rPr>
        <w:footnoteReference w:id="18"/>
      </w:r>
      <w:r>
        <w:rPr>
          <w:rFonts w:ascii="Arial" w:hAnsi="Arial" w:cs="Arial"/>
          <w:sz w:val="24"/>
          <w:szCs w:val="24"/>
        </w:rPr>
        <w:t>)</w:t>
      </w:r>
      <w:r w:rsidRPr="00294CC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uključuje </w:t>
      </w:r>
      <w:r w:rsidRPr="00294CC5">
        <w:rPr>
          <w:rFonts w:ascii="Arial" w:hAnsi="Arial" w:cs="Arial"/>
          <w:sz w:val="24"/>
          <w:szCs w:val="24"/>
        </w:rPr>
        <w:t xml:space="preserve">2.829,15 mil. KM </w:t>
      </w:r>
      <w:r>
        <w:rPr>
          <w:rFonts w:ascii="Arial" w:hAnsi="Arial" w:cs="Arial"/>
          <w:sz w:val="24"/>
          <w:szCs w:val="24"/>
        </w:rPr>
        <w:t>vanjskog</w:t>
      </w:r>
      <w:r w:rsidRPr="00294CC5">
        <w:rPr>
          <w:rFonts w:ascii="Arial" w:hAnsi="Arial" w:cs="Arial"/>
          <w:sz w:val="24"/>
          <w:szCs w:val="24"/>
        </w:rPr>
        <w:t xml:space="preserve"> dug</w:t>
      </w:r>
      <w:r>
        <w:rPr>
          <w:rFonts w:ascii="Arial" w:hAnsi="Arial" w:cs="Arial"/>
          <w:sz w:val="24"/>
          <w:szCs w:val="24"/>
        </w:rPr>
        <w:t>a</w:t>
      </w:r>
      <w:r w:rsidRPr="00294CC5">
        <w:rPr>
          <w:rFonts w:ascii="Arial" w:hAnsi="Arial" w:cs="Arial"/>
          <w:sz w:val="24"/>
          <w:szCs w:val="24"/>
        </w:rPr>
        <w:t xml:space="preserve"> (14,</w:t>
      </w:r>
      <w:r>
        <w:rPr>
          <w:rFonts w:ascii="Arial" w:hAnsi="Arial" w:cs="Arial"/>
          <w:sz w:val="24"/>
          <w:szCs w:val="24"/>
        </w:rPr>
        <w:t>76</w:t>
      </w:r>
      <w:r w:rsidRPr="00294CC5">
        <w:rPr>
          <w:rFonts w:ascii="Arial" w:hAnsi="Arial" w:cs="Arial"/>
          <w:sz w:val="24"/>
          <w:szCs w:val="24"/>
        </w:rPr>
        <w:t xml:space="preserve">% </w:t>
      </w:r>
      <w:r>
        <w:rPr>
          <w:rFonts w:ascii="Arial" w:hAnsi="Arial" w:cs="Arial"/>
          <w:sz w:val="24"/>
          <w:szCs w:val="24"/>
        </w:rPr>
        <w:t>BDP</w:t>
      </w:r>
      <w:r w:rsidRPr="00294CC5">
        <w:rPr>
          <w:rFonts w:ascii="Arial" w:hAnsi="Arial" w:cs="Arial"/>
          <w:sz w:val="24"/>
          <w:szCs w:val="24"/>
        </w:rPr>
        <w:t xml:space="preserve">) i 1.016,9 mil. KM </w:t>
      </w:r>
      <w:r>
        <w:rPr>
          <w:rFonts w:ascii="Arial" w:hAnsi="Arial" w:cs="Arial"/>
          <w:sz w:val="24"/>
          <w:szCs w:val="24"/>
        </w:rPr>
        <w:t>unutarnjeg</w:t>
      </w:r>
      <w:r w:rsidRPr="00294CC5">
        <w:rPr>
          <w:rFonts w:ascii="Arial" w:hAnsi="Arial" w:cs="Arial"/>
          <w:sz w:val="24"/>
          <w:szCs w:val="24"/>
        </w:rPr>
        <w:t xml:space="preserve"> dug</w:t>
      </w:r>
      <w:r>
        <w:rPr>
          <w:rFonts w:ascii="Arial" w:hAnsi="Arial" w:cs="Arial"/>
          <w:sz w:val="24"/>
          <w:szCs w:val="24"/>
        </w:rPr>
        <w:t>a</w:t>
      </w:r>
      <w:r w:rsidRPr="00294CC5">
        <w:rPr>
          <w:rFonts w:ascii="Arial" w:hAnsi="Arial" w:cs="Arial"/>
          <w:sz w:val="24"/>
          <w:szCs w:val="24"/>
        </w:rPr>
        <w:t xml:space="preserve"> (ili 5,3</w:t>
      </w:r>
      <w:r>
        <w:rPr>
          <w:rFonts w:ascii="Arial" w:hAnsi="Arial" w:cs="Arial"/>
          <w:sz w:val="24"/>
          <w:szCs w:val="24"/>
        </w:rPr>
        <w:t>1</w:t>
      </w:r>
      <w:r w:rsidRPr="00294CC5">
        <w:rPr>
          <w:rFonts w:ascii="Arial" w:hAnsi="Arial" w:cs="Arial"/>
          <w:sz w:val="24"/>
          <w:szCs w:val="24"/>
        </w:rPr>
        <w:t xml:space="preserve">% BDP-a). </w:t>
      </w:r>
    </w:p>
    <w:p w:rsidR="00225F9C" w:rsidRPr="006414D9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F26C35">
        <w:rPr>
          <w:rFonts w:ascii="Arial" w:hAnsi="Arial" w:cs="Arial"/>
          <w:i/>
          <w:sz w:val="24"/>
          <w:szCs w:val="24"/>
        </w:rPr>
        <w:lastRenderedPageBreak/>
        <w:t>Dug kantona</w:t>
      </w:r>
      <w:r w:rsidRPr="00E10672">
        <w:rPr>
          <w:rFonts w:ascii="Arial" w:hAnsi="Arial" w:cs="Arial"/>
          <w:sz w:val="24"/>
          <w:szCs w:val="24"/>
        </w:rPr>
        <w:t xml:space="preserve"> na dan 31.12.2016. godine u iznosu </w:t>
      </w:r>
      <w:r w:rsidRPr="006414D9">
        <w:rPr>
          <w:rFonts w:ascii="Arial" w:hAnsi="Arial" w:cs="Arial"/>
          <w:sz w:val="24"/>
          <w:szCs w:val="24"/>
        </w:rPr>
        <w:t>od 478,68 mil. KM (2,5</w:t>
      </w:r>
      <w:r>
        <w:rPr>
          <w:rFonts w:ascii="Arial" w:hAnsi="Arial" w:cs="Arial"/>
          <w:sz w:val="24"/>
          <w:szCs w:val="24"/>
        </w:rPr>
        <w:t>0</w:t>
      </w:r>
      <w:r w:rsidRPr="006414D9">
        <w:rPr>
          <w:rFonts w:ascii="Arial" w:hAnsi="Arial" w:cs="Arial"/>
          <w:sz w:val="24"/>
          <w:szCs w:val="24"/>
        </w:rPr>
        <w:t xml:space="preserve">% </w:t>
      </w:r>
      <w:r w:rsidRPr="00E10672">
        <w:rPr>
          <w:rFonts w:ascii="Arial" w:hAnsi="Arial" w:cs="Arial"/>
          <w:sz w:val="24"/>
          <w:szCs w:val="24"/>
        </w:rPr>
        <w:t xml:space="preserve">BDP) odnosi se na 278,81 mil. KM vanjskog </w:t>
      </w:r>
      <w:r w:rsidRPr="006414D9">
        <w:rPr>
          <w:rFonts w:ascii="Arial" w:hAnsi="Arial" w:cs="Arial"/>
          <w:sz w:val="24"/>
          <w:szCs w:val="24"/>
        </w:rPr>
        <w:t xml:space="preserve">(1,46% </w:t>
      </w:r>
      <w:r w:rsidRPr="00E10672">
        <w:rPr>
          <w:rFonts w:ascii="Arial" w:hAnsi="Arial" w:cs="Arial"/>
          <w:sz w:val="24"/>
          <w:szCs w:val="24"/>
        </w:rPr>
        <w:t xml:space="preserve">BDP-a) i 199,87 mil. KM unutarnjeg duga </w:t>
      </w:r>
      <w:r w:rsidRPr="006414D9">
        <w:rPr>
          <w:rFonts w:ascii="Arial" w:hAnsi="Arial" w:cs="Arial"/>
          <w:sz w:val="24"/>
          <w:szCs w:val="24"/>
        </w:rPr>
        <w:t>( 1,0</w:t>
      </w:r>
      <w:r>
        <w:rPr>
          <w:rFonts w:ascii="Arial" w:hAnsi="Arial" w:cs="Arial"/>
          <w:sz w:val="24"/>
          <w:szCs w:val="24"/>
        </w:rPr>
        <w:t>4%</w:t>
      </w:r>
      <w:r w:rsidRPr="006414D9">
        <w:rPr>
          <w:rFonts w:ascii="Arial" w:hAnsi="Arial" w:cs="Arial"/>
          <w:sz w:val="24"/>
          <w:szCs w:val="24"/>
        </w:rPr>
        <w:t xml:space="preserve"> BDP-a).</w:t>
      </w:r>
    </w:p>
    <w:p w:rsidR="00225F9C" w:rsidRPr="006414D9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CE0F07">
        <w:rPr>
          <w:rFonts w:ascii="Arial" w:hAnsi="Arial" w:cs="Arial"/>
          <w:i/>
          <w:sz w:val="24"/>
          <w:szCs w:val="24"/>
        </w:rPr>
        <w:t>Dug općina i gradova</w:t>
      </w:r>
      <w:r w:rsidRPr="00CE0F07">
        <w:rPr>
          <w:rFonts w:ascii="Arial" w:hAnsi="Arial" w:cs="Arial"/>
          <w:sz w:val="24"/>
          <w:szCs w:val="24"/>
        </w:rPr>
        <w:t xml:space="preserve"> u iznosu od 178,50 mil. KM </w:t>
      </w:r>
      <w:r w:rsidRPr="006414D9">
        <w:rPr>
          <w:rFonts w:ascii="Arial" w:hAnsi="Arial" w:cs="Arial"/>
          <w:sz w:val="24"/>
          <w:szCs w:val="24"/>
        </w:rPr>
        <w:t>(0,9</w:t>
      </w:r>
      <w:r>
        <w:rPr>
          <w:rFonts w:ascii="Arial" w:hAnsi="Arial" w:cs="Arial"/>
          <w:sz w:val="24"/>
          <w:szCs w:val="24"/>
        </w:rPr>
        <w:t>3</w:t>
      </w:r>
      <w:r w:rsidRPr="006414D9">
        <w:rPr>
          <w:rFonts w:ascii="Arial" w:hAnsi="Arial" w:cs="Arial"/>
          <w:sz w:val="24"/>
          <w:szCs w:val="24"/>
        </w:rPr>
        <w:t xml:space="preserve">% BDP-a) odnosi se </w:t>
      </w:r>
      <w:r>
        <w:rPr>
          <w:rFonts w:ascii="Arial" w:hAnsi="Arial" w:cs="Arial"/>
          <w:sz w:val="24"/>
          <w:szCs w:val="24"/>
        </w:rPr>
        <w:t xml:space="preserve">na 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 xml:space="preserve">121,49 mil. KM </w:t>
      </w:r>
      <w:r w:rsidRPr="006414D9">
        <w:rPr>
          <w:rFonts w:ascii="Arial" w:hAnsi="Arial" w:cs="Arial"/>
          <w:sz w:val="24"/>
          <w:szCs w:val="24"/>
        </w:rPr>
        <w:t xml:space="preserve">vanjskog 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(0,6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% BDP) i 57,01 mil. KM unutarnjeg dug (0,</w:t>
      </w:r>
      <w:r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% BDP).</w:t>
      </w:r>
    </w:p>
    <w:p w:rsidR="00225F9C" w:rsidRPr="003116B8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1D55E0">
        <w:rPr>
          <w:rFonts w:ascii="Arial" w:hAnsi="Arial" w:cs="Arial"/>
          <w:i/>
          <w:sz w:val="24"/>
          <w:szCs w:val="24"/>
        </w:rPr>
        <w:t>Dug javnih preduzeća</w:t>
      </w:r>
      <w:r w:rsidRPr="003116B8">
        <w:rPr>
          <w:rFonts w:ascii="Arial" w:hAnsi="Arial" w:cs="Arial"/>
          <w:sz w:val="24"/>
          <w:szCs w:val="24"/>
        </w:rPr>
        <w:t xml:space="preserve"> i ostalih korisnika na 31.12.2016. godine u iznosu od </w:t>
      </w:r>
      <w:r w:rsidRPr="003116B8">
        <w:rPr>
          <w:rFonts w:ascii="Arial" w:eastAsia="Times New Roman" w:hAnsi="Arial" w:cs="Arial"/>
          <w:sz w:val="24"/>
          <w:szCs w:val="24"/>
          <w:lang w:eastAsia="hr-HR"/>
        </w:rPr>
        <w:t xml:space="preserve">2.020,60 mil. KM odnosi se na vanjski dug, što je 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predstavlja 10,</w:t>
      </w:r>
      <w:r>
        <w:rPr>
          <w:rFonts w:ascii="Arial" w:eastAsia="Times New Roman" w:hAnsi="Arial" w:cs="Arial"/>
          <w:sz w:val="24"/>
          <w:szCs w:val="24"/>
          <w:lang w:eastAsia="hr-HR"/>
        </w:rPr>
        <w:t>55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 xml:space="preserve">% u odnosu </w:t>
      </w:r>
      <w:r w:rsidRPr="003116B8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>
        <w:rPr>
          <w:rFonts w:ascii="Arial" w:eastAsia="Times New Roman" w:hAnsi="Arial" w:cs="Arial"/>
          <w:sz w:val="24"/>
          <w:szCs w:val="24"/>
          <w:lang w:eastAsia="hr-HR"/>
        </w:rPr>
        <w:t>BDP</w:t>
      </w:r>
      <w:r w:rsidRPr="003116B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225F9C" w:rsidRPr="006414D9" w:rsidRDefault="00225F9C" w:rsidP="00F01A5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14D9">
        <w:rPr>
          <w:rFonts w:ascii="Arial" w:hAnsi="Arial" w:cs="Arial"/>
          <w:i/>
          <w:sz w:val="24"/>
          <w:szCs w:val="24"/>
        </w:rPr>
        <w:t>Ukupan dug u Federaciji BiH</w:t>
      </w:r>
      <w:r w:rsidRPr="006414D9">
        <w:rPr>
          <w:rFonts w:ascii="Arial" w:hAnsi="Arial" w:cs="Arial"/>
          <w:sz w:val="24"/>
          <w:szCs w:val="24"/>
        </w:rPr>
        <w:t xml:space="preserve"> na dan 31.12.2016. godine u iznosu od  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6.523,92 mil. KM (34,</w:t>
      </w:r>
      <w:r>
        <w:rPr>
          <w:rFonts w:ascii="Arial" w:eastAsia="Times New Roman" w:hAnsi="Arial" w:cs="Arial"/>
          <w:sz w:val="24"/>
          <w:szCs w:val="24"/>
          <w:lang w:eastAsia="hr-HR"/>
        </w:rPr>
        <w:t>05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% BDP-a) odnosi se na vanjski dug u iznosu od 5.250,05 mil. KM (27,</w:t>
      </w:r>
      <w:r>
        <w:rPr>
          <w:rFonts w:ascii="Arial" w:eastAsia="Times New Roman" w:hAnsi="Arial" w:cs="Arial"/>
          <w:sz w:val="24"/>
          <w:szCs w:val="24"/>
          <w:lang w:eastAsia="hr-HR"/>
        </w:rPr>
        <w:t>40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% BDP-a) i na unutarnji dug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 iznosu od 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>1.273,67 mil. KM (6,6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6414D9">
        <w:rPr>
          <w:rFonts w:ascii="Arial" w:eastAsia="Times New Roman" w:hAnsi="Arial" w:cs="Arial"/>
          <w:sz w:val="24"/>
          <w:szCs w:val="24"/>
          <w:lang w:eastAsia="hr-HR"/>
        </w:rPr>
        <w:t xml:space="preserve">% BDP-a). </w:t>
      </w:r>
    </w:p>
    <w:p w:rsidR="00225F9C" w:rsidRDefault="00225F9C" w:rsidP="00F01A5E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116B8">
        <w:rPr>
          <w:rFonts w:ascii="Arial" w:hAnsi="Arial" w:cs="Arial"/>
          <w:sz w:val="24"/>
          <w:szCs w:val="24"/>
        </w:rPr>
        <w:t>Odnos duga prema BDP u 2015. i 2016. godini</w:t>
      </w:r>
    </w:p>
    <w:p w:rsidR="00225F9C" w:rsidRPr="003116B8" w:rsidRDefault="00225F9C" w:rsidP="00225F9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116B8">
        <w:rPr>
          <w:rFonts w:ascii="Arial" w:hAnsi="Arial" w:cs="Arial"/>
          <w:sz w:val="24"/>
          <w:szCs w:val="24"/>
        </w:rPr>
        <w:t xml:space="preserve"> </w:t>
      </w:r>
    </w:p>
    <w:tbl>
      <w:tblPr>
        <w:tblW w:w="9588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1418"/>
        <w:gridCol w:w="889"/>
        <w:gridCol w:w="1237"/>
        <w:gridCol w:w="1418"/>
        <w:gridCol w:w="1134"/>
        <w:gridCol w:w="1134"/>
        <w:gridCol w:w="1276"/>
        <w:gridCol w:w="1082"/>
      </w:tblGrid>
      <w:tr w:rsidR="00225F9C" w:rsidRPr="00F475AC" w:rsidTr="00427873">
        <w:trPr>
          <w:trHeight w:val="31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66657">
              <w:rPr>
                <w:rFonts w:ascii="Arial" w:eastAsia="Times New Roman" w:hAnsi="Arial" w:cs="Arial"/>
                <w:b/>
                <w:bCs/>
                <w:color w:val="C00000"/>
              </w:rPr>
              <w:t>Godina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BDP</w:t>
            </w:r>
            <w:r>
              <w:rPr>
                <w:rStyle w:val="FootnoteReference"/>
                <w:rFonts w:ascii="Arial" w:eastAsia="Times New Roman" w:hAnsi="Arial" w:cs="Arial"/>
              </w:rPr>
              <w:footnoteReference w:id="19"/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 xml:space="preserve">Stanje duga </w:t>
            </w:r>
            <w:r w:rsidRPr="00294CC5">
              <w:rPr>
                <w:rFonts w:ascii="Arial" w:eastAsia="Times New Roman" w:hAnsi="Arial" w:cs="Arial"/>
                <w:bCs/>
              </w:rPr>
              <w:t>(u mil. KM)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>Odnos duga prema BDP</w:t>
            </w:r>
          </w:p>
        </w:tc>
      </w:tr>
      <w:tr w:rsidR="00225F9C" w:rsidRPr="00F475AC" w:rsidTr="00427873">
        <w:trPr>
          <w:trHeight w:val="6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 xml:space="preserve">Vanjski dug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 xml:space="preserve">Unutarnji dug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noWrap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>Vanjski dug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noWrap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>Unutarnji dug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94CC5">
              <w:rPr>
                <w:rFonts w:ascii="Arial" w:eastAsia="Times New Roman" w:hAnsi="Arial" w:cs="Arial"/>
                <w:b/>
                <w:bCs/>
              </w:rPr>
              <w:t>Ukupno</w:t>
            </w:r>
          </w:p>
        </w:tc>
      </w:tr>
      <w:tr w:rsidR="00225F9C" w:rsidRPr="00F475AC" w:rsidTr="00427873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E10672">
              <w:rPr>
                <w:rFonts w:ascii="Arial" w:eastAsia="Times New Roman" w:hAnsi="Arial" w:cs="Arial"/>
                <w:b/>
                <w:bCs/>
              </w:rPr>
              <w:t>Federacija BiH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F475AC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</w:rPr>
            </w:pPr>
            <w:r w:rsidRPr="00E10672">
              <w:rPr>
                <w:rFonts w:ascii="Arial" w:eastAsia="Times New Roman" w:hAnsi="Arial" w:cs="Arial"/>
              </w:rPr>
              <w:t>19.035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E10672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E10672">
              <w:rPr>
                <w:rFonts w:ascii="Arial" w:eastAsia="Times New Roman" w:hAnsi="Arial" w:cs="Arial"/>
              </w:rPr>
              <w:t>2.829,15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E10672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E10672">
              <w:rPr>
                <w:rFonts w:ascii="Arial" w:eastAsia="Times New Roman" w:hAnsi="Arial" w:cs="Arial"/>
              </w:rPr>
              <w:t>1.016,99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E10672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E10672">
              <w:rPr>
                <w:rFonts w:ascii="Arial" w:eastAsia="Times New Roman" w:hAnsi="Arial" w:cs="Arial"/>
              </w:rPr>
              <w:t>3.846,14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bs-Latn-BA"/>
              </w:rPr>
            </w:pPr>
            <w:r>
              <w:rPr>
                <w:rFonts w:ascii="Arial" w:hAnsi="Arial" w:cs="Arial"/>
                <w:color w:val="000000"/>
              </w:rPr>
              <w:t>14,77%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5,31%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20,07%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31.12.2015.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18.204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2.825,99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1.027,58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E10672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E10672">
              <w:rPr>
                <w:rFonts w:ascii="Arial" w:eastAsia="Times New Roman" w:hAnsi="Arial" w:cs="Arial"/>
              </w:rPr>
              <w:t>3.853,57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5,50%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20,63%</w:t>
            </w:r>
          </w:p>
        </w:tc>
      </w:tr>
      <w:tr w:rsidR="00225F9C" w:rsidRPr="00F475AC" w:rsidTr="00427873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16B8">
              <w:rPr>
                <w:rFonts w:ascii="Arial" w:eastAsia="Times New Roman" w:hAnsi="Arial" w:cs="Arial"/>
                <w:b/>
                <w:bCs/>
              </w:rPr>
              <w:t>Kantoni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19.035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278,81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199,87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E10672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E10672">
              <w:rPr>
                <w:rFonts w:ascii="Arial" w:eastAsia="Times New Roman" w:hAnsi="Arial" w:cs="Arial"/>
              </w:rPr>
              <w:t>478,68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1,46%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1,04%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2,50%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31.12.2015.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18.204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290,74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174,46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E10672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E10672">
              <w:rPr>
                <w:rFonts w:ascii="Arial" w:eastAsia="Times New Roman" w:hAnsi="Arial" w:cs="Arial"/>
              </w:rPr>
              <w:t>465,20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1,56%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0,93%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2,49%</w:t>
            </w:r>
          </w:p>
        </w:tc>
      </w:tr>
      <w:tr w:rsidR="00225F9C" w:rsidRPr="00F475AC" w:rsidTr="00427873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16B8">
              <w:rPr>
                <w:rFonts w:ascii="Arial" w:eastAsia="Times New Roman" w:hAnsi="Arial" w:cs="Arial"/>
                <w:b/>
                <w:bCs/>
              </w:rPr>
              <w:t>Općine i gradovi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19.035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121,49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57,01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CE0F07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E0F07">
              <w:rPr>
                <w:rFonts w:ascii="Arial" w:eastAsia="Times New Roman" w:hAnsi="Arial" w:cs="Arial"/>
              </w:rPr>
              <w:t>178,50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0,63%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0,30%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0,93%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31.12.2015.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18.204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106,30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61,51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CE0F07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CE0F07">
              <w:rPr>
                <w:rFonts w:ascii="Arial" w:eastAsia="Times New Roman" w:hAnsi="Arial" w:cs="Arial"/>
              </w:rPr>
              <w:t>167,81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0,33%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0,90%</w:t>
            </w:r>
          </w:p>
        </w:tc>
      </w:tr>
      <w:tr w:rsidR="00225F9C" w:rsidRPr="00F475AC" w:rsidTr="00427873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16B8">
              <w:rPr>
                <w:rFonts w:ascii="Arial" w:eastAsia="Times New Roman" w:hAnsi="Arial" w:cs="Arial"/>
                <w:b/>
                <w:bCs/>
              </w:rPr>
              <w:t>Javna preduzeća i ostali korisnici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19.035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2.020,60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2.020,60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10,55%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10,55%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31.12.2015.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18.204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2.050,58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2.050,58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10,98%</w:t>
            </w:r>
          </w:p>
        </w:tc>
      </w:tr>
      <w:tr w:rsidR="00225F9C" w:rsidRPr="00F475AC" w:rsidTr="00427873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F475AC">
              <w:rPr>
                <w:rFonts w:ascii="Arial" w:eastAsia="Times New Roman" w:hAnsi="Arial" w:cs="Arial"/>
                <w:color w:val="FF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16B8">
              <w:rPr>
                <w:rFonts w:ascii="Arial" w:eastAsia="Times New Roman" w:hAnsi="Arial" w:cs="Arial"/>
                <w:b/>
                <w:bCs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31.12.2016.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19.035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5.250,05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1.273,67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Pr="00F475AC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</w:rPr>
            </w:pPr>
            <w:r w:rsidRPr="003116B8">
              <w:rPr>
                <w:rFonts w:ascii="Arial" w:eastAsia="Times New Roman" w:hAnsi="Arial" w:cs="Arial"/>
              </w:rPr>
              <w:t>6.523,92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27,40%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6,65%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34,05%</w:t>
            </w:r>
          </w:p>
        </w:tc>
      </w:tr>
      <w:tr w:rsidR="00225F9C" w:rsidRPr="00F475AC" w:rsidTr="00956169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294CC5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94CC5">
              <w:rPr>
                <w:rFonts w:ascii="Arial" w:eastAsia="Times New Roman" w:hAnsi="Arial" w:cs="Arial"/>
              </w:rPr>
              <w:t>31.12.2015.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18.677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5.273,61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Pr="003116B8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3116B8">
              <w:rPr>
                <w:rFonts w:ascii="Arial" w:eastAsia="Times New Roman" w:hAnsi="Arial" w:cs="Arial"/>
              </w:rPr>
              <w:t>1.263,55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Pr="00F475AC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</w:rPr>
            </w:pPr>
            <w:r w:rsidRPr="003116B8">
              <w:rPr>
                <w:rFonts w:ascii="Arial" w:eastAsia="Times New Roman" w:hAnsi="Arial" w:cs="Arial"/>
              </w:rPr>
              <w:t>6.537,16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28,24%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6,77%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F9C" w:rsidRDefault="00225F9C" w:rsidP="0095616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35,00%</w:t>
            </w:r>
          </w:p>
        </w:tc>
      </w:tr>
    </w:tbl>
    <w:p w:rsidR="00225F9C" w:rsidRPr="00427873" w:rsidRDefault="00225F9C" w:rsidP="00225F9C">
      <w:pPr>
        <w:spacing w:before="120" w:after="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</w:p>
    <w:p w:rsidR="00225F9C" w:rsidRPr="00427873" w:rsidRDefault="00E830F2" w:rsidP="00225F9C">
      <w:pPr>
        <w:pStyle w:val="Heading3"/>
        <w:spacing w:before="120" w:after="120" w:line="240" w:lineRule="auto"/>
        <w:rPr>
          <w:rFonts w:ascii="Arial" w:eastAsia="Times New Roman" w:hAnsi="Arial" w:cs="Arial"/>
          <w:color w:val="C00000"/>
          <w:sz w:val="24"/>
          <w:szCs w:val="24"/>
          <w:lang w:eastAsia="ar-SA"/>
        </w:rPr>
      </w:pPr>
      <w:bookmarkStart w:id="31" w:name="_Toc482799263"/>
      <w:r w:rsidRPr="00427873">
        <w:rPr>
          <w:rFonts w:ascii="Arial" w:eastAsia="Times New Roman" w:hAnsi="Arial" w:cs="Arial"/>
          <w:color w:val="C00000"/>
          <w:sz w:val="24"/>
          <w:szCs w:val="24"/>
          <w:lang w:eastAsia="ar-SA"/>
        </w:rPr>
        <w:t xml:space="preserve">5.1.2. </w:t>
      </w:r>
      <w:r w:rsidR="00225F9C" w:rsidRPr="00427873">
        <w:rPr>
          <w:rFonts w:ascii="Arial" w:eastAsia="Times New Roman" w:hAnsi="Arial" w:cs="Arial"/>
          <w:color w:val="C00000"/>
          <w:sz w:val="24"/>
          <w:szCs w:val="24"/>
          <w:lang w:eastAsia="ar-SA"/>
        </w:rPr>
        <w:t>Smjernice za upravljanje dugom</w:t>
      </w:r>
      <w:bookmarkEnd w:id="31"/>
    </w:p>
    <w:p w:rsidR="00225F9C" w:rsidRPr="00AC5607" w:rsidRDefault="00225F9C" w:rsidP="00F01A5E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AC5607">
        <w:rPr>
          <w:rFonts w:ascii="Arial" w:hAnsi="Arial" w:cs="Arial"/>
          <w:sz w:val="24"/>
          <w:szCs w:val="24"/>
          <w:lang w:val="bs-Latn-BA"/>
        </w:rPr>
        <w:t>Za upravljanje dugom Federacije, u skladu sa Zakonom o dugu, zaduživanju i garancijama u Federaciji Bosne i Hercegovine</w:t>
      </w:r>
      <w:r w:rsidRPr="00AC5607">
        <w:rPr>
          <w:rFonts w:ascii="Arial" w:hAnsi="Arial" w:cs="Arial"/>
          <w:sz w:val="24"/>
          <w:szCs w:val="24"/>
          <w:vertAlign w:val="superscript"/>
          <w:lang w:val="bs-Latn-BA"/>
        </w:rPr>
        <w:footnoteReference w:id="20"/>
      </w:r>
      <w:r w:rsidRPr="00AC5607">
        <w:rPr>
          <w:rFonts w:ascii="Arial" w:hAnsi="Arial" w:cs="Arial"/>
          <w:sz w:val="24"/>
          <w:szCs w:val="24"/>
          <w:lang w:val="bs-Latn-BA"/>
        </w:rPr>
        <w:t xml:space="preserve"> nadležno je Federalno ministarstvo finansija-financija, a za upravljanje dugom kantona, gradova i općina Ministarstva finansija kantona, odnosno gradske i općinske službe za finansije. </w:t>
      </w:r>
    </w:p>
    <w:p w:rsidR="00225F9C" w:rsidRPr="00F475AC" w:rsidRDefault="00225F9C" w:rsidP="00F01A5E">
      <w:pPr>
        <w:jc w:val="both"/>
        <w:rPr>
          <w:rFonts w:ascii="Arial" w:hAnsi="Arial" w:cs="Arial"/>
          <w:color w:val="FF0000"/>
        </w:rPr>
      </w:pPr>
      <w:r w:rsidRPr="00AC5607">
        <w:rPr>
          <w:rFonts w:ascii="Arial" w:hAnsi="Arial" w:cs="Arial"/>
          <w:sz w:val="24"/>
          <w:szCs w:val="24"/>
          <w:lang w:val="bs-Latn-BA"/>
        </w:rPr>
        <w:lastRenderedPageBreak/>
        <w:t>Prema izvještajima tehničkih misija relevantnih finansijskih institucija</w:t>
      </w:r>
      <w:r>
        <w:rPr>
          <w:rFonts w:ascii="Arial" w:hAnsi="Arial" w:cs="Arial"/>
          <w:sz w:val="24"/>
          <w:szCs w:val="24"/>
          <w:lang w:val="bs-Latn-BA"/>
        </w:rPr>
        <w:t>,</w:t>
      </w:r>
      <w:r w:rsidRPr="00AC5607">
        <w:rPr>
          <w:rFonts w:ascii="Arial" w:hAnsi="Arial" w:cs="Arial"/>
          <w:sz w:val="24"/>
          <w:szCs w:val="24"/>
          <w:lang w:val="bs-Latn-BA"/>
        </w:rPr>
        <w:t xml:space="preserve"> provedenih u cilju </w:t>
      </w:r>
      <w:r w:rsidRPr="00AC5607">
        <w:rPr>
          <w:rFonts w:ascii="Arial" w:hAnsi="Arial" w:cs="Arial"/>
          <w:sz w:val="24"/>
          <w:szCs w:val="24"/>
        </w:rPr>
        <w:t>procjene perf</w:t>
      </w:r>
      <w:r>
        <w:rPr>
          <w:rFonts w:ascii="Arial" w:hAnsi="Arial" w:cs="Arial"/>
          <w:sz w:val="24"/>
          <w:szCs w:val="24"/>
        </w:rPr>
        <w:t xml:space="preserve">ormansi za upravljanje dugom i </w:t>
      </w:r>
      <w:r w:rsidRPr="00AC5607">
        <w:rPr>
          <w:rFonts w:ascii="Arial" w:hAnsi="Arial" w:cs="Arial"/>
          <w:sz w:val="24"/>
          <w:szCs w:val="24"/>
        </w:rPr>
        <w:t xml:space="preserve"> procjen</w:t>
      </w:r>
      <w:r>
        <w:rPr>
          <w:rFonts w:ascii="Arial" w:hAnsi="Arial" w:cs="Arial"/>
          <w:sz w:val="24"/>
          <w:szCs w:val="24"/>
        </w:rPr>
        <w:t>e</w:t>
      </w:r>
      <w:r w:rsidRPr="00AC5607">
        <w:rPr>
          <w:rFonts w:ascii="Arial" w:hAnsi="Arial" w:cs="Arial"/>
          <w:sz w:val="24"/>
          <w:szCs w:val="24"/>
        </w:rPr>
        <w:t xml:space="preserve"> učinka upravljanja dugom u Federaciji Bosne i Hercegovine,</w:t>
      </w:r>
      <w:r w:rsidRPr="00AC5607">
        <w:rPr>
          <w:rFonts w:ascii="Arial" w:hAnsi="Arial" w:cs="Arial"/>
          <w:sz w:val="24"/>
          <w:szCs w:val="24"/>
          <w:lang w:val="bs-Latn-BA"/>
        </w:rPr>
        <w:t xml:space="preserve"> ključne preporuke</w:t>
      </w:r>
      <w:r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AC5607">
        <w:rPr>
          <w:rFonts w:ascii="Arial" w:hAnsi="Arial" w:cs="Arial"/>
          <w:sz w:val="24"/>
          <w:szCs w:val="24"/>
          <w:lang w:val="bs-Latn-BA"/>
        </w:rPr>
        <w:t xml:space="preserve">se odnose na unaprijeđenje </w:t>
      </w:r>
      <w:r w:rsidRPr="007246AA">
        <w:rPr>
          <w:rFonts w:ascii="Arial" w:hAnsi="Arial" w:cs="Arial"/>
          <w:sz w:val="24"/>
          <w:szCs w:val="24"/>
          <w:lang w:val="bs-Latn-BA"/>
        </w:rPr>
        <w:t xml:space="preserve">pravnog okvira i operativnih kapaciteta Federalnog Ministarstva finansija-financija, te na uspostavljanje adekvarnog sistema za </w:t>
      </w:r>
      <w:r>
        <w:rPr>
          <w:rFonts w:ascii="Arial" w:hAnsi="Arial" w:cs="Arial"/>
          <w:sz w:val="24"/>
          <w:szCs w:val="24"/>
          <w:lang w:val="bs-Latn-BA"/>
        </w:rPr>
        <w:t>evidentiranje</w:t>
      </w:r>
      <w:r w:rsidRPr="007246AA">
        <w:rPr>
          <w:rFonts w:ascii="Arial" w:hAnsi="Arial" w:cs="Arial"/>
          <w:sz w:val="24"/>
          <w:szCs w:val="24"/>
          <w:lang w:val="bs-Latn-BA"/>
        </w:rPr>
        <w:t xml:space="preserve"> i upravljanje dugom. </w:t>
      </w:r>
      <w:r w:rsidRPr="007246AA">
        <w:rPr>
          <w:rFonts w:ascii="Arial" w:hAnsi="Arial" w:cs="Arial"/>
          <w:sz w:val="24"/>
          <w:szCs w:val="24"/>
        </w:rPr>
        <w:t xml:space="preserve">S ciljem povećanja transparentnosti, fiskalne odgovornosti i predvidivosti zaduživanja Vlade Federacije BiH, od 2011. godine se kontinuirano radi na jačanju kapaciteta za upravljanje javnim dugom. Ove aktivnosti se provode uz tehničku pomoć međunarodnih finansijskih institucija. U saradnji sa Svjetskom bankom razvijen je Reformski plan upravljanja dugom, u skladu s kojim </w:t>
      </w:r>
      <w:r w:rsidRPr="00923C88">
        <w:rPr>
          <w:rFonts w:ascii="Arial" w:hAnsi="Arial" w:cs="Arial"/>
          <w:sz w:val="24"/>
          <w:szCs w:val="24"/>
        </w:rPr>
        <w:t>se priprema Strategija upravljanja dugom. Prema Reformskom planu, Federalno ministarstvo finansija, uz pripremu trogodišnje strategije, ima obavezu pripremiti Godišnji plan zaduživanja</w:t>
      </w:r>
      <w:r>
        <w:rPr>
          <w:rFonts w:ascii="Arial" w:hAnsi="Arial" w:cs="Arial"/>
          <w:sz w:val="24"/>
          <w:szCs w:val="24"/>
        </w:rPr>
        <w:t xml:space="preserve"> i kvartalne izvještaje o dugu FBiH</w:t>
      </w:r>
      <w:r w:rsidRPr="00923C88">
        <w:rPr>
          <w:rFonts w:ascii="Arial" w:hAnsi="Arial" w:cs="Arial"/>
          <w:sz w:val="24"/>
          <w:szCs w:val="24"/>
        </w:rPr>
        <w:t>. Izrada Program javnih investicija zakonska je obaveza kako za Vladu Federacije BiH, tako i kantonalne vlade.</w:t>
      </w:r>
    </w:p>
    <w:p w:rsidR="00225F9C" w:rsidRDefault="00225F9C" w:rsidP="00F01A5E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7246AA">
        <w:rPr>
          <w:rFonts w:ascii="Arial" w:hAnsi="Arial" w:cs="Arial"/>
          <w:sz w:val="24"/>
          <w:szCs w:val="24"/>
        </w:rPr>
        <w:t xml:space="preserve">U skladu sa Reformskim planom, </w:t>
      </w:r>
      <w:r>
        <w:rPr>
          <w:rFonts w:ascii="Arial" w:hAnsi="Arial" w:cs="Arial"/>
          <w:sz w:val="24"/>
          <w:szCs w:val="24"/>
        </w:rPr>
        <w:t xml:space="preserve">izvršena je </w:t>
      </w:r>
      <w:r w:rsidRPr="007246AA">
        <w:rPr>
          <w:rFonts w:ascii="Arial" w:hAnsi="Arial" w:cs="Arial"/>
          <w:sz w:val="24"/>
          <w:szCs w:val="24"/>
        </w:rPr>
        <w:t>procjen</w:t>
      </w:r>
      <w:r>
        <w:rPr>
          <w:rFonts w:ascii="Arial" w:hAnsi="Arial" w:cs="Arial"/>
          <w:sz w:val="24"/>
          <w:szCs w:val="24"/>
        </w:rPr>
        <w:t>a</w:t>
      </w:r>
      <w:r w:rsidRPr="007246AA">
        <w:rPr>
          <w:rFonts w:ascii="Arial" w:hAnsi="Arial" w:cs="Arial"/>
          <w:sz w:val="24"/>
          <w:szCs w:val="24"/>
        </w:rPr>
        <w:t xml:space="preserve"> važećeg pravn</w:t>
      </w:r>
      <w:r>
        <w:rPr>
          <w:rFonts w:ascii="Arial" w:hAnsi="Arial" w:cs="Arial"/>
          <w:sz w:val="24"/>
          <w:szCs w:val="24"/>
        </w:rPr>
        <w:t>og okvira za upravljanje dugom i, na osnovu izvršene procjene,</w:t>
      </w:r>
      <w:r w:rsidRPr="007246AA">
        <w:rPr>
          <w:rFonts w:ascii="Arial" w:hAnsi="Arial" w:cs="Arial"/>
          <w:sz w:val="24"/>
          <w:szCs w:val="24"/>
        </w:rPr>
        <w:t xml:space="preserve"> pristupilo </w:t>
      </w:r>
      <w:r>
        <w:rPr>
          <w:rFonts w:ascii="Arial" w:hAnsi="Arial" w:cs="Arial"/>
          <w:sz w:val="24"/>
          <w:szCs w:val="24"/>
        </w:rPr>
        <w:t xml:space="preserve">se izradi novog Zakona </w:t>
      </w:r>
      <w:r w:rsidRPr="007246AA">
        <w:rPr>
          <w:rFonts w:ascii="Arial" w:hAnsi="Arial" w:cs="Arial"/>
          <w:sz w:val="24"/>
          <w:szCs w:val="24"/>
        </w:rPr>
        <w:t>a o dugu, zaduživanju i garancijama u Federaciji BiH</w:t>
      </w:r>
      <w:r>
        <w:rPr>
          <w:rFonts w:ascii="Arial" w:hAnsi="Arial" w:cs="Arial"/>
          <w:sz w:val="24"/>
          <w:szCs w:val="24"/>
        </w:rPr>
        <w:t>.</w:t>
      </w:r>
      <w:r w:rsidRPr="00DF4B26">
        <w:rPr>
          <w:rFonts w:ascii="Arial" w:hAnsi="Arial" w:cs="Arial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U</w:t>
      </w:r>
      <w:r w:rsidRPr="008E64B5">
        <w:rPr>
          <w:rFonts w:ascii="Arial" w:hAnsi="Arial" w:cs="Arial"/>
          <w:sz w:val="24"/>
          <w:szCs w:val="24"/>
          <w:lang w:val="bs-Latn-BA"/>
        </w:rPr>
        <w:t>svajanjem novog Zakona o dugu Vlada F</w:t>
      </w:r>
      <w:r>
        <w:rPr>
          <w:rFonts w:ascii="Arial" w:hAnsi="Arial" w:cs="Arial"/>
          <w:sz w:val="24"/>
          <w:szCs w:val="24"/>
          <w:lang w:val="bs-Latn-BA"/>
        </w:rPr>
        <w:t>ederacije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će, između ostalog, </w:t>
      </w:r>
      <w:r>
        <w:rPr>
          <w:rFonts w:ascii="Arial" w:hAnsi="Arial" w:cs="Arial"/>
          <w:sz w:val="24"/>
          <w:szCs w:val="24"/>
          <w:lang w:val="bs-Latn-BA"/>
        </w:rPr>
        <w:t xml:space="preserve">pojačati </w:t>
      </w:r>
      <w:r w:rsidRPr="008E64B5">
        <w:rPr>
          <w:rFonts w:ascii="Arial" w:hAnsi="Arial" w:cs="Arial"/>
          <w:sz w:val="24"/>
          <w:szCs w:val="24"/>
          <w:lang w:val="bs-Latn-BA"/>
        </w:rPr>
        <w:t>kontro</w:t>
      </w:r>
      <w:r>
        <w:rPr>
          <w:rFonts w:ascii="Arial" w:hAnsi="Arial" w:cs="Arial"/>
          <w:sz w:val="24"/>
          <w:szCs w:val="24"/>
          <w:lang w:val="bs-Latn-BA"/>
        </w:rPr>
        <w:t>lu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nad zaduživanjem nižih nivoa vlasti</w:t>
      </w:r>
    </w:p>
    <w:p w:rsidR="00225F9C" w:rsidRPr="008E64B5" w:rsidRDefault="00225F9C" w:rsidP="00F01A5E">
      <w:pPr>
        <w:spacing w:before="120" w:after="120"/>
        <w:jc w:val="both"/>
        <w:rPr>
          <w:rFonts w:ascii="Arial" w:hAnsi="Arial" w:cs="Arial"/>
          <w:sz w:val="24"/>
          <w:szCs w:val="24"/>
          <w:lang w:val="bs-Latn-BA"/>
        </w:rPr>
      </w:pPr>
      <w:r w:rsidRPr="008E64B5">
        <w:rPr>
          <w:rFonts w:ascii="Arial" w:hAnsi="Arial" w:cs="Arial"/>
          <w:sz w:val="24"/>
          <w:szCs w:val="24"/>
          <w:lang w:val="bs-Latn-BA"/>
        </w:rPr>
        <w:t xml:space="preserve">Novim Zakonom o dugu </w:t>
      </w:r>
      <w:r>
        <w:rPr>
          <w:rFonts w:ascii="Arial" w:hAnsi="Arial" w:cs="Arial"/>
          <w:sz w:val="24"/>
          <w:szCs w:val="24"/>
          <w:lang w:val="bs-Latn-BA"/>
        </w:rPr>
        <w:t>bi se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unaprijedi</w:t>
      </w:r>
      <w:r>
        <w:rPr>
          <w:rFonts w:ascii="Arial" w:hAnsi="Arial" w:cs="Arial"/>
          <w:sz w:val="24"/>
          <w:szCs w:val="24"/>
          <w:lang w:val="bs-Latn-BA"/>
        </w:rPr>
        <w:t>o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proces evidencije duga i garancija; revidira</w:t>
      </w:r>
      <w:r>
        <w:rPr>
          <w:rFonts w:ascii="Arial" w:hAnsi="Arial" w:cs="Arial"/>
          <w:sz w:val="24"/>
          <w:szCs w:val="24"/>
          <w:lang w:val="bs-Latn-BA"/>
        </w:rPr>
        <w:t>li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postojeć</w:t>
      </w:r>
      <w:r>
        <w:rPr>
          <w:rFonts w:ascii="Arial" w:hAnsi="Arial" w:cs="Arial"/>
          <w:sz w:val="24"/>
          <w:szCs w:val="24"/>
          <w:lang w:val="bs-Latn-BA"/>
        </w:rPr>
        <w:t>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limit</w:t>
      </w:r>
      <w:r>
        <w:rPr>
          <w:rFonts w:ascii="Arial" w:hAnsi="Arial" w:cs="Arial"/>
          <w:sz w:val="24"/>
          <w:szCs w:val="24"/>
          <w:lang w:val="bs-Latn-BA"/>
        </w:rPr>
        <w:t>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zaduženosti</w:t>
      </w:r>
      <w:r>
        <w:rPr>
          <w:rFonts w:ascii="Arial" w:hAnsi="Arial" w:cs="Arial"/>
          <w:sz w:val="24"/>
          <w:szCs w:val="24"/>
          <w:lang w:val="bs-Latn-BA"/>
        </w:rPr>
        <w:t xml:space="preserve"> Federacije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i </w:t>
      </w:r>
      <w:r>
        <w:rPr>
          <w:rFonts w:ascii="Arial" w:hAnsi="Arial" w:cs="Arial"/>
          <w:sz w:val="24"/>
          <w:szCs w:val="24"/>
          <w:lang w:val="bs-Latn-BA"/>
        </w:rPr>
        <w:t xml:space="preserve">njene </w:t>
      </w:r>
      <w:r w:rsidRPr="008E64B5">
        <w:rPr>
          <w:rFonts w:ascii="Arial" w:hAnsi="Arial" w:cs="Arial"/>
          <w:sz w:val="24"/>
          <w:szCs w:val="24"/>
          <w:lang w:val="bs-Latn-BA"/>
        </w:rPr>
        <w:t>izloženosti</w:t>
      </w:r>
      <w:r w:rsidRPr="006A18FD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8E64B5">
        <w:rPr>
          <w:rFonts w:ascii="Arial" w:hAnsi="Arial" w:cs="Arial"/>
          <w:sz w:val="24"/>
          <w:szCs w:val="24"/>
          <w:lang w:val="bs-Latn-BA"/>
        </w:rPr>
        <w:t>i to: prema kantonu, gradu i općini, prema jednom sektoru, pravno</w:t>
      </w:r>
      <w:r>
        <w:rPr>
          <w:rFonts w:ascii="Arial" w:hAnsi="Arial" w:cs="Arial"/>
          <w:sz w:val="24"/>
          <w:szCs w:val="24"/>
          <w:lang w:val="bs-Latn-BA"/>
        </w:rPr>
        <w:t>m licu ili grupi povezanih pravnih lica; utvrdile bi se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granice izloženosti kantona, grada i općine prema jednom pravnom licu</w:t>
      </w:r>
      <w:r>
        <w:rPr>
          <w:rFonts w:ascii="Arial" w:hAnsi="Arial" w:cs="Arial"/>
          <w:sz w:val="24"/>
          <w:szCs w:val="24"/>
          <w:lang w:val="bs-Latn-BA"/>
        </w:rPr>
        <w:t>, 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nov</w:t>
      </w:r>
      <w:r>
        <w:rPr>
          <w:rFonts w:ascii="Arial" w:hAnsi="Arial" w:cs="Arial"/>
          <w:sz w:val="24"/>
          <w:szCs w:val="24"/>
          <w:lang w:val="bs-Latn-BA"/>
        </w:rPr>
        <w:t>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limit</w:t>
      </w:r>
      <w:r>
        <w:rPr>
          <w:rFonts w:ascii="Arial" w:hAnsi="Arial" w:cs="Arial"/>
          <w:sz w:val="24"/>
          <w:szCs w:val="24"/>
          <w:lang w:val="bs-Latn-BA"/>
        </w:rPr>
        <w:t>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 xml:space="preserve">zaduženja 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kantona, gradova i općina </w:t>
      </w:r>
      <w:r>
        <w:rPr>
          <w:rFonts w:ascii="Arial" w:hAnsi="Arial" w:cs="Arial"/>
          <w:sz w:val="24"/>
          <w:szCs w:val="24"/>
          <w:lang w:val="bs-Latn-BA"/>
        </w:rPr>
        <w:t>zavisili bi od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 xml:space="preserve">njihove sposobnosti servisiranja obaveza u odnosu na ostvarene </w:t>
      </w:r>
      <w:r w:rsidRPr="008E64B5">
        <w:rPr>
          <w:rFonts w:ascii="Arial" w:hAnsi="Arial" w:cs="Arial"/>
          <w:sz w:val="24"/>
          <w:szCs w:val="24"/>
          <w:lang w:val="bs-Latn-BA"/>
        </w:rPr>
        <w:t>redovne prihode; propisa</w:t>
      </w:r>
      <w:r>
        <w:rPr>
          <w:rFonts w:ascii="Arial" w:hAnsi="Arial" w:cs="Arial"/>
          <w:sz w:val="24"/>
          <w:szCs w:val="24"/>
          <w:lang w:val="bs-Latn-BA"/>
        </w:rPr>
        <w:t>li bi se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pragov</w:t>
      </w:r>
      <w:r>
        <w:rPr>
          <w:rFonts w:ascii="Arial" w:hAnsi="Arial" w:cs="Arial"/>
          <w:sz w:val="24"/>
          <w:szCs w:val="24"/>
          <w:lang w:val="bs-Latn-BA"/>
        </w:rPr>
        <w:t>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zaduženosti u odnosu na </w:t>
      </w:r>
      <w:r>
        <w:rPr>
          <w:rFonts w:ascii="Arial" w:hAnsi="Arial" w:cs="Arial"/>
          <w:sz w:val="24"/>
          <w:szCs w:val="24"/>
          <w:lang w:val="bs-Latn-BA"/>
        </w:rPr>
        <w:t xml:space="preserve">BDP. </w:t>
      </w:r>
      <w:r w:rsidRPr="00C56803">
        <w:rPr>
          <w:rFonts w:ascii="Arial" w:hAnsi="Arial" w:cs="Arial"/>
          <w:sz w:val="24"/>
          <w:szCs w:val="24"/>
          <w:lang w:val="bs-Latn-BA"/>
        </w:rPr>
        <w:t>Kako bi se osiguralo da izvještaji daju preciznu sliku finansijskog položaja i zaduženosti, bitno je da obuhvataju sve finansijske operacije za koje Vlada Federacije, vlade kantona, gradski ili općinski načelnici snose odgovornost</w:t>
      </w:r>
      <w:r>
        <w:rPr>
          <w:rFonts w:ascii="Arial" w:hAnsi="Arial" w:cs="Arial"/>
          <w:sz w:val="24"/>
          <w:szCs w:val="24"/>
          <w:lang w:val="bs-Latn-BA"/>
        </w:rPr>
        <w:t>, kao propisivanje obaveze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smanjenja tekućih rashoda u slučaju da </w:t>
      </w:r>
      <w:r w:rsidRPr="0024323B">
        <w:rPr>
          <w:rFonts w:ascii="Arial" w:hAnsi="Arial" w:cs="Arial"/>
          <w:sz w:val="24"/>
          <w:szCs w:val="24"/>
          <w:lang w:val="bs-Latn-BA"/>
        </w:rPr>
        <w:t>dug Federacije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dosegne </w:t>
      </w:r>
      <w:r>
        <w:rPr>
          <w:rFonts w:ascii="Arial" w:hAnsi="Arial" w:cs="Arial"/>
          <w:sz w:val="24"/>
          <w:szCs w:val="24"/>
          <w:lang w:val="bs-Latn-BA"/>
        </w:rPr>
        <w:t>zakonom propisani limit</w:t>
      </w:r>
      <w:r w:rsidRPr="008E64B5">
        <w:rPr>
          <w:rFonts w:ascii="Arial" w:hAnsi="Arial" w:cs="Arial"/>
          <w:sz w:val="24"/>
          <w:szCs w:val="24"/>
          <w:lang w:val="bs-Latn-BA"/>
        </w:rPr>
        <w:t>.</w:t>
      </w:r>
      <w:r w:rsidRPr="00923C88">
        <w:rPr>
          <w:rFonts w:ascii="Arial" w:hAnsi="Arial" w:cs="Arial"/>
          <w:sz w:val="24"/>
          <w:szCs w:val="24"/>
          <w:lang w:val="bs-Latn-BA"/>
        </w:rPr>
        <w:t xml:space="preserve"> </w:t>
      </w:r>
    </w:p>
    <w:p w:rsidR="00225F9C" w:rsidRDefault="00225F9C" w:rsidP="00F01A5E">
      <w:pPr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</w:rPr>
        <w:t>I</w:t>
      </w:r>
      <w:r w:rsidRPr="007246AA">
        <w:rPr>
          <w:rFonts w:ascii="Arial" w:hAnsi="Arial" w:cs="Arial"/>
          <w:sz w:val="24"/>
          <w:szCs w:val="24"/>
        </w:rPr>
        <w:t>zrada Strategije upravljanja dugom</w:t>
      </w:r>
      <w:r>
        <w:rPr>
          <w:rFonts w:ascii="Arial" w:hAnsi="Arial" w:cs="Arial"/>
          <w:sz w:val="24"/>
          <w:szCs w:val="24"/>
        </w:rPr>
        <w:t>,</w:t>
      </w:r>
      <w:r w:rsidRPr="007246AA">
        <w:rPr>
          <w:rFonts w:ascii="Arial" w:hAnsi="Arial" w:cs="Arial"/>
          <w:sz w:val="24"/>
          <w:szCs w:val="24"/>
        </w:rPr>
        <w:t xml:space="preserve"> </w:t>
      </w:r>
      <w:r w:rsidRPr="008E64B5">
        <w:rPr>
          <w:rFonts w:ascii="Arial" w:hAnsi="Arial" w:cs="Arial"/>
          <w:sz w:val="24"/>
          <w:szCs w:val="24"/>
          <w:lang w:val="bs-Latn-BA"/>
        </w:rPr>
        <w:t>zasnovan</w:t>
      </w:r>
      <w:r>
        <w:rPr>
          <w:rFonts w:ascii="Arial" w:hAnsi="Arial" w:cs="Arial"/>
          <w:sz w:val="24"/>
          <w:szCs w:val="24"/>
          <w:lang w:val="bs-Latn-BA"/>
        </w:rPr>
        <w:t>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na cilj</w:t>
      </w:r>
      <w:r>
        <w:rPr>
          <w:rFonts w:ascii="Arial" w:hAnsi="Arial" w:cs="Arial"/>
          <w:sz w:val="24"/>
          <w:szCs w:val="24"/>
          <w:lang w:val="bs-Latn-BA"/>
        </w:rPr>
        <w:t>evima</w:t>
      </w:r>
      <w:r w:rsidRPr="007246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upravljanja dugom </w:t>
      </w:r>
      <w:r w:rsidRPr="008E64B5">
        <w:rPr>
          <w:rFonts w:ascii="Arial" w:hAnsi="Arial" w:cs="Arial"/>
          <w:sz w:val="24"/>
          <w:szCs w:val="24"/>
          <w:lang w:val="bs-Latn-BA"/>
        </w:rPr>
        <w:t>utvrđeni</w:t>
      </w:r>
      <w:r>
        <w:rPr>
          <w:rFonts w:ascii="Arial" w:hAnsi="Arial" w:cs="Arial"/>
          <w:sz w:val="24"/>
          <w:szCs w:val="24"/>
          <w:lang w:val="bs-Latn-BA"/>
        </w:rPr>
        <w:t>m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Zakonom</w:t>
      </w:r>
      <w:r>
        <w:rPr>
          <w:rFonts w:ascii="Arial" w:hAnsi="Arial" w:cs="Arial"/>
          <w:sz w:val="24"/>
          <w:szCs w:val="24"/>
          <w:lang w:val="bs-Latn-BA"/>
        </w:rPr>
        <w:t>,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</w:t>
      </w:r>
      <w:r w:rsidRPr="007246AA">
        <w:rPr>
          <w:rFonts w:ascii="Arial" w:hAnsi="Arial" w:cs="Arial"/>
          <w:sz w:val="24"/>
          <w:szCs w:val="24"/>
        </w:rPr>
        <w:t>postala</w:t>
      </w:r>
      <w:r>
        <w:rPr>
          <w:rFonts w:ascii="Arial" w:hAnsi="Arial" w:cs="Arial"/>
          <w:sz w:val="24"/>
          <w:szCs w:val="24"/>
        </w:rPr>
        <w:t xml:space="preserve"> bi</w:t>
      </w:r>
      <w:r w:rsidRPr="007246AA">
        <w:rPr>
          <w:rFonts w:ascii="Arial" w:hAnsi="Arial" w:cs="Arial"/>
          <w:sz w:val="24"/>
          <w:szCs w:val="24"/>
        </w:rPr>
        <w:t xml:space="preserve"> i zakonska obaveza</w:t>
      </w:r>
      <w:r>
        <w:rPr>
          <w:rFonts w:ascii="Arial" w:hAnsi="Arial" w:cs="Arial"/>
          <w:sz w:val="24"/>
          <w:szCs w:val="24"/>
        </w:rPr>
        <w:t xml:space="preserve">, a </w:t>
      </w:r>
      <w:r w:rsidRPr="008E64B5">
        <w:rPr>
          <w:rFonts w:ascii="Arial" w:hAnsi="Arial" w:cs="Arial"/>
          <w:sz w:val="24"/>
          <w:szCs w:val="24"/>
          <w:lang w:val="bs-Latn-BA"/>
        </w:rPr>
        <w:t>Vlad</w:t>
      </w:r>
      <w:r>
        <w:rPr>
          <w:rFonts w:ascii="Arial" w:hAnsi="Arial" w:cs="Arial"/>
          <w:sz w:val="24"/>
          <w:szCs w:val="24"/>
          <w:lang w:val="bs-Latn-BA"/>
        </w:rPr>
        <w:t>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Federacije </w:t>
      </w:r>
      <w:r>
        <w:rPr>
          <w:rFonts w:ascii="Arial" w:hAnsi="Arial" w:cs="Arial"/>
          <w:sz w:val="24"/>
          <w:szCs w:val="24"/>
          <w:lang w:val="bs-Latn-BA"/>
        </w:rPr>
        <w:t xml:space="preserve">bi bila </w:t>
      </w:r>
      <w:r w:rsidRPr="008E64B5">
        <w:rPr>
          <w:rFonts w:ascii="Arial" w:hAnsi="Arial" w:cs="Arial"/>
          <w:sz w:val="24"/>
          <w:szCs w:val="24"/>
          <w:lang w:val="bs-Latn-BA"/>
        </w:rPr>
        <w:t>obavez</w:t>
      </w:r>
      <w:r>
        <w:rPr>
          <w:rFonts w:ascii="Arial" w:hAnsi="Arial" w:cs="Arial"/>
          <w:sz w:val="24"/>
          <w:szCs w:val="24"/>
          <w:lang w:val="bs-Latn-BA"/>
        </w:rPr>
        <w:t>n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a da </w:t>
      </w:r>
      <w:r>
        <w:rPr>
          <w:rFonts w:ascii="Arial" w:hAnsi="Arial" w:cs="Arial"/>
          <w:sz w:val="24"/>
          <w:szCs w:val="24"/>
          <w:lang w:val="bs-Latn-BA"/>
        </w:rPr>
        <w:t xml:space="preserve">u skladu sa Zakonom 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usvaja </w:t>
      </w:r>
      <w:r>
        <w:rPr>
          <w:rFonts w:ascii="Arial" w:hAnsi="Arial" w:cs="Arial"/>
          <w:sz w:val="24"/>
          <w:szCs w:val="24"/>
          <w:lang w:val="bs-Latn-BA"/>
        </w:rPr>
        <w:t xml:space="preserve">i </w:t>
      </w:r>
      <w:r w:rsidRPr="008E64B5">
        <w:rPr>
          <w:rFonts w:ascii="Arial" w:hAnsi="Arial" w:cs="Arial"/>
          <w:sz w:val="24"/>
          <w:szCs w:val="24"/>
          <w:lang w:val="bs-Latn-BA"/>
        </w:rPr>
        <w:t>Godišnji plan zaduživanja</w:t>
      </w:r>
      <w:r>
        <w:rPr>
          <w:rFonts w:ascii="Arial" w:hAnsi="Arial" w:cs="Arial"/>
          <w:sz w:val="24"/>
          <w:szCs w:val="24"/>
          <w:lang w:val="bs-Latn-BA"/>
        </w:rPr>
        <w:t xml:space="preserve">. </w:t>
      </w:r>
    </w:p>
    <w:p w:rsidR="00225F9C" w:rsidRDefault="00225F9C" w:rsidP="00F01A5E">
      <w:pPr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U cilju </w:t>
      </w:r>
      <w:r w:rsidRPr="008E64B5">
        <w:rPr>
          <w:rFonts w:ascii="Arial" w:hAnsi="Arial" w:cs="Arial"/>
          <w:sz w:val="24"/>
          <w:szCs w:val="24"/>
          <w:lang w:val="bs-Latn-BA"/>
        </w:rPr>
        <w:t>poboljša</w:t>
      </w:r>
      <w:r>
        <w:rPr>
          <w:rFonts w:ascii="Arial" w:hAnsi="Arial" w:cs="Arial"/>
          <w:sz w:val="24"/>
          <w:szCs w:val="24"/>
          <w:lang w:val="bs-Latn-BA"/>
        </w:rPr>
        <w:t>nja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proces</w:t>
      </w:r>
      <w:r>
        <w:rPr>
          <w:rFonts w:ascii="Arial" w:hAnsi="Arial" w:cs="Arial"/>
          <w:sz w:val="24"/>
          <w:szCs w:val="24"/>
          <w:lang w:val="bs-Latn-BA"/>
        </w:rPr>
        <w:t>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evidentiranja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i izvještavanja</w:t>
      </w:r>
      <w:r>
        <w:rPr>
          <w:rFonts w:ascii="Arial" w:hAnsi="Arial" w:cs="Arial"/>
          <w:sz w:val="24"/>
          <w:szCs w:val="24"/>
          <w:lang w:val="bs-Latn-BA"/>
        </w:rPr>
        <w:t xml:space="preserve"> o dugu i garancijama</w:t>
      </w:r>
      <w:r w:rsidRPr="008E64B5">
        <w:rPr>
          <w:rFonts w:ascii="Arial" w:hAnsi="Arial" w:cs="Arial"/>
          <w:sz w:val="24"/>
          <w:szCs w:val="24"/>
          <w:lang w:val="bs-Latn-BA"/>
        </w:rPr>
        <w:t>, kao i povezanih kontrola</w:t>
      </w:r>
      <w:r>
        <w:rPr>
          <w:rFonts w:ascii="Arial" w:hAnsi="Arial" w:cs="Arial"/>
          <w:sz w:val="24"/>
          <w:szCs w:val="24"/>
          <w:lang w:val="bs-Latn-BA"/>
        </w:rPr>
        <w:t>, te stva</w:t>
      </w:r>
      <w:r w:rsidRPr="008E64B5">
        <w:rPr>
          <w:rFonts w:ascii="Arial" w:hAnsi="Arial" w:cs="Arial"/>
          <w:sz w:val="24"/>
          <w:szCs w:val="24"/>
          <w:lang w:val="bs-Latn-BA"/>
        </w:rPr>
        <w:t>r</w:t>
      </w:r>
      <w:r>
        <w:rPr>
          <w:rFonts w:ascii="Arial" w:hAnsi="Arial" w:cs="Arial"/>
          <w:sz w:val="24"/>
          <w:szCs w:val="24"/>
          <w:lang w:val="bs-Latn-BA"/>
        </w:rPr>
        <w:t>anja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pretpostavk</w:t>
      </w:r>
      <w:r>
        <w:rPr>
          <w:rFonts w:ascii="Arial" w:hAnsi="Arial" w:cs="Arial"/>
          <w:sz w:val="24"/>
          <w:szCs w:val="24"/>
          <w:lang w:val="bs-Latn-BA"/>
        </w:rPr>
        <w:t>i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>za praćenje propisanih limita izloženosti/zaduženja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na svim nivoima vlasti (u automatskom alatu), </w:t>
      </w:r>
      <w:r>
        <w:rPr>
          <w:rFonts w:ascii="Arial" w:hAnsi="Arial" w:cs="Arial"/>
          <w:sz w:val="24"/>
          <w:szCs w:val="24"/>
          <w:lang w:val="bs-Latn-BA"/>
        </w:rPr>
        <w:t>potrebno je</w:t>
      </w:r>
      <w:r w:rsidRPr="008E64B5">
        <w:rPr>
          <w:rFonts w:ascii="Arial" w:hAnsi="Arial" w:cs="Arial"/>
          <w:sz w:val="24"/>
          <w:szCs w:val="24"/>
          <w:lang w:val="bs-Latn-BA"/>
        </w:rPr>
        <w:t xml:space="preserve"> unaprijediti kapacitete i stvoriti tehničke pretpostavke za poboljšanje </w:t>
      </w:r>
      <w:r>
        <w:rPr>
          <w:rFonts w:ascii="Arial" w:hAnsi="Arial" w:cs="Arial"/>
          <w:sz w:val="24"/>
          <w:szCs w:val="24"/>
          <w:lang w:val="bs-Latn-BA"/>
        </w:rPr>
        <w:t xml:space="preserve">cjelokupnog </w:t>
      </w:r>
      <w:r w:rsidRPr="008E64B5">
        <w:rPr>
          <w:rFonts w:ascii="Arial" w:hAnsi="Arial" w:cs="Arial"/>
          <w:sz w:val="24"/>
          <w:szCs w:val="24"/>
          <w:lang w:val="bs-Latn-BA"/>
        </w:rPr>
        <w:t>procesa</w:t>
      </w:r>
      <w:r>
        <w:rPr>
          <w:rFonts w:ascii="Arial" w:hAnsi="Arial" w:cs="Arial"/>
          <w:sz w:val="24"/>
          <w:szCs w:val="24"/>
          <w:lang w:val="bs-Latn-BA"/>
        </w:rPr>
        <w:t>.</w:t>
      </w:r>
    </w:p>
    <w:p w:rsidR="00225F9C" w:rsidRPr="00DF4B26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DF4B26">
        <w:rPr>
          <w:rFonts w:ascii="Arial" w:hAnsi="Arial" w:cs="Arial"/>
          <w:sz w:val="24"/>
          <w:szCs w:val="24"/>
        </w:rPr>
        <w:t>Strategijom upravljanja dugom 2017-2019</w:t>
      </w:r>
      <w:r>
        <w:rPr>
          <w:rStyle w:val="FootnoteReference"/>
          <w:rFonts w:ascii="Arial" w:hAnsi="Arial" w:cs="Arial"/>
          <w:sz w:val="24"/>
          <w:szCs w:val="24"/>
        </w:rPr>
        <w:footnoteReference w:id="21"/>
      </w:r>
      <w:r>
        <w:rPr>
          <w:rFonts w:ascii="Arial" w:hAnsi="Arial" w:cs="Arial"/>
          <w:sz w:val="24"/>
          <w:szCs w:val="24"/>
        </w:rPr>
        <w:t xml:space="preserve"> </w:t>
      </w:r>
      <w:r w:rsidRPr="00DF4B26">
        <w:rPr>
          <w:rFonts w:ascii="Arial" w:hAnsi="Arial" w:cs="Arial"/>
          <w:sz w:val="24"/>
          <w:szCs w:val="24"/>
        </w:rPr>
        <w:t xml:space="preserve">definisani su ciljevi upravljanja dugom, koji će i u narednom periodu predstavljati prioritet, imajući u vidu potrebe Vlade </w:t>
      </w:r>
      <w:r w:rsidRPr="00DF4B26">
        <w:rPr>
          <w:rFonts w:ascii="Arial" w:hAnsi="Arial" w:cs="Arial"/>
          <w:sz w:val="24"/>
          <w:szCs w:val="24"/>
        </w:rPr>
        <w:lastRenderedPageBreak/>
        <w:t>Federacije da, uz održavanje prihvatljivog nivoa rizika, te srednjoročnih i dugoročnih</w:t>
      </w:r>
      <w:r>
        <w:rPr>
          <w:rFonts w:ascii="Arial" w:hAnsi="Arial" w:cs="Arial"/>
          <w:sz w:val="24"/>
          <w:szCs w:val="24"/>
        </w:rPr>
        <w:t xml:space="preserve"> </w:t>
      </w:r>
      <w:r w:rsidRPr="00DF4B26">
        <w:rPr>
          <w:rFonts w:ascii="Arial" w:hAnsi="Arial" w:cs="Arial"/>
          <w:sz w:val="24"/>
          <w:szCs w:val="24"/>
        </w:rPr>
        <w:t>troškova finansiranja, osigura finansijska sredstva za tekuće potrebe i investiciona ulaganja, kao i da nastavi aktivnosti na razvoju domaćeg tržišta vrijednosnih papira.</w:t>
      </w:r>
      <w:r w:rsidRPr="00DF4B26">
        <w:t xml:space="preserve"> </w:t>
      </w:r>
    </w:p>
    <w:p w:rsidR="00225F9C" w:rsidRPr="00DF4B26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DF4B26">
        <w:rPr>
          <w:rFonts w:ascii="Arial" w:hAnsi="Arial" w:cs="Arial"/>
          <w:sz w:val="24"/>
          <w:szCs w:val="24"/>
        </w:rPr>
        <w:t xml:space="preserve">Kako Federacija Bosne i Hercegovine i dalje ima veliku potrebu za novčanim sredstvima za izgradnju i obnovu infrastrukture, izgradnju velikih energetskih projekata kao i za budžetsku podršku, izradom i usvajanjem trogodišnje strategije upravljanja dugom u Federaciji BiH (a koja je naslonjena na Dokument okvirnog budžeta Federacije BiH i Program javnih investicija Federacije), </w:t>
      </w:r>
      <w:r w:rsidRPr="00220EB0">
        <w:rPr>
          <w:rFonts w:ascii="Arial" w:hAnsi="Arial" w:cs="Arial"/>
          <w:sz w:val="24"/>
          <w:szCs w:val="24"/>
        </w:rPr>
        <w:t>stvara se o</w:t>
      </w:r>
      <w:r>
        <w:rPr>
          <w:rFonts w:ascii="Arial" w:hAnsi="Arial" w:cs="Arial"/>
          <w:sz w:val="24"/>
          <w:szCs w:val="24"/>
        </w:rPr>
        <w:t>snova</w:t>
      </w:r>
      <w:r w:rsidRPr="00220EB0">
        <w:rPr>
          <w:rFonts w:ascii="Arial" w:hAnsi="Arial" w:cs="Arial"/>
          <w:sz w:val="24"/>
          <w:szCs w:val="24"/>
        </w:rPr>
        <w:t xml:space="preserve"> za</w:t>
      </w:r>
      <w:r>
        <w:t xml:space="preserve"> </w:t>
      </w:r>
      <w:r w:rsidRPr="00DF4B26">
        <w:rPr>
          <w:rFonts w:ascii="Arial" w:hAnsi="Arial" w:cs="Arial"/>
          <w:sz w:val="24"/>
          <w:szCs w:val="24"/>
        </w:rPr>
        <w:t>transparentnije i efikasnije  korištenj</w:t>
      </w:r>
      <w:r>
        <w:rPr>
          <w:rFonts w:ascii="Arial" w:hAnsi="Arial" w:cs="Arial"/>
          <w:sz w:val="24"/>
          <w:szCs w:val="24"/>
        </w:rPr>
        <w:t>e</w:t>
      </w:r>
      <w:r w:rsidRPr="00DF4B26">
        <w:rPr>
          <w:rFonts w:ascii="Arial" w:hAnsi="Arial" w:cs="Arial"/>
          <w:sz w:val="24"/>
          <w:szCs w:val="24"/>
        </w:rPr>
        <w:t xml:space="preserve"> i upravljanj</w:t>
      </w:r>
      <w:r>
        <w:rPr>
          <w:rFonts w:ascii="Arial" w:hAnsi="Arial" w:cs="Arial"/>
          <w:sz w:val="24"/>
          <w:szCs w:val="24"/>
        </w:rPr>
        <w:t>e</w:t>
      </w:r>
      <w:r w:rsidRPr="00DF4B26">
        <w:rPr>
          <w:rFonts w:ascii="Arial" w:hAnsi="Arial" w:cs="Arial"/>
          <w:sz w:val="24"/>
          <w:szCs w:val="24"/>
        </w:rPr>
        <w:t xml:space="preserve"> javnim resursima. </w:t>
      </w:r>
    </w:p>
    <w:p w:rsidR="00225F9C" w:rsidRPr="00DF4B26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DF4B26">
        <w:rPr>
          <w:rFonts w:ascii="Arial" w:hAnsi="Arial" w:cs="Arial"/>
          <w:sz w:val="24"/>
          <w:szCs w:val="24"/>
        </w:rPr>
        <w:t xml:space="preserve">Ugovaranje novih zaduživanja također podrazumijeva analizu i pažljivu selekciju, u zavisnosti od </w:t>
      </w:r>
      <w:r w:rsidRPr="00220EB0">
        <w:rPr>
          <w:rFonts w:ascii="Arial" w:hAnsi="Arial" w:cs="Arial"/>
          <w:sz w:val="24"/>
          <w:szCs w:val="24"/>
        </w:rPr>
        <w:t>potreba za finansiranjem i dostupnih izvora finansiranja, a u svrhu realizacije ciljeva upravljanja dugom</w:t>
      </w:r>
      <w:r w:rsidRPr="00DF4B26">
        <w:rPr>
          <w:rFonts w:ascii="Arial" w:hAnsi="Arial" w:cs="Arial"/>
          <w:sz w:val="24"/>
          <w:szCs w:val="24"/>
        </w:rPr>
        <w:t xml:space="preserve">. </w:t>
      </w:r>
    </w:p>
    <w:p w:rsidR="00225F9C" w:rsidRPr="00F475AC" w:rsidRDefault="00225F9C" w:rsidP="00F01A5E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F34FE3">
        <w:rPr>
          <w:rFonts w:ascii="Arial" w:hAnsi="Arial" w:cs="Arial"/>
          <w:sz w:val="24"/>
          <w:szCs w:val="24"/>
        </w:rPr>
        <w:t>Srednjoročna strategija upravljanja dugom treba dati pregled</w:t>
      </w:r>
      <w:r>
        <w:rPr>
          <w:rFonts w:ascii="Arial" w:hAnsi="Arial" w:cs="Arial"/>
          <w:sz w:val="24"/>
          <w:szCs w:val="24"/>
        </w:rPr>
        <w:t xml:space="preserve"> troškova i rizika </w:t>
      </w:r>
      <w:r w:rsidRPr="00F34FE3">
        <w:rPr>
          <w:rFonts w:ascii="Arial" w:hAnsi="Arial" w:cs="Arial"/>
          <w:sz w:val="24"/>
          <w:szCs w:val="24"/>
        </w:rPr>
        <w:t xml:space="preserve">  duga Federacije BiH </w:t>
      </w:r>
      <w:r>
        <w:rPr>
          <w:rFonts w:ascii="Arial" w:hAnsi="Arial" w:cs="Arial"/>
          <w:sz w:val="24"/>
          <w:szCs w:val="24"/>
        </w:rPr>
        <w:t>u</w:t>
      </w:r>
      <w:r w:rsidRPr="00F175F3">
        <w:rPr>
          <w:rFonts w:ascii="Arial" w:hAnsi="Arial" w:cs="Arial"/>
          <w:sz w:val="24"/>
          <w:szCs w:val="24"/>
        </w:rPr>
        <w:t xml:space="preserve"> </w:t>
      </w:r>
      <w:r w:rsidRPr="00F34FE3">
        <w:rPr>
          <w:rFonts w:ascii="Arial" w:hAnsi="Arial" w:cs="Arial"/>
          <w:sz w:val="24"/>
          <w:szCs w:val="24"/>
        </w:rPr>
        <w:t>naredn</w:t>
      </w:r>
      <w:r>
        <w:rPr>
          <w:rFonts w:ascii="Arial" w:hAnsi="Arial" w:cs="Arial"/>
          <w:sz w:val="24"/>
          <w:szCs w:val="24"/>
        </w:rPr>
        <w:t>om</w:t>
      </w:r>
      <w:r w:rsidRPr="00F34FE3">
        <w:rPr>
          <w:rFonts w:ascii="Arial" w:hAnsi="Arial" w:cs="Arial"/>
          <w:sz w:val="24"/>
          <w:szCs w:val="24"/>
        </w:rPr>
        <w:t xml:space="preserve"> period</w:t>
      </w:r>
      <w:r>
        <w:rPr>
          <w:rFonts w:ascii="Arial" w:hAnsi="Arial" w:cs="Arial"/>
          <w:sz w:val="24"/>
          <w:szCs w:val="24"/>
        </w:rPr>
        <w:t>u</w:t>
      </w:r>
      <w:r w:rsidRPr="00F34FE3">
        <w:rPr>
          <w:rFonts w:ascii="Arial" w:hAnsi="Arial" w:cs="Arial"/>
          <w:sz w:val="24"/>
          <w:szCs w:val="24"/>
        </w:rPr>
        <w:t>, pod pretpostavkom realizacije investicionih projekata u okviru prognoziranih makroekonomskih pokazatelja, te procijeniti troškove njegovog servisiranja ukoliko dođe do nepredviđenih šokova na tržištu u smislu variranja kamatnih stopa i deviznih kurseva</w:t>
      </w:r>
      <w:r w:rsidRPr="00F475AC">
        <w:rPr>
          <w:rFonts w:ascii="Arial" w:hAnsi="Arial" w:cs="Arial"/>
          <w:color w:val="FF0000"/>
          <w:sz w:val="24"/>
          <w:szCs w:val="24"/>
        </w:rPr>
        <w:t>.</w:t>
      </w:r>
    </w:p>
    <w:p w:rsidR="00225F9C" w:rsidRPr="00AE6EA8" w:rsidRDefault="00225F9C" w:rsidP="00F01A5E">
      <w:pPr>
        <w:jc w:val="both"/>
        <w:rPr>
          <w:rFonts w:ascii="Arial" w:hAnsi="Arial" w:cs="Arial"/>
          <w:sz w:val="24"/>
          <w:szCs w:val="24"/>
        </w:rPr>
      </w:pPr>
      <w:r w:rsidRPr="00AE6EA8">
        <w:rPr>
          <w:rFonts w:ascii="Arial" w:hAnsi="Arial" w:cs="Arial"/>
          <w:sz w:val="24"/>
          <w:szCs w:val="24"/>
        </w:rPr>
        <w:t xml:space="preserve">Realizacijom zaduženja u cilju postizanja optimalnog portfolija duga nastojati će se minimizirati sveukupni rizici. Prilikom planiranja zaduživanja, voditi će se računa o održanju ravnomjerne strukture otplate duga po godinama u cilju minimiziranja rizika refinansiranja, maksimalno će se koristiti zaduživanje u EUR i KM sa fiksnim kamatnim stopama u cilju smanjenja valutnog i kamatnog rizika. Obaveze po novim zaduživanjima za investicione projekte treba da izmiruju krajnji korisnici kreditnih sredstava, kako bi visina duga Vlade Federacije BiH ostala u prihvatljivom okviru, obzirom da visina duga utječe na  interes potencionalnih investitora za ulaganja u vladine vrijednosne papire i na direktne strane investicije. </w:t>
      </w:r>
    </w:p>
    <w:p w:rsidR="00225F9C" w:rsidRDefault="00225F9C" w:rsidP="00F01A5E">
      <w:pPr>
        <w:jc w:val="both"/>
        <w:rPr>
          <w:lang w:val="bs-Latn-BA"/>
        </w:rPr>
      </w:pPr>
      <w:r w:rsidRPr="00AE6EA8">
        <w:rPr>
          <w:rFonts w:ascii="Arial" w:hAnsi="Arial" w:cs="Arial"/>
          <w:sz w:val="24"/>
          <w:szCs w:val="24"/>
        </w:rPr>
        <w:t xml:space="preserve">Strategijom definisane kvantitativne strateške mete na </w:t>
      </w:r>
      <w:r w:rsidRPr="00AE6EA8">
        <w:rPr>
          <w:rFonts w:ascii="Arial" w:hAnsi="Arial" w:cs="Arial"/>
          <w:sz w:val="24"/>
          <w:szCs w:val="24"/>
          <w:lang w:val="bs-Latn-BA"/>
        </w:rPr>
        <w:t>kraju 2019. godine su slijedeće:</w:t>
      </w:r>
    </w:p>
    <w:p w:rsidR="00225F9C" w:rsidRDefault="00225F9C" w:rsidP="00F01A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-</w:t>
      </w:r>
      <w:r w:rsidRPr="00300ABE">
        <w:rPr>
          <w:rFonts w:ascii="Arial" w:hAnsi="Arial" w:cs="Arial"/>
          <w:sz w:val="24"/>
          <w:szCs w:val="24"/>
          <w:lang w:val="bs-Latn-BA"/>
        </w:rPr>
        <w:t>prosječno vrijeme dospijeća kredita (ATM) ne bi trebalo biti manje od 6,5 godina</w:t>
      </w:r>
      <w:r>
        <w:rPr>
          <w:rFonts w:ascii="Arial" w:hAnsi="Arial" w:cs="Arial"/>
          <w:sz w:val="24"/>
          <w:szCs w:val="24"/>
          <w:lang w:val="bs-Latn-BA"/>
        </w:rPr>
        <w:t>;</w:t>
      </w:r>
    </w:p>
    <w:p w:rsidR="00225F9C" w:rsidRDefault="00225F9C" w:rsidP="00F01A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-</w:t>
      </w:r>
      <w:r w:rsidRPr="00300ABE">
        <w:rPr>
          <w:rFonts w:ascii="Arial" w:hAnsi="Arial" w:cs="Arial"/>
          <w:sz w:val="24"/>
          <w:szCs w:val="24"/>
          <w:lang w:val="bs-Latn-BA"/>
        </w:rPr>
        <w:t>prosječno vrijeme refiksiranja kredita (ATR) ne bi trebalo biti manje od 4 godine</w:t>
      </w:r>
      <w:r>
        <w:rPr>
          <w:rFonts w:ascii="Arial" w:hAnsi="Arial" w:cs="Arial"/>
          <w:sz w:val="24"/>
          <w:szCs w:val="24"/>
          <w:lang w:val="bs-Latn-BA"/>
        </w:rPr>
        <w:t xml:space="preserve"> i</w:t>
      </w:r>
    </w:p>
    <w:p w:rsidR="00225F9C" w:rsidRDefault="00225F9C" w:rsidP="00F01A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-u</w:t>
      </w:r>
      <w:r w:rsidRPr="00300ABE">
        <w:rPr>
          <w:rFonts w:ascii="Arial" w:hAnsi="Arial" w:cs="Arial"/>
          <w:sz w:val="24"/>
          <w:szCs w:val="24"/>
          <w:lang w:val="bs-Latn-BA"/>
        </w:rPr>
        <w:t xml:space="preserve">češće servisiranja kamata po osnovu duga u prihodima </w:t>
      </w:r>
      <w:r>
        <w:rPr>
          <w:rFonts w:ascii="Arial" w:hAnsi="Arial" w:cs="Arial"/>
          <w:sz w:val="24"/>
          <w:szCs w:val="24"/>
          <w:lang w:val="bs-Latn-BA"/>
        </w:rPr>
        <w:t>treba biti</w:t>
      </w:r>
      <w:r w:rsidRPr="00300ABE">
        <w:rPr>
          <w:rFonts w:ascii="Arial" w:hAnsi="Arial" w:cs="Arial"/>
          <w:sz w:val="24"/>
          <w:szCs w:val="24"/>
          <w:lang w:val="bs-Latn-BA"/>
        </w:rPr>
        <w:t xml:space="preserve"> manje od </w:t>
      </w:r>
      <w:r w:rsidRPr="00D95F48">
        <w:rPr>
          <w:rFonts w:ascii="Arial" w:hAnsi="Arial" w:cs="Arial"/>
          <w:sz w:val="24"/>
          <w:szCs w:val="24"/>
          <w:lang w:val="bs-Latn-BA"/>
        </w:rPr>
        <w:t>10%.</w:t>
      </w:r>
    </w:p>
    <w:p w:rsidR="00225F9C" w:rsidRDefault="00225F9C" w:rsidP="00F01A5E">
      <w:pPr>
        <w:jc w:val="both"/>
        <w:rPr>
          <w:rFonts w:ascii="Arial" w:hAnsi="Arial" w:cs="Arial"/>
          <w:sz w:val="24"/>
          <w:szCs w:val="24"/>
          <w:lang w:val="bs-Latn-BA"/>
        </w:rPr>
      </w:pPr>
    </w:p>
    <w:p w:rsidR="00225F9C" w:rsidRDefault="00225F9C" w:rsidP="00F01A5E">
      <w:pPr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Strategijom utvrđene bruto p</w:t>
      </w:r>
      <w:r w:rsidRPr="006764B4">
        <w:rPr>
          <w:rFonts w:ascii="Arial" w:hAnsi="Arial" w:cs="Arial"/>
          <w:sz w:val="24"/>
          <w:szCs w:val="24"/>
          <w:lang w:val="bs-Latn-BA"/>
        </w:rPr>
        <w:t xml:space="preserve">otrebe </w:t>
      </w:r>
      <w:r>
        <w:rPr>
          <w:rFonts w:ascii="Arial" w:hAnsi="Arial" w:cs="Arial"/>
          <w:sz w:val="24"/>
          <w:szCs w:val="24"/>
          <w:lang w:val="bs-Latn-BA"/>
        </w:rPr>
        <w:t xml:space="preserve">Vlade Federacije BiH </w:t>
      </w:r>
      <w:r w:rsidRPr="006764B4">
        <w:rPr>
          <w:rFonts w:ascii="Arial" w:hAnsi="Arial" w:cs="Arial"/>
          <w:sz w:val="24"/>
          <w:szCs w:val="24"/>
          <w:lang w:val="bs-Latn-BA"/>
        </w:rPr>
        <w:t xml:space="preserve">za finansiranjem </w:t>
      </w:r>
      <w:r>
        <w:rPr>
          <w:rFonts w:ascii="Arial" w:hAnsi="Arial" w:cs="Arial"/>
          <w:sz w:val="24"/>
          <w:szCs w:val="24"/>
          <w:lang w:val="bs-Latn-BA"/>
        </w:rPr>
        <w:t xml:space="preserve">u periodu 2017-2019. godina. </w:t>
      </w:r>
    </w:p>
    <w:tbl>
      <w:tblPr>
        <w:tblW w:w="9067" w:type="dxa"/>
        <w:tblInd w:w="5" w:type="dxa"/>
        <w:tblLook w:val="04A0" w:firstRow="1" w:lastRow="0" w:firstColumn="1" w:lastColumn="0" w:noHBand="0" w:noVBand="1"/>
      </w:tblPr>
      <w:tblGrid>
        <w:gridCol w:w="4248"/>
        <w:gridCol w:w="37"/>
        <w:gridCol w:w="1197"/>
        <w:gridCol w:w="37"/>
        <w:gridCol w:w="1123"/>
        <w:gridCol w:w="37"/>
        <w:gridCol w:w="1238"/>
        <w:gridCol w:w="37"/>
        <w:gridCol w:w="1113"/>
      </w:tblGrid>
      <w:tr w:rsidR="00225F9C" w:rsidRPr="0035485E" w:rsidTr="00427873">
        <w:trPr>
          <w:trHeight w:val="300"/>
        </w:trPr>
        <w:tc>
          <w:tcPr>
            <w:tcW w:w="9067" w:type="dxa"/>
            <w:gridSpan w:val="9"/>
            <w:tcBorders>
              <w:top w:val="nil"/>
              <w:left w:val="nil"/>
              <w:bottom w:val="nil"/>
            </w:tcBorders>
            <w:shd w:val="clear" w:color="auto" w:fill="E5B8B7" w:themeFill="accent2" w:themeFillTint="66"/>
            <w:noWrap/>
            <w:vAlign w:val="bottom"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Plan povlačenja ino kredita, u mil. KM</w:t>
            </w:r>
          </w:p>
        </w:tc>
      </w:tr>
      <w:tr w:rsidR="00225F9C" w:rsidRPr="00065413" w:rsidTr="00427873">
        <w:trPr>
          <w:trHeight w:val="300"/>
        </w:trPr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2017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2018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2019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2020.</w:t>
            </w:r>
          </w:p>
        </w:tc>
      </w:tr>
      <w:tr w:rsidR="00225F9C" w:rsidRPr="00065413" w:rsidTr="00427873">
        <w:trPr>
          <w:trHeight w:val="300"/>
        </w:trPr>
        <w:tc>
          <w:tcPr>
            <w:tcW w:w="4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Program javnih investicija 2017-2019</w:t>
            </w:r>
            <w:r>
              <w:rPr>
                <w:rStyle w:val="FootnoteReference"/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footnoteReference w:id="22"/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823,30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648,60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214,50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300,00</w:t>
            </w:r>
          </w:p>
        </w:tc>
      </w:tr>
      <w:tr w:rsidR="00225F9C" w:rsidRPr="00065413" w:rsidTr="00427873">
        <w:trPr>
          <w:trHeight w:val="300"/>
        </w:trPr>
        <w:tc>
          <w:tcPr>
            <w:tcW w:w="4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MMF_EFF 2017-2019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262,60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220,30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129,40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</w:tr>
      <w:tr w:rsidR="00225F9C" w:rsidRPr="00065413" w:rsidTr="00427873">
        <w:trPr>
          <w:trHeight w:val="300"/>
        </w:trPr>
        <w:tc>
          <w:tcPr>
            <w:tcW w:w="4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lastRenderedPageBreak/>
              <w:t>Svjetska banka -DPL kredit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</w:t>
            </w:r>
          </w:p>
        </w:tc>
      </w:tr>
      <w:tr w:rsidR="00225F9C" w:rsidRPr="00065413" w:rsidTr="00427873">
        <w:trPr>
          <w:trHeight w:val="300"/>
        </w:trPr>
        <w:tc>
          <w:tcPr>
            <w:tcW w:w="4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UKUPNO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1.105,90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888,90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363,90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300,00</w:t>
            </w:r>
          </w:p>
        </w:tc>
      </w:tr>
      <w:tr w:rsidR="00225F9C" w:rsidRPr="00065413" w:rsidTr="0042787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917" w:type="dxa"/>
            <w:gridSpan w:val="7"/>
            <w:tcBorders>
              <w:top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Primici od domaćeg zaduživanja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, u mil. KM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</w:tcBorders>
            <w:shd w:val="clear" w:color="auto" w:fill="E5B8B7" w:themeFill="accent2" w:themeFillTint="66"/>
          </w:tcPr>
          <w:p w:rsidR="00225F9C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</w:tr>
      <w:tr w:rsidR="00225F9C" w:rsidRPr="00065413" w:rsidTr="0042787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E5B8B7" w:themeFill="accent2" w:themeFillTint="66"/>
            <w:noWrap/>
            <w:vAlign w:val="bottom"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</w:tcPr>
          <w:p w:rsidR="00225F9C" w:rsidRPr="0035485E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2017.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</w:tcPr>
          <w:p w:rsidR="00225F9C" w:rsidRPr="0035485E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2018.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</w:tcPr>
          <w:p w:rsidR="00225F9C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2019.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Default="00225F9C" w:rsidP="009561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2020.</w:t>
            </w:r>
          </w:p>
        </w:tc>
      </w:tr>
      <w:tr w:rsidR="00225F9C" w:rsidRPr="00065413" w:rsidTr="0042787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 xml:space="preserve">Trezorski zapisi 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360,00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360,00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360,00</w:t>
            </w:r>
          </w:p>
        </w:tc>
      </w:tr>
      <w:tr w:rsidR="00225F9C" w:rsidRPr="00065413" w:rsidTr="0042787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Trezorske obveznice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90,00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/>
              </w:rPr>
              <w:t>120,00</w:t>
            </w:r>
          </w:p>
        </w:tc>
      </w:tr>
      <w:tr w:rsidR="00225F9C" w:rsidRPr="00065413" w:rsidTr="0042787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UKUPNO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360,00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480,00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3548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450,00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25F9C" w:rsidRPr="0035485E" w:rsidRDefault="00225F9C" w:rsidP="009561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bs-Latn-BA"/>
              </w:rPr>
              <w:t>480,00</w:t>
            </w:r>
          </w:p>
        </w:tc>
      </w:tr>
    </w:tbl>
    <w:p w:rsidR="00225F9C" w:rsidRDefault="00225F9C" w:rsidP="00225F9C">
      <w:pPr>
        <w:jc w:val="both"/>
        <w:rPr>
          <w:rFonts w:ascii="Arial" w:hAnsi="Arial" w:cs="Arial"/>
          <w:sz w:val="24"/>
          <w:szCs w:val="24"/>
          <w:lang w:val="bs-Latn-BA"/>
        </w:rPr>
      </w:pPr>
    </w:p>
    <w:p w:rsidR="00225F9C" w:rsidRPr="00427873" w:rsidRDefault="00E830F2" w:rsidP="00225F9C">
      <w:pPr>
        <w:pStyle w:val="Heading3"/>
        <w:spacing w:before="120" w:after="120"/>
        <w:rPr>
          <w:rFonts w:ascii="Arial" w:eastAsia="Times New Roman" w:hAnsi="Arial" w:cs="Arial"/>
          <w:color w:val="C00000"/>
          <w:sz w:val="24"/>
          <w:szCs w:val="24"/>
          <w:lang w:eastAsia="ar-SA"/>
        </w:rPr>
      </w:pPr>
      <w:bookmarkStart w:id="32" w:name="_Toc482799264"/>
      <w:r w:rsidRPr="00427873">
        <w:rPr>
          <w:rFonts w:ascii="Arial" w:eastAsia="Times New Roman" w:hAnsi="Arial" w:cs="Arial"/>
          <w:color w:val="C00000"/>
          <w:sz w:val="24"/>
          <w:szCs w:val="24"/>
          <w:lang w:eastAsia="ar-SA"/>
        </w:rPr>
        <w:t xml:space="preserve">5.1.3. </w:t>
      </w:r>
      <w:r w:rsidR="00225F9C" w:rsidRPr="00427873">
        <w:rPr>
          <w:rFonts w:ascii="Arial" w:eastAsia="Times New Roman" w:hAnsi="Arial" w:cs="Arial"/>
          <w:color w:val="C00000"/>
          <w:sz w:val="24"/>
          <w:szCs w:val="24"/>
          <w:lang w:eastAsia="ar-SA"/>
        </w:rPr>
        <w:t>Projekcija otplate i stanja duga u F</w:t>
      </w:r>
      <w:r w:rsidR="00B31131">
        <w:rPr>
          <w:rFonts w:ascii="Arial" w:eastAsia="Times New Roman" w:hAnsi="Arial" w:cs="Arial"/>
          <w:color w:val="C00000"/>
          <w:sz w:val="24"/>
          <w:szCs w:val="24"/>
          <w:lang w:eastAsia="ar-SA"/>
        </w:rPr>
        <w:t>ederaciji BiH u periodu od 2012</w:t>
      </w:r>
      <w:r w:rsidR="00225F9C" w:rsidRPr="00427873">
        <w:rPr>
          <w:rFonts w:ascii="Arial" w:eastAsia="Times New Roman" w:hAnsi="Arial" w:cs="Arial"/>
          <w:color w:val="C00000"/>
          <w:sz w:val="24"/>
          <w:szCs w:val="24"/>
          <w:lang w:eastAsia="ar-SA"/>
        </w:rPr>
        <w:t xml:space="preserve"> -  2020. godine</w:t>
      </w:r>
      <w:bookmarkEnd w:id="32"/>
    </w:p>
    <w:p w:rsidR="00225F9C" w:rsidRDefault="00225F9C" w:rsidP="00225F9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225F9C" w:rsidRPr="0035485E" w:rsidRDefault="00225F9C" w:rsidP="00F01A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35485E">
        <w:rPr>
          <w:rFonts w:ascii="Arial" w:hAnsi="Arial" w:cs="Arial"/>
          <w:sz w:val="24"/>
          <w:szCs w:val="24"/>
          <w:lang w:val="bs-Latn-BA"/>
        </w:rPr>
        <w:t xml:space="preserve">Vanjska finansijska sredstva koja stoje na raspolaganju BiH u periodu 2017-2019 procjenjuju se na 2.404,6 mil. KM. Uzimajući u obzir troškove i rizike ugovaranja ovakvih zajmova, Vlada FBiH će nastaviti sa politikom zaduživanja putem BiH kod multilateralnih institucija, a procjene ukazuju da bi se 59% potreba moglo zadovoljiti finansiranjem iz multilateralnih izvora. Međutim, zbog prestanka pristupa BiH IDA sredstvima, vanjsko finansiranje će se pomjeriti prema manje koncesionalnom. </w:t>
      </w:r>
    </w:p>
    <w:p w:rsidR="00225F9C" w:rsidRPr="0035485E" w:rsidRDefault="00225F9C" w:rsidP="00F01A5E">
      <w:pPr>
        <w:pStyle w:val="NoSpacing"/>
        <w:spacing w:line="276" w:lineRule="auto"/>
        <w:jc w:val="both"/>
        <w:rPr>
          <w:rFonts w:ascii="Arial" w:hAnsi="Arial" w:cs="Arial"/>
          <w:color w:val="E36C0A" w:themeColor="accent6" w:themeShade="BF"/>
          <w:sz w:val="24"/>
          <w:szCs w:val="24"/>
          <w:lang w:val="bs-Latn-BA"/>
        </w:rPr>
      </w:pPr>
    </w:p>
    <w:p w:rsidR="00225F9C" w:rsidRDefault="00225F9C" w:rsidP="00F01A5E">
      <w:pPr>
        <w:spacing w:before="120"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35485E">
        <w:rPr>
          <w:rFonts w:ascii="Arial" w:hAnsi="Arial" w:cs="Arial"/>
          <w:sz w:val="24"/>
          <w:szCs w:val="24"/>
          <w:lang w:val="bs-Latn-BA"/>
        </w:rPr>
        <w:t>Ugovorena a neangažovana sredstva na kraju decembra 2016. godine iznosila su 894,0 mil. KM. Pored toga, u postupku odobravanja, od identificiranih multilateralnih i bilateralnih kreditora su zajmovi u iznosu oko 2.404,6 mil. KM, namijenjeni za finansiranje određenih infrastrukturnih projekata, kao što su projekti izgradnje cesta, autocesta i energetskih objekata. Kod budžetske podrške, MMF i Svjetska banka i dalje ostaju primarni izvori finansiranja</w:t>
      </w:r>
    </w:p>
    <w:p w:rsidR="00225F9C" w:rsidRPr="00F475AC" w:rsidRDefault="00225F9C" w:rsidP="00F01A5E">
      <w:pPr>
        <w:spacing w:before="120"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FC2271">
        <w:rPr>
          <w:rFonts w:ascii="Arial" w:hAnsi="Arial" w:cs="Arial"/>
          <w:sz w:val="24"/>
          <w:szCs w:val="24"/>
        </w:rPr>
        <w:t>Prema projekcijama</w:t>
      </w:r>
      <w:r>
        <w:rPr>
          <w:rFonts w:ascii="Arial" w:hAnsi="Arial" w:cs="Arial"/>
          <w:sz w:val="24"/>
          <w:szCs w:val="24"/>
        </w:rPr>
        <w:t>,</w:t>
      </w:r>
      <w:r w:rsidRPr="00FC2271">
        <w:rPr>
          <w:rFonts w:ascii="Arial" w:hAnsi="Arial" w:cs="Arial"/>
          <w:sz w:val="24"/>
          <w:szCs w:val="24"/>
        </w:rPr>
        <w:t xml:space="preserve"> stanje duga </w:t>
      </w:r>
      <w:r>
        <w:rPr>
          <w:rFonts w:ascii="Arial" w:hAnsi="Arial" w:cs="Arial"/>
          <w:sz w:val="24"/>
          <w:szCs w:val="24"/>
        </w:rPr>
        <w:t>u Federaciji BiH u</w:t>
      </w:r>
      <w:r w:rsidRPr="00FC2271">
        <w:rPr>
          <w:rFonts w:ascii="Arial" w:hAnsi="Arial" w:cs="Arial"/>
          <w:sz w:val="24"/>
          <w:szCs w:val="24"/>
        </w:rPr>
        <w:t xml:space="preserve"> period</w:t>
      </w:r>
      <w:r>
        <w:rPr>
          <w:rFonts w:ascii="Arial" w:hAnsi="Arial" w:cs="Arial"/>
          <w:sz w:val="24"/>
          <w:szCs w:val="24"/>
        </w:rPr>
        <w:t>u</w:t>
      </w:r>
      <w:r w:rsidRPr="00FC2271">
        <w:rPr>
          <w:rFonts w:ascii="Arial" w:hAnsi="Arial" w:cs="Arial"/>
          <w:sz w:val="24"/>
          <w:szCs w:val="24"/>
        </w:rPr>
        <w:t xml:space="preserve"> 2018. – 2020. godine  </w:t>
      </w:r>
      <w:r>
        <w:rPr>
          <w:rFonts w:ascii="Arial" w:hAnsi="Arial" w:cs="Arial"/>
          <w:sz w:val="24"/>
          <w:szCs w:val="24"/>
        </w:rPr>
        <w:t>veće j</w:t>
      </w:r>
      <w:r w:rsidRPr="00FC227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od stanja duga na kraju 2016. godine</w:t>
      </w:r>
      <w:r w:rsidRPr="00FC227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što je posljedica</w:t>
      </w:r>
      <w:r w:rsidRPr="00FC2271">
        <w:rPr>
          <w:rFonts w:ascii="Arial" w:hAnsi="Arial" w:cs="Arial"/>
          <w:sz w:val="24"/>
          <w:szCs w:val="24"/>
        </w:rPr>
        <w:t xml:space="preserve"> povećanja vanjskog duga u Fedraciji BiH</w:t>
      </w:r>
      <w:r>
        <w:rPr>
          <w:rFonts w:ascii="Arial" w:hAnsi="Arial" w:cs="Arial"/>
          <w:sz w:val="24"/>
          <w:szCs w:val="24"/>
        </w:rPr>
        <w:t xml:space="preserve"> (finansiranje priojekata uključenih u federalni i kantonalne programe javnih investicija, povlačenje sredstava MMF-a i Svjetske banke (EFF i DPL). Povećanje vanjskog zaduživanja najviše će se odraziti na stanje duga javnih preduzeća</w:t>
      </w:r>
      <w:r w:rsidRPr="00FC2271">
        <w:rPr>
          <w:rFonts w:ascii="Arial" w:hAnsi="Arial" w:cs="Arial"/>
          <w:sz w:val="24"/>
          <w:szCs w:val="24"/>
        </w:rPr>
        <w:t>. Istovremeno, očekuje se smanjenje unutarnjeg duga</w:t>
      </w:r>
      <w:r>
        <w:rPr>
          <w:rFonts w:ascii="Arial" w:hAnsi="Arial" w:cs="Arial"/>
          <w:sz w:val="24"/>
          <w:szCs w:val="24"/>
        </w:rPr>
        <w:t>,</w:t>
      </w:r>
      <w:r w:rsidRPr="00FC2271">
        <w:rPr>
          <w:rFonts w:ascii="Arial" w:hAnsi="Arial" w:cs="Arial"/>
          <w:sz w:val="24"/>
          <w:szCs w:val="24"/>
        </w:rPr>
        <w:t xml:space="preserve"> pri čemu bi </w:t>
      </w:r>
      <w:r>
        <w:rPr>
          <w:rFonts w:ascii="Arial" w:hAnsi="Arial" w:cs="Arial"/>
          <w:sz w:val="24"/>
          <w:szCs w:val="24"/>
        </w:rPr>
        <w:t>se najviše smanjio unutarnji</w:t>
      </w:r>
      <w:r w:rsidRPr="00FC2271">
        <w:rPr>
          <w:rFonts w:ascii="Arial" w:hAnsi="Arial" w:cs="Arial"/>
          <w:sz w:val="24"/>
          <w:szCs w:val="24"/>
        </w:rPr>
        <w:t xml:space="preserve"> dug Vlade Federacije BiH</w:t>
      </w:r>
      <w:r w:rsidRPr="00F475AC">
        <w:rPr>
          <w:rFonts w:ascii="Arial" w:hAnsi="Arial" w:cs="Arial"/>
          <w:color w:val="FF0000"/>
          <w:sz w:val="24"/>
          <w:szCs w:val="24"/>
        </w:rPr>
        <w:t xml:space="preserve">.  </w:t>
      </w:r>
    </w:p>
    <w:p w:rsidR="00231FB5" w:rsidRDefault="00231FB5" w:rsidP="00F01A5E">
      <w:pPr>
        <w:pStyle w:val="Heading3"/>
        <w:spacing w:before="120" w:after="120"/>
        <w:rPr>
          <w:rFonts w:ascii="Arial" w:hAnsi="Arial" w:cs="Arial"/>
          <w:color w:val="FF0000"/>
          <w:sz w:val="24"/>
          <w:szCs w:val="24"/>
        </w:rPr>
        <w:sectPr w:rsidR="00231FB5" w:rsidSect="001F6D22">
          <w:footerReference w:type="default" r:id="rId19"/>
          <w:pgSz w:w="11906" w:h="16838" w:code="9"/>
          <w:pgMar w:top="1134" w:right="1418" w:bottom="1134" w:left="1418" w:header="510" w:footer="510" w:gutter="0"/>
          <w:pgNumType w:start="0"/>
          <w:cols w:space="708"/>
          <w:titlePg/>
          <w:docGrid w:linePitch="360"/>
        </w:sectPr>
      </w:pPr>
    </w:p>
    <w:p w:rsidR="00225F9C" w:rsidRPr="000E3711" w:rsidRDefault="00225F9C" w:rsidP="00225F9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0E3711">
        <w:rPr>
          <w:rFonts w:ascii="Arial" w:hAnsi="Arial" w:cs="Arial"/>
          <w:sz w:val="24"/>
          <w:szCs w:val="24"/>
        </w:rPr>
        <w:lastRenderedPageBreak/>
        <w:t>Projekcije otplate i stanja duga u periodu od 2017. – 2020. godine (u KM)</w:t>
      </w:r>
    </w:p>
    <w:tbl>
      <w:tblPr>
        <w:tblW w:w="14708" w:type="dxa"/>
        <w:tblInd w:w="-572" w:type="dxa"/>
        <w:tblLook w:val="04A0" w:firstRow="1" w:lastRow="0" w:firstColumn="1" w:lastColumn="0" w:noHBand="0" w:noVBand="1"/>
      </w:tblPr>
      <w:tblGrid>
        <w:gridCol w:w="3261"/>
        <w:gridCol w:w="1275"/>
        <w:gridCol w:w="1276"/>
        <w:gridCol w:w="1276"/>
        <w:gridCol w:w="1276"/>
        <w:gridCol w:w="1275"/>
        <w:gridCol w:w="1274"/>
        <w:gridCol w:w="1265"/>
        <w:gridCol w:w="1265"/>
        <w:gridCol w:w="1265"/>
      </w:tblGrid>
      <w:tr w:rsidR="00225F9C" w:rsidRPr="000E3711" w:rsidTr="00427873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  <w:t>Godina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  <w:t>2016.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  <w:t>2017.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  <w:t>2018.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  <w:t>2019.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bs-Latn-BA"/>
              </w:rPr>
              <w:t>2020.</w:t>
            </w:r>
          </w:p>
        </w:tc>
      </w:tr>
      <w:tr w:rsidR="00225F9C" w:rsidRPr="000E3711" w:rsidTr="00427873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Opis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Stanje duga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Otplata glavnice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Stanje duga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142336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Otplata glavnice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142336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Stanje duga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142336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Otplata glavnice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bs-Latn-BA"/>
              </w:rPr>
            </w:pPr>
            <w:r w:rsidRPr="000E18D4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Stanje duga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225F9C" w:rsidRPr="000E18D4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18D4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Otplata glavnice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225F9C" w:rsidRPr="000E18D4" w:rsidRDefault="00225F9C" w:rsidP="0095616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18D4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Stanje duga</w:t>
            </w:r>
          </w:p>
        </w:tc>
      </w:tr>
      <w:tr w:rsidR="00225F9C" w:rsidRPr="000E3711" w:rsidTr="00427873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1. Unutarnji dug u FBiH</w:t>
            </w:r>
            <w:r w:rsidRPr="000E7120">
              <w:rPr>
                <w:rStyle w:val="FootnoteReference"/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footnoteReference w:id="23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1.273.868.981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595.677.435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1.076.511.546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482.612.765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1.076.148.781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544.160.706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982.238.075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622.467.576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839.770.499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 xml:space="preserve">1.1. Unutarnji dug F BiH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1.016.990.955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528.301.439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848.689.516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420.795.620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907.893.896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495.747.789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862.146.107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579.807.147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762.338.960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1.2. Unutarnji dug kantona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199.867.906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58.447.639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179.740.267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54.642.669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127.347.598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42.601.631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84.995.967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37.233.333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47.762.634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1.3. Unutarnji dug općina i gradova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57.010.119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8.928.357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48.081.762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7.174.476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40.907.286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5.811.286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35.096.001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5.427.096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29.668.905</w:t>
            </w:r>
          </w:p>
        </w:tc>
      </w:tr>
      <w:tr w:rsidR="00225F9C" w:rsidRPr="000E3711" w:rsidTr="00427873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2. Vanjski dug u FBiH</w:t>
            </w:r>
            <w:r w:rsidRPr="000E7120">
              <w:rPr>
                <w:rStyle w:val="FootnoteReference"/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footnoteReference w:id="24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5.250.047.181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543.771.401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5.817.285.780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588.943.192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6.130.262.588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510.682.436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3776C0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5.995.250.152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446.110.818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25F9C" w:rsidRPr="000E18D4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5.849.139.334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2.1. Vanjski dug F BiH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2.829.145.871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383.049.243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2.864.476.628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351.432.238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2.816.224.390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260.215.631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2.722.208.759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178.498.739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2.643.710.020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2.2. Vanjski dug kantona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278.808.813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49.018.772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234.900.041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31.410.082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216.509.959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21.305.045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206.974.914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15.045.490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191.929.424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2.3. Vanjski dug općina i gradova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121.488.147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6.777.957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114.710.190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6.701.291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108.008.899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9.412.834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98.596.065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9.593.708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89.002.357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2.4.Vanjski dug javnih preduzeća i ostalih korisnika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2.020.604.350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104.925.429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2.603.198.921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199.399.581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2.989.519.340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219.748.926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2.967.470.414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242.972.881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EE71AE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2.924.497.533</w:t>
            </w:r>
          </w:p>
        </w:tc>
      </w:tr>
      <w:tr w:rsidR="00225F9C" w:rsidRPr="000E3711" w:rsidTr="00427873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3. Ukupno dug u FBiH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6.523.916.162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1.139.448.836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6.893.797.326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1.071.555.957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7.206.411.369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1.054.843.142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25F9C" w:rsidRPr="00142336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b/>
                <w:color w:val="FF0000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6.977.488.227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1.068.578.394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25F9C" w:rsidRPr="00142336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FF0000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6.688.909.833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3.1. Ukupan dug F BiH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3.846.136.826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911.350.682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3.713.166.144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772.227.858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3.724.118.286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755.963.420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3776C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3.584.354.866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758.305.886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3.406.048.980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3.2. Ukupan dug kantona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478.676.719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107.466.411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414.640.308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86.052.751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343.857.557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63.906.676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291.970.881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52.278.823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239.692.058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3.3. Ukupan dug općina i gradova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178.498.266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15.706.314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val="bs-Latn-BA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162.791.952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13.875.767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148.916.185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15.224.120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133.692.065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15.020.804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118.671.261</w:t>
            </w:r>
          </w:p>
        </w:tc>
      </w:tr>
      <w:tr w:rsidR="00225F9C" w:rsidRPr="000E3711" w:rsidTr="00956169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9C" w:rsidRPr="000E7120" w:rsidRDefault="00225F9C" w:rsidP="0095616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</w:pPr>
            <w:r w:rsidRPr="000E7120">
              <w:rPr>
                <w:rFonts w:ascii="Arial Narrow" w:eastAsia="Times New Roman" w:hAnsi="Arial Narrow" w:cs="Times New Roman"/>
                <w:sz w:val="20"/>
                <w:szCs w:val="20"/>
                <w:lang w:val="bs-Latn-BA"/>
              </w:rPr>
              <w:t>3.4. Ukupan dug javnih preduzeća i ostalih korisnika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2.020.604.350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104.925.429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7120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2.603.198.921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199.399.581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2.989.519.340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219.748.926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2.967.470.415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0E18D4" w:rsidRDefault="00225F9C" w:rsidP="00956169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242.972.881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F9C" w:rsidRPr="00142336" w:rsidRDefault="00225F9C" w:rsidP="00956169">
            <w:pPr>
              <w:spacing w:after="0"/>
              <w:jc w:val="right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2.924.497.534</w:t>
            </w:r>
          </w:p>
        </w:tc>
      </w:tr>
    </w:tbl>
    <w:p w:rsidR="00225F9C" w:rsidRPr="00F475AC" w:rsidRDefault="00225F9C" w:rsidP="00225F9C">
      <w:pPr>
        <w:rPr>
          <w:color w:val="FF0000"/>
        </w:rPr>
      </w:pPr>
    </w:p>
    <w:p w:rsidR="00231FB5" w:rsidRPr="009B04EB" w:rsidRDefault="00231FB5" w:rsidP="00225F9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231FB5" w:rsidRPr="009B04EB" w:rsidSect="00956169">
      <w:pgSz w:w="16838" w:h="11906" w:orient="landscape"/>
      <w:pgMar w:top="426" w:right="1418" w:bottom="56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4A3" w:rsidRDefault="00D434A3" w:rsidP="00FB5C1D">
      <w:pPr>
        <w:spacing w:after="0" w:line="240" w:lineRule="auto"/>
      </w:pPr>
      <w:r>
        <w:separator/>
      </w:r>
    </w:p>
  </w:endnote>
  <w:endnote w:type="continuationSeparator" w:id="0">
    <w:p w:rsidR="00D434A3" w:rsidRDefault="00D434A3" w:rsidP="00FB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DDB" w:rsidRPr="00DC72FA" w:rsidRDefault="00D61DDB">
    <w:pPr>
      <w:pStyle w:val="Footer"/>
      <w:rPr>
        <w:rFonts w:ascii="Arial" w:hAnsi="Arial" w:cs="Arial"/>
        <w:color w:val="C00000"/>
        <w:szCs w:val="24"/>
      </w:rPr>
    </w:pPr>
    <w:r w:rsidRPr="00DC72FA">
      <w:rPr>
        <w:rFonts w:ascii="Arial" w:hAnsi="Arial" w:cs="Arial"/>
        <w:color w:val="C00000"/>
        <w:szCs w:val="24"/>
      </w:rPr>
      <w:t>___________________________________________________________________</w:t>
    </w:r>
  </w:p>
  <w:p w:rsidR="00D61DDB" w:rsidRPr="00072273" w:rsidRDefault="00D61DDB">
    <w:pPr>
      <w:pStyle w:val="Footer"/>
      <w:rPr>
        <w:rFonts w:ascii="Arial" w:hAnsi="Arial" w:cs="Arial"/>
        <w:color w:val="92D050"/>
        <w:szCs w:val="24"/>
      </w:rPr>
    </w:pPr>
    <w:r>
      <w:rPr>
        <w:rFonts w:ascii="Arial" w:hAnsi="Arial" w:cs="Arial"/>
        <w:noProof/>
        <w:sz w:val="20"/>
        <w:lang w:val="bs-Latn-B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40654A" wp14:editId="1E7A7285">
              <wp:simplePos x="0" y="0"/>
              <wp:positionH relativeFrom="margin">
                <wp:posOffset>4234815</wp:posOffset>
              </wp:positionH>
              <wp:positionV relativeFrom="bottomMargin">
                <wp:posOffset>43815</wp:posOffset>
              </wp:positionV>
              <wp:extent cx="1508760" cy="25209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61DDB" w:rsidRPr="00BC0B01" w:rsidRDefault="00D61DDB">
                          <w:pPr>
                            <w:pStyle w:val="Footer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Cs w:val="40"/>
                            </w:rPr>
                          </w:pPr>
                          <w:r w:rsidRPr="00BC0B01">
                            <w:rPr>
                              <w:rFonts w:ascii="Arial" w:hAnsi="Arial" w:cs="Arial"/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BC0B01">
                            <w:rPr>
                              <w:rFonts w:ascii="Arial" w:hAnsi="Arial" w:cs="Arial"/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BC0B01">
                            <w:rPr>
                              <w:rFonts w:ascii="Arial" w:hAnsi="Arial" w:cs="Arial"/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A34602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BC0B01">
                            <w:rPr>
                              <w:rFonts w:ascii="Arial" w:hAnsi="Arial" w:cs="Arial"/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40654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8" type="#_x0000_t202" style="position:absolute;margin-left:333.45pt;margin-top:3.45pt;width:118.8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p8PQIAAHoEAAAOAAAAZHJzL2Uyb0RvYy54bWysVE1v2zAMvQ/YfxB0X+1kTdoacYqsRYYB&#10;QVsgHXpWZDk2ZouapMTufv2e5CQNup2GXWRSfOLXIz277duG7ZV1Nemcjy5SzpSWVNR6m/Pvz8tP&#10;15w5L3QhGtIq56/K8dv5xw+zzmRqTBU1hbIMTrTLOpPzynuTJYmTlWqFuyCjNIwl2VZ4qHabFFZ0&#10;8N42yThNp0lHtjCWpHIOt/eDkc+j/7JU0j+WpVOeNTlHbj6eNp6bcCbzmci2Vpiqloc0xD9k0Ypa&#10;I+jJ1b3wgu1s/YertpaWHJX+QlKbUFnWUsUaUM0ofVfNuhJGxVrQHGdObXL/z6182D9ZVhc5n3Km&#10;RQuKnlXv2Rfq2TR0pzMuA2htAPM9rsFyrNSZFckfDpDkDDM8cECHbvSlbcMXdTI8BAGvp6aHKDJ4&#10;m6TXV1OYJGzjyTi9mYS4ydtrY53/qqhlQci5BakxA7FfOT9Aj5AQTNOybhrci6zRrENlnydpfHCy&#10;wHmjA0DFETm4CWUMmQfJ95seToK4oeIV5VsaxscZuayRyko4/yQs5gXZYwf8I46yIYSkg8RZRfbX&#10;3+4DHjTCylmH+cu5+7kTVnHWfNMg+GZ0eRkGNiqXk6sxFHtu2Zxb9K69I4z4CNtmZBQD3jdHsbTU&#10;vmBVFiEqTEJLxM659Pao3PlhL7BsUi0WEYYhNcKv9NrII++h1c/9i7DmwIcHkw90nFWRvaNlwIZm&#10;O7PYeZATOXvr62GAMOCR9cMyhg061yPq7Zcx/w0AAP//AwBQSwMEFAAGAAgAAAAhAGDDomrbAAAA&#10;CAEAAA8AAABkcnMvZG93bnJldi54bWxMj8FuwjAQRO+V+AdrkXorDhFYJY2DClHvlPQDnHhJosbr&#10;KDYQ/r7bU3vaXc1o9k2+n90gbjiF3pOG9SoBgdR421Or4av6eHkFEaIhawZPqOGBAfbF4ik3mfV3&#10;+sTbObaCQyhkRkMX45hJGZoOnQkrPyKxdvGTM5HPqZV2MncOd4NMk0RJZ3riD50Z8dhh832+Og3V&#10;ujwdjocqLX16kvW2rR6XtNT6eTm/v4GIOMc/M/ziMzoUzFT7K9kgBg1KqR1beeHB+i7ZbEHUGjZK&#10;gSxy+b9A8QMAAP//AwBQSwECLQAUAAYACAAAACEAtoM4kv4AAADhAQAAEwAAAAAAAAAAAAAAAAAA&#10;AAAAW0NvbnRlbnRfVHlwZXNdLnhtbFBLAQItABQABgAIAAAAIQA4/SH/1gAAAJQBAAALAAAAAAAA&#10;AAAAAAAAAC8BAABfcmVscy8ucmVsc1BLAQItABQABgAIAAAAIQBWXWp8PQIAAHoEAAAOAAAAAAAA&#10;AAAAAAAAAC4CAABkcnMvZTJvRG9jLnhtbFBLAQItABQABgAIAAAAIQBgw6Jq2wAAAAgBAAAPAAAA&#10;AAAAAAAAAAAAAJcEAABkcnMvZG93bnJldi54bWxQSwUGAAAAAAQABADzAAAAnwUAAAAA&#10;" filled="f" stroked="f" strokeweight=".5pt">
              <v:path arrowok="t"/>
              <v:textbox style="mso-fit-shape-to-text:t">
                <w:txbxContent>
                  <w:p w:rsidR="00D61DDB" w:rsidRPr="00BC0B01" w:rsidRDefault="00D61DDB">
                    <w:pPr>
                      <w:pStyle w:val="Footer"/>
                      <w:jc w:val="right"/>
                      <w:rPr>
                        <w:rFonts w:ascii="Arial" w:hAnsi="Arial" w:cs="Arial"/>
                        <w:color w:val="000000" w:themeColor="text1"/>
                        <w:szCs w:val="40"/>
                      </w:rPr>
                    </w:pPr>
                    <w:r w:rsidRPr="00BC0B01">
                      <w:rPr>
                        <w:rFonts w:ascii="Arial" w:hAnsi="Arial" w:cs="Arial"/>
                        <w:color w:val="000000" w:themeColor="text1"/>
                        <w:szCs w:val="40"/>
                      </w:rPr>
                      <w:fldChar w:fldCharType="begin"/>
                    </w:r>
                    <w:r w:rsidRPr="00BC0B01">
                      <w:rPr>
                        <w:rFonts w:ascii="Arial" w:hAnsi="Arial" w:cs="Arial"/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BC0B01">
                      <w:rPr>
                        <w:rFonts w:ascii="Arial" w:hAnsi="Arial" w:cs="Arial"/>
                        <w:color w:val="000000" w:themeColor="text1"/>
                        <w:szCs w:val="40"/>
                      </w:rPr>
                      <w:fldChar w:fldCharType="separate"/>
                    </w:r>
                    <w:r w:rsidR="00A34602">
                      <w:rPr>
                        <w:rFonts w:ascii="Arial" w:hAnsi="Arial" w:cs="Arial"/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BC0B01">
                      <w:rPr>
                        <w:rFonts w:ascii="Arial" w:hAnsi="Arial" w:cs="Arial"/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BC0B01">
      <w:rPr>
        <w:rFonts w:ascii="Arial" w:hAnsi="Arial" w:cs="Arial"/>
        <w:color w:val="000000" w:themeColor="text1"/>
        <w:szCs w:val="24"/>
      </w:rPr>
      <w:t xml:space="preserve">   Smjernice ekonomske i fiskalne politike za period 201</w:t>
    </w:r>
    <w:r>
      <w:rPr>
        <w:rFonts w:ascii="Arial" w:hAnsi="Arial" w:cs="Arial"/>
        <w:color w:val="000000" w:themeColor="text1"/>
        <w:szCs w:val="24"/>
      </w:rPr>
      <w:t>8</w:t>
    </w:r>
    <w:r w:rsidRPr="00BC0B01">
      <w:rPr>
        <w:rFonts w:ascii="Arial" w:hAnsi="Arial" w:cs="Arial"/>
        <w:color w:val="000000" w:themeColor="text1"/>
        <w:szCs w:val="24"/>
      </w:rPr>
      <w:t>. - 20</w:t>
    </w:r>
    <w:r>
      <w:rPr>
        <w:rFonts w:ascii="Arial" w:hAnsi="Arial" w:cs="Arial"/>
        <w:color w:val="000000" w:themeColor="text1"/>
        <w:szCs w:val="24"/>
      </w:rPr>
      <w:t>20</w:t>
    </w:r>
    <w:r w:rsidRPr="00BC0B01">
      <w:rPr>
        <w:rFonts w:ascii="Arial" w:hAnsi="Arial" w:cs="Arial"/>
        <w:color w:val="000000" w:themeColor="text1"/>
        <w:szCs w:val="24"/>
      </w:rPr>
      <w:t>.</w:t>
    </w:r>
  </w:p>
  <w:p w:rsidR="00D61DDB" w:rsidRPr="00072273" w:rsidRDefault="00D61DDB">
    <w:pPr>
      <w:pStyle w:val="Footer"/>
      <w:rPr>
        <w:color w:val="92D05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4A3" w:rsidRDefault="00D434A3" w:rsidP="00FB5C1D">
      <w:pPr>
        <w:spacing w:after="0" w:line="240" w:lineRule="auto"/>
      </w:pPr>
      <w:r>
        <w:separator/>
      </w:r>
    </w:p>
  </w:footnote>
  <w:footnote w:type="continuationSeparator" w:id="0">
    <w:p w:rsidR="00D434A3" w:rsidRDefault="00D434A3" w:rsidP="00FB5C1D">
      <w:pPr>
        <w:spacing w:after="0" w:line="240" w:lineRule="auto"/>
      </w:pPr>
      <w:r>
        <w:continuationSeparator/>
      </w:r>
    </w:p>
  </w:footnote>
  <w:footnote w:id="1">
    <w:p w:rsidR="00D61DDB" w:rsidRDefault="00D61DDB" w:rsidP="00D53F1F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D53F1F">
        <w:rPr>
          <w:sz w:val="18"/>
          <w:lang w:val="bs-Latn-BA"/>
        </w:rPr>
        <w:t>Podaci za 2016. godinu odnose se na devet mjeseci (I-IX 2016. godine)</w:t>
      </w:r>
      <w:r>
        <w:rPr>
          <w:sz w:val="18"/>
          <w:lang w:val="bs-Latn-BA"/>
        </w:rPr>
        <w:t xml:space="preserve">, dok je </w:t>
      </w:r>
      <w:r w:rsidRPr="009A4DDB">
        <w:rPr>
          <w:sz w:val="18"/>
          <w:szCs w:val="18"/>
        </w:rPr>
        <w:t>Federalni zavod za statis</w:t>
      </w:r>
      <w:r>
        <w:rPr>
          <w:sz w:val="18"/>
          <w:szCs w:val="18"/>
        </w:rPr>
        <w:t xml:space="preserve">tiku objavio realne </w:t>
      </w:r>
    </w:p>
    <w:p w:rsidR="00D61DDB" w:rsidRPr="00D53F1F" w:rsidRDefault="00D61DDB">
      <w:pPr>
        <w:pStyle w:val="FootnoteText"/>
        <w:rPr>
          <w:sz w:val="18"/>
          <w:lang w:val="bs-Latn-BA"/>
        </w:rPr>
      </w:pPr>
      <w:r>
        <w:rPr>
          <w:sz w:val="18"/>
          <w:szCs w:val="18"/>
        </w:rPr>
        <w:t xml:space="preserve">   stope rast</w:t>
      </w:r>
      <w:r w:rsidRPr="009A4DDB">
        <w:rPr>
          <w:sz w:val="18"/>
          <w:szCs w:val="18"/>
        </w:rPr>
        <w:t>a BDP-a u 2016</w:t>
      </w:r>
      <w:r>
        <w:rPr>
          <w:sz w:val="18"/>
          <w:szCs w:val="18"/>
        </w:rPr>
        <w:t>.</w:t>
      </w:r>
      <w:r w:rsidRPr="009A4DDB">
        <w:rPr>
          <w:sz w:val="18"/>
          <w:szCs w:val="18"/>
        </w:rPr>
        <w:t xml:space="preserve"> godini za </w:t>
      </w:r>
      <w:r>
        <w:rPr>
          <w:sz w:val="18"/>
          <w:szCs w:val="18"/>
        </w:rPr>
        <w:t>prvi i drugi kvartal.</w:t>
      </w:r>
    </w:p>
  </w:footnote>
  <w:footnote w:id="2">
    <w:p w:rsidR="00D61DDB" w:rsidRPr="00C210AF" w:rsidRDefault="00D61DDB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Pr="0099241A">
        <w:rPr>
          <w:rFonts w:cs="Arial"/>
          <w:sz w:val="18"/>
          <w:szCs w:val="18"/>
        </w:rPr>
        <w:t>U dokumentu je  korišten  pokazatelj BDP-a za Bosnu i Hercegovinu, proizvodni pristup, prema pokazateljima BHAS</w:t>
      </w:r>
      <w:r>
        <w:rPr>
          <w:rFonts w:cs="Arial"/>
          <w:sz w:val="18"/>
          <w:szCs w:val="18"/>
        </w:rPr>
        <w:t>.</w:t>
      </w:r>
    </w:p>
  </w:footnote>
  <w:footnote w:id="3">
    <w:p w:rsidR="00D61DDB" w:rsidRPr="00BE1F46" w:rsidRDefault="00D61DDB" w:rsidP="00C210AF">
      <w:pPr>
        <w:pStyle w:val="FootnoteText"/>
        <w:rPr>
          <w:sz w:val="18"/>
        </w:rPr>
      </w:pPr>
      <w:r>
        <w:rPr>
          <w:rStyle w:val="FootnoteReference"/>
        </w:rPr>
        <w:footnoteRef/>
      </w:r>
      <w:r>
        <w:t xml:space="preserve"> </w:t>
      </w:r>
      <w:r w:rsidRPr="00BE1F46">
        <w:rPr>
          <w:sz w:val="18"/>
        </w:rPr>
        <w:t xml:space="preserve">Procjenjeni podatak Federalnog zavoda za programiranje razvoja na bazi zvanično objavljenog podatka FZS-a </w:t>
      </w:r>
    </w:p>
    <w:p w:rsidR="00D61DDB" w:rsidRPr="00D36624" w:rsidRDefault="00D61DDB" w:rsidP="00C210A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E1F46">
        <w:rPr>
          <w:sz w:val="18"/>
        </w:rPr>
        <w:t xml:space="preserve">  </w:t>
      </w:r>
      <w:r>
        <w:rPr>
          <w:sz w:val="18"/>
        </w:rPr>
        <w:t xml:space="preserve"> </w:t>
      </w:r>
      <w:r w:rsidRPr="00BE1F46">
        <w:rPr>
          <w:sz w:val="18"/>
        </w:rPr>
        <w:t>za prva tri kvartala 201</w:t>
      </w:r>
      <w:r>
        <w:rPr>
          <w:sz w:val="18"/>
        </w:rPr>
        <w:t>6</w:t>
      </w:r>
      <w:r w:rsidRPr="00BE1F46">
        <w:rPr>
          <w:sz w:val="18"/>
        </w:rPr>
        <w:t>. godine</w:t>
      </w:r>
      <w:r>
        <w:rPr>
          <w:sz w:val="18"/>
        </w:rPr>
        <w:t>.</w:t>
      </w:r>
    </w:p>
    <w:p w:rsidR="00D61DDB" w:rsidRPr="00C210AF" w:rsidRDefault="00D61DDB">
      <w:pPr>
        <w:pStyle w:val="FootnoteText"/>
        <w:rPr>
          <w:lang w:val="bs-Latn-BA"/>
        </w:rPr>
      </w:pPr>
    </w:p>
  </w:footnote>
  <w:footnote w:id="4">
    <w:p w:rsidR="00D61DDB" w:rsidRPr="00BE1F46" w:rsidRDefault="00D61DDB" w:rsidP="00187FC7">
      <w:pPr>
        <w:spacing w:after="0" w:line="240" w:lineRule="auto"/>
        <w:jc w:val="both"/>
        <w:rPr>
          <w:rFonts w:cs="Arial"/>
          <w:sz w:val="18"/>
          <w:szCs w:val="18"/>
        </w:rPr>
      </w:pPr>
      <w:r w:rsidRPr="00BE1F46">
        <w:rPr>
          <w:rStyle w:val="FootnoteReference"/>
          <w:rFonts w:cs="Arial"/>
          <w:sz w:val="18"/>
          <w:szCs w:val="18"/>
        </w:rPr>
        <w:footnoteRef/>
      </w:r>
      <w:r w:rsidRPr="00BE1F46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 </w:t>
      </w:r>
      <w:r w:rsidRPr="00BE1F46">
        <w:rPr>
          <w:sz w:val="18"/>
          <w:szCs w:val="18"/>
        </w:rPr>
        <w:t>Dokument okvirnog budžeta – makroekonomske projekcije 2017 – 2019, DEP, mart 2016. godine</w:t>
      </w:r>
    </w:p>
  </w:footnote>
  <w:footnote w:id="5">
    <w:p w:rsidR="00D61DDB" w:rsidRDefault="00D61DDB" w:rsidP="00033A3E">
      <w:pPr>
        <w:pStyle w:val="FootnoteText"/>
        <w:rPr>
          <w:rFonts w:ascii="Calibri" w:hAnsi="Calibri" w:cs="Times New Roman"/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Oko 510 mil.KM u 2017. god, 630 mil.KM 2018. god., 735 mil. KM u 2019. god. i 850 mil. KM  u 2020. god.</w:t>
      </w:r>
    </w:p>
  </w:footnote>
  <w:footnote w:id="6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Gradina d.o.o. oko 150 mil Eur. ii Kamen dent d.o.o., procjena oko 70 mil. Eur.</w:t>
      </w:r>
    </w:p>
  </w:footnote>
  <w:footnote w:id="7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Vrijednost VE Trusina oko 65 mil. EUR, koncesija za izgradnju dodijeljena firmi Eol prvi iz Srbije.</w:t>
      </w:r>
    </w:p>
  </w:footnote>
  <w:footnote w:id="8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>http://greenvalleyuae.com/projects.php?id=13&amp;stat=gallery&amp;lang=en</w:t>
      </w:r>
    </w:p>
  </w:footnote>
  <w:footnote w:id="9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</w:t>
      </w:r>
      <w:hyperlink r:id="rId1" w:history="1">
        <w:r>
          <w:rPr>
            <w:rStyle w:val="Hyperlink"/>
            <w:lang w:val="bs-Latn-BA"/>
          </w:rPr>
          <w:t>http://cic.ba/bs/compact-invest-ulaze-50-mil-km-u-izgradnju-kompleksa-sarajevo-waves-na-ilidzi-2/</w:t>
        </w:r>
      </w:hyperlink>
    </w:p>
  </w:footnote>
  <w:footnote w:id="10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„Buroj Property Development“ iz UAE nije uzeto u projekciju.</w:t>
      </w:r>
    </w:p>
  </w:footnote>
  <w:footnote w:id="11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http://www.fipa.gov.ba/novosti/aktivnosti/default.aspx?id=9227&amp;langTag=en-US.</w:t>
      </w:r>
    </w:p>
  </w:footnote>
  <w:footnote w:id="12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„TE Ugljevik 3“ bi gradila sa kineskom "China Power Engineering Consulting Group Corporation".</w:t>
      </w:r>
    </w:p>
  </w:footnote>
  <w:footnote w:id="13">
    <w:p w:rsidR="00D61DDB" w:rsidRDefault="00D61DDB" w:rsidP="00033A3E">
      <w:pPr>
        <w:pStyle w:val="FootnoteText"/>
        <w:rPr>
          <w:lang w:val="bs-Latn-BA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Vrijednost nije uključena u projekciju.</w:t>
      </w:r>
    </w:p>
  </w:footnote>
  <w:footnote w:id="14">
    <w:p w:rsidR="00D61DDB" w:rsidRDefault="00D61DDB" w:rsidP="00033A3E">
      <w:pPr>
        <w:pStyle w:val="FootnoteText"/>
        <w:rPr>
          <w:lang w:val="en-US"/>
        </w:rPr>
      </w:pPr>
      <w:r>
        <w:rPr>
          <w:rStyle w:val="FootnoteReference"/>
          <w:lang w:val="bs-Latn-BA"/>
        </w:rPr>
        <w:footnoteRef/>
      </w:r>
      <w:r>
        <w:rPr>
          <w:lang w:val="bs-Latn-BA"/>
        </w:rPr>
        <w:t xml:space="preserve"> http://www.autoputevirs.com/aprs/DefaultLang.aspx?lang=cir&amp;lang2=lat.</w:t>
      </w:r>
    </w:p>
  </w:footnote>
  <w:footnote w:id="15">
    <w:p w:rsidR="00D61DDB" w:rsidRPr="0058108A" w:rsidRDefault="00D61DDB" w:rsidP="00225F9C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Pr="0058108A">
        <w:rPr>
          <w:rFonts w:ascii="Arial" w:hAnsi="Arial" w:cs="Arial"/>
          <w:sz w:val="16"/>
          <w:szCs w:val="16"/>
        </w:rPr>
        <w:t>Ukupan dug u Federaciji se odnosi na obaveze preuzete po osnovu vanjskog duga bivše Jugoslavije, preuzete unutarnje obaveze, zaduživanje na domaćem tržištu, uključujući emisiju obveznica i trezorskih zapisa i novo vanjsko zaduženje</w:t>
      </w:r>
    </w:p>
  </w:footnote>
  <w:footnote w:id="16">
    <w:p w:rsidR="00D61DDB" w:rsidRPr="003406CE" w:rsidRDefault="00D61DDB" w:rsidP="00225F9C">
      <w:pPr>
        <w:pStyle w:val="FootnoteText"/>
        <w:jc w:val="both"/>
        <w:rPr>
          <w:rFonts w:ascii="Arial" w:hAnsi="Arial" w:cs="Arial"/>
          <w:sz w:val="16"/>
          <w:szCs w:val="16"/>
          <w:lang w:val="bs-Latn-BA"/>
        </w:rPr>
      </w:pPr>
      <w:r w:rsidRPr="003406CE">
        <w:rPr>
          <w:rStyle w:val="FootnoteReference"/>
          <w:rFonts w:ascii="Arial" w:hAnsi="Arial" w:cs="Arial"/>
          <w:sz w:val="16"/>
          <w:szCs w:val="16"/>
        </w:rPr>
        <w:footnoteRef/>
      </w:r>
      <w:r w:rsidRPr="003406CE">
        <w:rPr>
          <w:rFonts w:ascii="Arial" w:hAnsi="Arial" w:cs="Arial"/>
          <w:sz w:val="16"/>
          <w:szCs w:val="16"/>
        </w:rPr>
        <w:t xml:space="preserve"> </w:t>
      </w:r>
      <w:r w:rsidRPr="003406CE">
        <w:rPr>
          <w:rFonts w:ascii="Arial" w:hAnsi="Arial" w:cs="Arial"/>
          <w:sz w:val="16"/>
          <w:szCs w:val="16"/>
          <w:lang w:val="bs-Latn-BA"/>
        </w:rPr>
        <w:t>Dug Federacije predstavlja dug Vlade Federacije BiH</w:t>
      </w:r>
    </w:p>
  </w:footnote>
  <w:footnote w:id="17">
    <w:p w:rsidR="00D61DDB" w:rsidRPr="003406CE" w:rsidRDefault="00D61DDB" w:rsidP="00225F9C">
      <w:pPr>
        <w:pStyle w:val="FootnoteText"/>
        <w:rPr>
          <w:rFonts w:ascii="Arial" w:hAnsi="Arial" w:cs="Arial"/>
          <w:sz w:val="16"/>
          <w:szCs w:val="16"/>
        </w:rPr>
      </w:pPr>
      <w:r w:rsidRPr="003406CE">
        <w:rPr>
          <w:rStyle w:val="FootnoteReference"/>
          <w:rFonts w:ascii="Arial" w:hAnsi="Arial" w:cs="Arial"/>
          <w:sz w:val="16"/>
          <w:szCs w:val="16"/>
        </w:rPr>
        <w:footnoteRef/>
      </w:r>
      <w:r w:rsidRPr="003406CE">
        <w:rPr>
          <w:rFonts w:ascii="Arial" w:hAnsi="Arial" w:cs="Arial"/>
          <w:sz w:val="16"/>
          <w:szCs w:val="16"/>
        </w:rPr>
        <w:t xml:space="preserve"> Dug Vlade Federacije koji se otplaćuje iz Budžeta FBiH i koji nije supsidijarno prenesen na krajnje korisnike</w:t>
      </w:r>
    </w:p>
  </w:footnote>
  <w:footnote w:id="18">
    <w:p w:rsidR="00D61DDB" w:rsidRPr="00294CC5" w:rsidRDefault="00D61DDB" w:rsidP="00225F9C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Pr="00357693">
        <w:rPr>
          <w:rFonts w:ascii="Arial" w:hAnsi="Arial" w:cs="Arial"/>
          <w:sz w:val="16"/>
          <w:szCs w:val="16"/>
        </w:rPr>
        <w:t>BDP-a Federacije BiH</w:t>
      </w:r>
      <w:r>
        <w:rPr>
          <w:rFonts w:ascii="Arial" w:hAnsi="Arial" w:cs="Arial"/>
          <w:sz w:val="16"/>
          <w:szCs w:val="16"/>
        </w:rPr>
        <w:t>: prva procjena Federalnog zavoda za statistiku navedeno u Saopćenju  broj: 10.3.4 od 31.03.2017. godine</w:t>
      </w:r>
    </w:p>
  </w:footnote>
  <w:footnote w:id="19">
    <w:p w:rsidR="00D61DDB" w:rsidRPr="00EA0B41" w:rsidRDefault="00D61DDB" w:rsidP="00225F9C">
      <w:pPr>
        <w:pStyle w:val="FootnoteText"/>
        <w:rPr>
          <w:rFonts w:ascii="Arial" w:hAnsi="Arial" w:cs="Arial"/>
          <w:sz w:val="16"/>
          <w:szCs w:val="16"/>
          <w:lang w:val="bs-Latn-BA"/>
        </w:rPr>
      </w:pPr>
      <w:r w:rsidRPr="00EA0B41">
        <w:rPr>
          <w:rStyle w:val="FootnoteReference"/>
          <w:rFonts w:ascii="Arial" w:hAnsi="Arial" w:cs="Arial"/>
          <w:sz w:val="16"/>
          <w:szCs w:val="16"/>
        </w:rPr>
        <w:footnoteRef/>
      </w:r>
      <w:r w:rsidRPr="00EA0B41">
        <w:rPr>
          <w:rFonts w:ascii="Arial" w:hAnsi="Arial" w:cs="Arial"/>
          <w:sz w:val="16"/>
          <w:szCs w:val="16"/>
        </w:rPr>
        <w:t xml:space="preserve"> </w:t>
      </w:r>
      <w:r w:rsidRPr="00EA0B41">
        <w:rPr>
          <w:rFonts w:ascii="Arial" w:hAnsi="Arial" w:cs="Arial"/>
          <w:sz w:val="16"/>
          <w:szCs w:val="16"/>
          <w:lang w:val="bs-Latn-BA"/>
        </w:rPr>
        <w:t>BDP za 2015. –stalne cijene u cijenama prethodne godine; izvor: Statistički godišnjak7ljetopis FBiH 2016</w:t>
      </w:r>
    </w:p>
  </w:footnote>
  <w:footnote w:id="20">
    <w:p w:rsidR="00D61DDB" w:rsidRPr="00EA0B41" w:rsidRDefault="00D61DDB" w:rsidP="00225F9C">
      <w:pPr>
        <w:pStyle w:val="FootnoteText"/>
        <w:jc w:val="both"/>
        <w:rPr>
          <w:rFonts w:ascii="Arial" w:hAnsi="Arial" w:cs="Arial"/>
          <w:sz w:val="16"/>
          <w:szCs w:val="16"/>
          <w:lang w:val="bs-Latn-BA"/>
        </w:rPr>
      </w:pPr>
      <w:r w:rsidRPr="00EA0B41">
        <w:rPr>
          <w:rStyle w:val="FootnoteReference"/>
          <w:rFonts w:ascii="Arial" w:hAnsi="Arial" w:cs="Arial"/>
          <w:sz w:val="16"/>
          <w:szCs w:val="16"/>
          <w:lang w:val="bs-Latn-BA"/>
        </w:rPr>
        <w:footnoteRef/>
      </w:r>
      <w:r w:rsidRPr="00EA0B41">
        <w:rPr>
          <w:rFonts w:ascii="Arial" w:hAnsi="Arial" w:cs="Arial"/>
          <w:sz w:val="16"/>
          <w:szCs w:val="16"/>
          <w:lang w:val="bs-Latn-BA"/>
        </w:rPr>
        <w:t xml:space="preserve"> Zakon o dugu, zaduživanju i garancijama u Federaciji Bosne i Hercegovine („Službene novine Federacije BiH“, br: 86/07, 24/09, 44/10 i 30/16)</w:t>
      </w:r>
    </w:p>
  </w:footnote>
  <w:footnote w:id="21">
    <w:p w:rsidR="00D61DDB" w:rsidRPr="00EF7A53" w:rsidRDefault="00D61DDB" w:rsidP="00225F9C">
      <w:pPr>
        <w:pStyle w:val="FootnoteText"/>
        <w:rPr>
          <w:rFonts w:ascii="Arial" w:hAnsi="Arial" w:cs="Arial"/>
          <w:sz w:val="16"/>
          <w:szCs w:val="16"/>
          <w:lang w:val="bs-Latn-BA"/>
        </w:rPr>
      </w:pPr>
      <w:r w:rsidRPr="00EF7A53">
        <w:rPr>
          <w:rStyle w:val="FootnoteReference"/>
          <w:rFonts w:ascii="Arial" w:hAnsi="Arial" w:cs="Arial"/>
          <w:sz w:val="16"/>
          <w:szCs w:val="16"/>
        </w:rPr>
        <w:footnoteRef/>
      </w:r>
      <w:r w:rsidRPr="00EF7A53">
        <w:rPr>
          <w:rFonts w:ascii="Arial" w:hAnsi="Arial" w:cs="Arial"/>
          <w:sz w:val="16"/>
          <w:szCs w:val="16"/>
        </w:rPr>
        <w:t xml:space="preserve"> Strategiju upravljanja dugom Vlada Federacije još uvijek donosi u skladu sa Reformskim planom, </w:t>
      </w:r>
      <w:r>
        <w:rPr>
          <w:rFonts w:ascii="Arial" w:hAnsi="Arial" w:cs="Arial"/>
          <w:sz w:val="16"/>
          <w:szCs w:val="16"/>
        </w:rPr>
        <w:t xml:space="preserve"> obzirom da obaveza njenog donošenja nije Zakonom  propisana</w:t>
      </w:r>
    </w:p>
  </w:footnote>
  <w:footnote w:id="22">
    <w:p w:rsidR="00D61DDB" w:rsidRPr="00293CDE" w:rsidRDefault="00D61DDB" w:rsidP="00225F9C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s-Latn-BA"/>
        </w:rPr>
        <w:t>Za 2020. godinu izvršena procjena povlačenja ino kredita za finansiranje projekata</w:t>
      </w:r>
    </w:p>
  </w:footnote>
  <w:footnote w:id="23">
    <w:p w:rsidR="00D61DDB" w:rsidRDefault="00D61DDB" w:rsidP="00225F9C">
      <w:pPr>
        <w:pStyle w:val="FootnoteText"/>
        <w:ind w:hanging="567"/>
        <w:rPr>
          <w:rFonts w:ascii="Arial" w:hAnsi="Arial" w:cs="Arial"/>
          <w:sz w:val="16"/>
          <w:szCs w:val="16"/>
          <w:lang w:val="bs-Latn-BA"/>
        </w:rPr>
      </w:pPr>
      <w:r w:rsidRPr="000E3711">
        <w:rPr>
          <w:rStyle w:val="FootnoteReference"/>
          <w:rFonts w:ascii="Arial" w:hAnsi="Arial" w:cs="Arial"/>
          <w:sz w:val="16"/>
          <w:szCs w:val="16"/>
        </w:rPr>
        <w:footnoteRef/>
      </w:r>
      <w:r w:rsidRPr="000E3711">
        <w:rPr>
          <w:rFonts w:ascii="Arial" w:hAnsi="Arial" w:cs="Arial"/>
          <w:sz w:val="16"/>
          <w:szCs w:val="16"/>
        </w:rPr>
        <w:t xml:space="preserve"> </w:t>
      </w:r>
      <w:r w:rsidRPr="000E3711">
        <w:rPr>
          <w:rFonts w:ascii="Arial" w:hAnsi="Arial" w:cs="Arial"/>
          <w:sz w:val="16"/>
          <w:szCs w:val="16"/>
          <w:lang w:val="bs-Latn-BA"/>
        </w:rPr>
        <w:t>Projekcije za unutarnji dug</w:t>
      </w:r>
      <w:r>
        <w:rPr>
          <w:rFonts w:ascii="Arial" w:hAnsi="Arial" w:cs="Arial"/>
          <w:sz w:val="16"/>
          <w:szCs w:val="16"/>
          <w:lang w:val="bs-Latn-BA"/>
        </w:rPr>
        <w:t xml:space="preserve"> u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Federacij</w:t>
      </w:r>
      <w:r>
        <w:rPr>
          <w:rFonts w:ascii="Arial" w:hAnsi="Arial" w:cs="Arial"/>
          <w:sz w:val="16"/>
          <w:szCs w:val="16"/>
          <w:lang w:val="bs-Latn-BA"/>
        </w:rPr>
        <w:t>i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BiH bazirane su</w:t>
      </w:r>
      <w:r>
        <w:rPr>
          <w:rFonts w:ascii="Arial" w:hAnsi="Arial" w:cs="Arial"/>
          <w:sz w:val="16"/>
          <w:szCs w:val="16"/>
          <w:lang w:val="bs-Latn-BA"/>
        </w:rPr>
        <w:t>:</w:t>
      </w:r>
    </w:p>
    <w:p w:rsidR="00D61DDB" w:rsidRDefault="00D61DDB" w:rsidP="00225F9C">
      <w:pPr>
        <w:pStyle w:val="FootnoteText"/>
        <w:ind w:hanging="567"/>
        <w:rPr>
          <w:rFonts w:ascii="Arial" w:hAnsi="Arial" w:cs="Arial"/>
          <w:sz w:val="16"/>
          <w:szCs w:val="16"/>
          <w:lang w:val="bs-Latn-BA"/>
        </w:rPr>
      </w:pPr>
      <w:r>
        <w:rPr>
          <w:rFonts w:ascii="Arial" w:hAnsi="Arial" w:cs="Arial"/>
          <w:sz w:val="16"/>
          <w:szCs w:val="16"/>
          <w:lang w:val="bs-Latn-BA"/>
        </w:rPr>
        <w:t xml:space="preserve">  Za Federaciju BiH</w:t>
      </w:r>
      <w:r w:rsidRPr="009A60A3">
        <w:rPr>
          <w:rFonts w:ascii="Arial" w:hAnsi="Arial" w:cs="Arial"/>
          <w:sz w:val="16"/>
          <w:szCs w:val="16"/>
          <w:lang w:val="bs-Latn-BA"/>
        </w:rPr>
        <w:t xml:space="preserve"> </w:t>
      </w:r>
      <w:r w:rsidRPr="000E3711">
        <w:rPr>
          <w:rFonts w:ascii="Arial" w:hAnsi="Arial" w:cs="Arial"/>
          <w:sz w:val="16"/>
          <w:szCs w:val="16"/>
          <w:lang w:val="bs-Latn-BA"/>
        </w:rPr>
        <w:t>na</w:t>
      </w:r>
      <w:r>
        <w:rPr>
          <w:rFonts w:ascii="Arial" w:hAnsi="Arial" w:cs="Arial"/>
          <w:sz w:val="16"/>
          <w:szCs w:val="16"/>
          <w:lang w:val="bs-Latn-BA"/>
        </w:rPr>
        <w:t>:</w:t>
      </w:r>
    </w:p>
    <w:p w:rsidR="00D61DDB" w:rsidRPr="00732CB5" w:rsidRDefault="00D61DDB" w:rsidP="00225F9C">
      <w:pPr>
        <w:pStyle w:val="FootnoteText"/>
        <w:numPr>
          <w:ilvl w:val="0"/>
          <w:numId w:val="16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 w:rsidRPr="00732CB5">
        <w:rPr>
          <w:rFonts w:ascii="Arial" w:hAnsi="Arial" w:cs="Arial"/>
          <w:sz w:val="16"/>
          <w:szCs w:val="16"/>
          <w:lang w:val="bs-Latn-BA"/>
        </w:rPr>
        <w:t xml:space="preserve">postojećem dugu Federacije sa stanjem na dan 31.12.2016. godine i otplatama duga </w:t>
      </w:r>
      <w:r>
        <w:rPr>
          <w:rFonts w:ascii="Arial" w:hAnsi="Arial" w:cs="Arial"/>
          <w:sz w:val="16"/>
          <w:szCs w:val="16"/>
          <w:lang w:val="bs-Latn-BA"/>
        </w:rPr>
        <w:t xml:space="preserve">koje </w:t>
      </w:r>
      <w:r w:rsidRPr="00732CB5">
        <w:rPr>
          <w:rFonts w:ascii="Arial" w:hAnsi="Arial" w:cs="Arial"/>
          <w:sz w:val="16"/>
          <w:szCs w:val="16"/>
          <w:lang w:val="bs-Latn-BA"/>
        </w:rPr>
        <w:t>se odnos</w:t>
      </w:r>
      <w:r>
        <w:rPr>
          <w:rFonts w:ascii="Arial" w:hAnsi="Arial" w:cs="Arial"/>
          <w:sz w:val="16"/>
          <w:szCs w:val="16"/>
          <w:lang w:val="bs-Latn-BA"/>
        </w:rPr>
        <w:t>e na isti</w:t>
      </w:r>
      <w:r w:rsidRPr="00732CB5">
        <w:rPr>
          <w:rFonts w:ascii="Arial" w:hAnsi="Arial" w:cs="Arial"/>
          <w:sz w:val="16"/>
          <w:szCs w:val="16"/>
          <w:lang w:val="bs-Latn-BA"/>
        </w:rPr>
        <w:t>,</w:t>
      </w:r>
    </w:p>
    <w:p w:rsidR="00D61DDB" w:rsidRDefault="00D61DDB" w:rsidP="00225F9C">
      <w:pPr>
        <w:pStyle w:val="FootnoteText"/>
        <w:numPr>
          <w:ilvl w:val="0"/>
          <w:numId w:val="16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>
        <w:rPr>
          <w:rFonts w:ascii="Arial" w:hAnsi="Arial" w:cs="Arial"/>
          <w:sz w:val="16"/>
          <w:szCs w:val="16"/>
          <w:lang w:val="bs-Latn-BA"/>
        </w:rPr>
        <w:t>otplatama za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IX emisiju obveznica za izmirenje stare devizne štednje</w:t>
      </w:r>
    </w:p>
    <w:p w:rsidR="00D61DDB" w:rsidRDefault="00D61DDB" w:rsidP="00225F9C">
      <w:pPr>
        <w:pStyle w:val="FootnoteText"/>
        <w:numPr>
          <w:ilvl w:val="0"/>
          <w:numId w:val="16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 w:rsidRPr="000E3711">
        <w:rPr>
          <w:rFonts w:ascii="Arial" w:hAnsi="Arial" w:cs="Arial"/>
          <w:sz w:val="16"/>
          <w:szCs w:val="16"/>
          <w:lang w:val="bs-Latn-BA"/>
        </w:rPr>
        <w:t>planirano</w:t>
      </w:r>
      <w:r>
        <w:rPr>
          <w:rFonts w:ascii="Arial" w:hAnsi="Arial" w:cs="Arial"/>
          <w:sz w:val="16"/>
          <w:szCs w:val="16"/>
          <w:lang w:val="bs-Latn-BA"/>
        </w:rPr>
        <w:t>m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izdanj</w:t>
      </w:r>
      <w:r>
        <w:rPr>
          <w:rFonts w:ascii="Arial" w:hAnsi="Arial" w:cs="Arial"/>
          <w:sz w:val="16"/>
          <w:szCs w:val="16"/>
          <w:lang w:val="bs-Latn-BA"/>
        </w:rPr>
        <w:t>u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</w:t>
      </w:r>
      <w:r>
        <w:rPr>
          <w:rFonts w:ascii="Arial" w:hAnsi="Arial" w:cs="Arial"/>
          <w:sz w:val="16"/>
          <w:szCs w:val="16"/>
          <w:lang w:val="bs-Latn-BA"/>
        </w:rPr>
        <w:t xml:space="preserve">i otplatama </w:t>
      </w:r>
      <w:r w:rsidRPr="000E3711">
        <w:rPr>
          <w:rFonts w:ascii="Arial" w:hAnsi="Arial" w:cs="Arial"/>
          <w:sz w:val="16"/>
          <w:szCs w:val="16"/>
          <w:lang w:val="bs-Latn-BA"/>
        </w:rPr>
        <w:t>tržišnih vrijednosnih papira</w:t>
      </w:r>
      <w:r>
        <w:rPr>
          <w:rFonts w:ascii="Arial" w:hAnsi="Arial" w:cs="Arial"/>
          <w:sz w:val="16"/>
          <w:szCs w:val="16"/>
          <w:lang w:val="bs-Latn-BA"/>
        </w:rPr>
        <w:t xml:space="preserve"> Federacije BiH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prema indikativnom kalendaru za 2017. godinu  </w:t>
      </w:r>
    </w:p>
    <w:p w:rsidR="00D61DDB" w:rsidRDefault="00D61DDB" w:rsidP="00225F9C">
      <w:pPr>
        <w:pStyle w:val="FootnoteText"/>
        <w:numPr>
          <w:ilvl w:val="0"/>
          <w:numId w:val="16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>
        <w:rPr>
          <w:rFonts w:ascii="Arial" w:hAnsi="Arial" w:cs="Arial"/>
          <w:sz w:val="16"/>
          <w:szCs w:val="16"/>
          <w:lang w:val="bs-Latn-BA"/>
        </w:rPr>
        <w:t xml:space="preserve">procjeni izdanja </w:t>
      </w:r>
      <w:r w:rsidRPr="000E3711">
        <w:rPr>
          <w:rFonts w:ascii="Arial" w:hAnsi="Arial" w:cs="Arial"/>
          <w:sz w:val="16"/>
          <w:szCs w:val="16"/>
          <w:lang w:val="bs-Latn-BA"/>
        </w:rPr>
        <w:t>tržišnih vrijednosnih papira</w:t>
      </w:r>
      <w:r>
        <w:rPr>
          <w:rFonts w:ascii="Arial" w:hAnsi="Arial" w:cs="Arial"/>
          <w:sz w:val="16"/>
          <w:szCs w:val="16"/>
          <w:lang w:val="bs-Latn-BA"/>
        </w:rPr>
        <w:t xml:space="preserve"> Federacije BiH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</w:t>
      </w:r>
      <w:r>
        <w:rPr>
          <w:rFonts w:ascii="Arial" w:hAnsi="Arial" w:cs="Arial"/>
          <w:sz w:val="16"/>
          <w:szCs w:val="16"/>
          <w:lang w:val="bs-Latn-BA"/>
        </w:rPr>
        <w:t>u periodu 2018-2020. godina i otplata po njihovom dospijeću</w:t>
      </w:r>
    </w:p>
    <w:p w:rsidR="00D61DDB" w:rsidRDefault="00D61DDB" w:rsidP="00225F9C">
      <w:pPr>
        <w:pStyle w:val="FootnoteText"/>
        <w:ind w:hanging="567"/>
        <w:rPr>
          <w:rFonts w:ascii="Arial" w:hAnsi="Arial" w:cs="Arial"/>
          <w:sz w:val="16"/>
          <w:szCs w:val="16"/>
          <w:lang w:val="bs-Latn-BA"/>
        </w:rPr>
      </w:pPr>
      <w:r>
        <w:rPr>
          <w:rFonts w:ascii="Arial" w:hAnsi="Arial" w:cs="Arial"/>
          <w:sz w:val="16"/>
          <w:szCs w:val="16"/>
          <w:lang w:val="bs-Latn-BA"/>
        </w:rPr>
        <w:t>Za kantone na:</w:t>
      </w:r>
    </w:p>
    <w:p w:rsidR="00D61DDB" w:rsidRPr="00732CB5" w:rsidRDefault="00D61DDB" w:rsidP="00225F9C">
      <w:pPr>
        <w:pStyle w:val="FootnoteText"/>
        <w:numPr>
          <w:ilvl w:val="0"/>
          <w:numId w:val="17"/>
        </w:numPr>
        <w:ind w:hanging="567"/>
        <w:rPr>
          <w:rFonts w:ascii="Arial" w:hAnsi="Arial" w:cs="Arial"/>
          <w:sz w:val="16"/>
          <w:szCs w:val="16"/>
        </w:rPr>
      </w:pPr>
      <w:r w:rsidRPr="00732CB5">
        <w:rPr>
          <w:rFonts w:ascii="Arial" w:hAnsi="Arial" w:cs="Arial"/>
          <w:sz w:val="16"/>
          <w:szCs w:val="16"/>
        </w:rPr>
        <w:t xml:space="preserve">postojećem dugu kantona sa stanjem na dan 31.12.2016. godine i </w:t>
      </w:r>
      <w:r w:rsidRPr="00732CB5">
        <w:rPr>
          <w:rFonts w:ascii="Arial" w:hAnsi="Arial" w:cs="Arial"/>
          <w:sz w:val="16"/>
          <w:szCs w:val="16"/>
          <w:lang w:val="bs-Latn-BA"/>
        </w:rPr>
        <w:t xml:space="preserve">otplatama </w:t>
      </w:r>
      <w:r>
        <w:rPr>
          <w:rFonts w:ascii="Arial" w:hAnsi="Arial" w:cs="Arial"/>
          <w:sz w:val="16"/>
          <w:szCs w:val="16"/>
          <w:lang w:val="bs-Latn-BA"/>
        </w:rPr>
        <w:t>koje</w:t>
      </w:r>
      <w:r w:rsidRPr="00732CB5">
        <w:rPr>
          <w:rFonts w:ascii="Arial" w:hAnsi="Arial" w:cs="Arial"/>
          <w:sz w:val="16"/>
          <w:szCs w:val="16"/>
          <w:lang w:val="bs-Latn-BA"/>
        </w:rPr>
        <w:t xml:space="preserve"> se odnosi na </w:t>
      </w:r>
      <w:r>
        <w:rPr>
          <w:rFonts w:ascii="Arial" w:hAnsi="Arial" w:cs="Arial"/>
          <w:sz w:val="16"/>
          <w:szCs w:val="16"/>
          <w:lang w:val="bs-Latn-BA"/>
        </w:rPr>
        <w:t>isti</w:t>
      </w:r>
    </w:p>
    <w:p w:rsidR="00D61DDB" w:rsidRPr="00732CB5" w:rsidRDefault="00D61DDB" w:rsidP="00225F9C">
      <w:pPr>
        <w:pStyle w:val="FootnoteText"/>
        <w:numPr>
          <w:ilvl w:val="0"/>
          <w:numId w:val="17"/>
        </w:numPr>
        <w:ind w:hanging="567"/>
        <w:rPr>
          <w:rFonts w:ascii="Arial" w:hAnsi="Arial" w:cs="Arial"/>
          <w:sz w:val="16"/>
          <w:szCs w:val="16"/>
        </w:rPr>
      </w:pPr>
      <w:r w:rsidRPr="000E3711">
        <w:rPr>
          <w:rFonts w:ascii="Arial" w:hAnsi="Arial" w:cs="Arial"/>
          <w:sz w:val="16"/>
          <w:szCs w:val="16"/>
          <w:lang w:val="bs-Latn-BA"/>
        </w:rPr>
        <w:t>planirano</w:t>
      </w:r>
      <w:r>
        <w:rPr>
          <w:rFonts w:ascii="Arial" w:hAnsi="Arial" w:cs="Arial"/>
          <w:sz w:val="16"/>
          <w:szCs w:val="16"/>
          <w:lang w:val="bs-Latn-BA"/>
        </w:rPr>
        <w:t>m</w:t>
      </w:r>
      <w:r w:rsidRPr="000E3711">
        <w:rPr>
          <w:rFonts w:ascii="Arial" w:hAnsi="Arial" w:cs="Arial"/>
          <w:sz w:val="16"/>
          <w:szCs w:val="16"/>
          <w:lang w:val="bs-Latn-BA"/>
        </w:rPr>
        <w:t xml:space="preserve"> izdanj</w:t>
      </w:r>
      <w:r>
        <w:rPr>
          <w:rFonts w:ascii="Arial" w:hAnsi="Arial" w:cs="Arial"/>
          <w:sz w:val="16"/>
          <w:szCs w:val="16"/>
          <w:lang w:val="bs-Latn-BA"/>
        </w:rPr>
        <w:t>u obveznica Kantona Sarajevo u 2017. godini i otplatama po njihovom dospijeću</w:t>
      </w:r>
    </w:p>
    <w:p w:rsidR="00D61DDB" w:rsidRPr="000E3711" w:rsidRDefault="00D61DDB" w:rsidP="00225F9C">
      <w:pPr>
        <w:pStyle w:val="FootnoteText"/>
        <w:numPr>
          <w:ilvl w:val="0"/>
          <w:numId w:val="17"/>
        </w:numPr>
        <w:ind w:hanging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bs-Latn-BA"/>
        </w:rPr>
        <w:t>procjeni domaćeg zaduženja kantona za finansiranje projekata (na osnovu kantonalnih programa javnih investicija 2017-2019 za kantone Bosansko-podrinjski, Sarajevski, Tuzlanski, Kanton 10 i Zeničko-dobojski)</w:t>
      </w:r>
    </w:p>
    <w:p w:rsidR="00D61DDB" w:rsidRDefault="00D61DDB" w:rsidP="00225F9C">
      <w:pPr>
        <w:pStyle w:val="FootnoteText"/>
        <w:ind w:hanging="567"/>
        <w:rPr>
          <w:rFonts w:ascii="Arial" w:hAnsi="Arial" w:cs="Arial"/>
          <w:sz w:val="16"/>
          <w:szCs w:val="16"/>
          <w:lang w:val="bs-Latn-BA"/>
        </w:rPr>
      </w:pPr>
      <w:r>
        <w:rPr>
          <w:rFonts w:ascii="Arial" w:hAnsi="Arial" w:cs="Arial"/>
          <w:sz w:val="16"/>
          <w:szCs w:val="16"/>
          <w:lang w:val="bs-Latn-BA"/>
        </w:rPr>
        <w:t>Za gradove i općine na:</w:t>
      </w:r>
    </w:p>
    <w:p w:rsidR="00D61DDB" w:rsidRPr="00497A53" w:rsidRDefault="00D61DDB" w:rsidP="00225F9C">
      <w:pPr>
        <w:pStyle w:val="FootnoteText"/>
        <w:numPr>
          <w:ilvl w:val="0"/>
          <w:numId w:val="18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 w:rsidRPr="00497A53">
        <w:rPr>
          <w:rFonts w:ascii="Arial" w:hAnsi="Arial" w:cs="Arial"/>
          <w:sz w:val="16"/>
          <w:szCs w:val="16"/>
        </w:rPr>
        <w:t xml:space="preserve">postojećem dugu sa stanjem na dan 31.12.2016. godine i </w:t>
      </w:r>
      <w:r w:rsidRPr="00497A53">
        <w:rPr>
          <w:rFonts w:ascii="Arial" w:hAnsi="Arial" w:cs="Arial"/>
          <w:sz w:val="16"/>
          <w:szCs w:val="16"/>
          <w:lang w:val="bs-Latn-BA"/>
        </w:rPr>
        <w:t xml:space="preserve">otplatama koje se odnose na isti i </w:t>
      </w:r>
      <w:r w:rsidRPr="00497A53">
        <w:rPr>
          <w:rFonts w:ascii="Arial" w:hAnsi="Arial" w:cs="Arial"/>
          <w:sz w:val="16"/>
          <w:szCs w:val="16"/>
        </w:rPr>
        <w:t>ne uključuju nova zaduženja</w:t>
      </w:r>
    </w:p>
  </w:footnote>
  <w:footnote w:id="24">
    <w:p w:rsidR="00D61DDB" w:rsidRPr="00142336" w:rsidRDefault="00D61DDB" w:rsidP="00225F9C">
      <w:pPr>
        <w:pStyle w:val="FootnoteText"/>
        <w:ind w:hanging="567"/>
        <w:rPr>
          <w:rFonts w:ascii="Arial" w:hAnsi="Arial" w:cs="Arial"/>
          <w:sz w:val="16"/>
          <w:szCs w:val="16"/>
        </w:rPr>
      </w:pPr>
      <w:r w:rsidRPr="00142336">
        <w:rPr>
          <w:rStyle w:val="FootnoteReference"/>
          <w:rFonts w:ascii="Arial" w:hAnsi="Arial" w:cs="Arial"/>
          <w:sz w:val="16"/>
          <w:szCs w:val="16"/>
        </w:rPr>
        <w:footnoteRef/>
      </w:r>
      <w:r w:rsidRPr="00142336">
        <w:rPr>
          <w:rFonts w:ascii="Arial" w:hAnsi="Arial" w:cs="Arial"/>
          <w:sz w:val="16"/>
          <w:szCs w:val="16"/>
        </w:rPr>
        <w:t xml:space="preserve"> </w:t>
      </w:r>
      <w:r w:rsidRPr="00142336">
        <w:rPr>
          <w:rFonts w:ascii="Arial" w:hAnsi="Arial" w:cs="Arial"/>
          <w:sz w:val="16"/>
          <w:szCs w:val="16"/>
          <w:lang w:val="bs-Latn-BA"/>
        </w:rPr>
        <w:t>Projekcije za vanjski dug u Federaciji BiH bazirane su na:</w:t>
      </w:r>
    </w:p>
    <w:p w:rsidR="00D61DDB" w:rsidRPr="00142336" w:rsidRDefault="00D61DDB" w:rsidP="00225F9C">
      <w:pPr>
        <w:pStyle w:val="FootnoteText"/>
        <w:numPr>
          <w:ilvl w:val="0"/>
          <w:numId w:val="19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 w:rsidRPr="00142336">
        <w:rPr>
          <w:rFonts w:ascii="Arial" w:hAnsi="Arial" w:cs="Arial"/>
          <w:sz w:val="16"/>
          <w:szCs w:val="16"/>
        </w:rPr>
        <w:t xml:space="preserve">postojećem vanjskom dugu Federacije BiH, kantona, gradova, općina, javnih preduzeća i ostalih korisnika sa stanjem na dan 31.12.2016. godine i  </w:t>
      </w:r>
      <w:r w:rsidRPr="00142336">
        <w:rPr>
          <w:rFonts w:ascii="Arial" w:hAnsi="Arial" w:cs="Arial"/>
          <w:sz w:val="16"/>
          <w:szCs w:val="16"/>
          <w:lang w:val="bs-Latn-BA"/>
        </w:rPr>
        <w:t>otplatama koje se odnose na isti</w:t>
      </w:r>
      <w:r w:rsidRPr="00142336">
        <w:rPr>
          <w:rFonts w:ascii="Arial" w:hAnsi="Arial" w:cs="Arial"/>
          <w:sz w:val="16"/>
          <w:szCs w:val="16"/>
        </w:rPr>
        <w:t xml:space="preserve"> </w:t>
      </w:r>
    </w:p>
    <w:p w:rsidR="00D61DDB" w:rsidRPr="00142336" w:rsidRDefault="00D61DDB" w:rsidP="00225F9C">
      <w:pPr>
        <w:pStyle w:val="FootnoteText"/>
        <w:numPr>
          <w:ilvl w:val="0"/>
          <w:numId w:val="19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 w:rsidRPr="00142336">
        <w:rPr>
          <w:rFonts w:ascii="Arial" w:hAnsi="Arial" w:cs="Arial"/>
          <w:sz w:val="16"/>
          <w:szCs w:val="16"/>
          <w:lang w:val="bs-Latn-BA"/>
        </w:rPr>
        <w:t xml:space="preserve">procjeni povlačenja sredstava MMF-a (EFF) i Svjetske banke (DPL) </w:t>
      </w:r>
    </w:p>
    <w:p w:rsidR="00D61DDB" w:rsidRPr="00142336" w:rsidRDefault="00D61DDB" w:rsidP="00225F9C">
      <w:pPr>
        <w:pStyle w:val="FootnoteText"/>
        <w:numPr>
          <w:ilvl w:val="0"/>
          <w:numId w:val="19"/>
        </w:numPr>
        <w:ind w:hanging="567"/>
        <w:rPr>
          <w:rFonts w:ascii="Arial" w:hAnsi="Arial" w:cs="Arial"/>
          <w:sz w:val="16"/>
          <w:szCs w:val="16"/>
          <w:lang w:val="bs-Latn-BA"/>
        </w:rPr>
      </w:pPr>
      <w:r w:rsidRPr="00142336">
        <w:rPr>
          <w:rFonts w:ascii="Arial" w:hAnsi="Arial" w:cs="Arial"/>
          <w:sz w:val="16"/>
          <w:szCs w:val="16"/>
          <w:lang w:val="bs-Latn-BA"/>
        </w:rPr>
        <w:t xml:space="preserve">procjeni zaduženja za finansiranje projekata uključenih u PJI Federacije i procjeni zaduženja kantona za finansiranje projekata (na osnovu kantonalnih programa javnih investicija 2017-2019 za kantone Bosansko-podrinjski, Sarajevski, Tuzlanski, Kanton 10 i Zeničko-dobojski)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C1684"/>
    <w:multiLevelType w:val="hybridMultilevel"/>
    <w:tmpl w:val="14543998"/>
    <w:lvl w:ilvl="0" w:tplc="A740BBC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E4E6F"/>
    <w:multiLevelType w:val="hybridMultilevel"/>
    <w:tmpl w:val="9C2E173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F7410"/>
    <w:multiLevelType w:val="hybridMultilevel"/>
    <w:tmpl w:val="D59085CC"/>
    <w:lvl w:ilvl="0" w:tplc="8BBE606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0653E"/>
    <w:multiLevelType w:val="hybridMultilevel"/>
    <w:tmpl w:val="9C841A70"/>
    <w:lvl w:ilvl="0" w:tplc="A740BBC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D7B16"/>
    <w:multiLevelType w:val="hybridMultilevel"/>
    <w:tmpl w:val="B6E62C3C"/>
    <w:lvl w:ilvl="0" w:tplc="A740BBC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AAE"/>
    <w:multiLevelType w:val="hybridMultilevel"/>
    <w:tmpl w:val="FDEAA7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B7621"/>
    <w:multiLevelType w:val="hybridMultilevel"/>
    <w:tmpl w:val="4F0C0CBE"/>
    <w:lvl w:ilvl="0" w:tplc="DA2C5C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87D3D"/>
    <w:multiLevelType w:val="hybridMultilevel"/>
    <w:tmpl w:val="C842085C"/>
    <w:lvl w:ilvl="0" w:tplc="A740BBCE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hint="default"/>
      </w:rPr>
    </w:lvl>
    <w:lvl w:ilvl="1" w:tplc="1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C204B0D"/>
    <w:multiLevelType w:val="hybridMultilevel"/>
    <w:tmpl w:val="DAA6C04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34611"/>
    <w:multiLevelType w:val="hybridMultilevel"/>
    <w:tmpl w:val="D7A4639A"/>
    <w:lvl w:ilvl="0" w:tplc="B77A7646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5D159E"/>
    <w:multiLevelType w:val="hybridMultilevel"/>
    <w:tmpl w:val="04C436B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C4C17"/>
    <w:multiLevelType w:val="hybridMultilevel"/>
    <w:tmpl w:val="9F0ACA5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335E57"/>
    <w:multiLevelType w:val="hybridMultilevel"/>
    <w:tmpl w:val="F82C4060"/>
    <w:lvl w:ilvl="0" w:tplc="08947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717572"/>
    <w:multiLevelType w:val="hybridMultilevel"/>
    <w:tmpl w:val="D84EC8FC"/>
    <w:lvl w:ilvl="0" w:tplc="1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31907E0"/>
    <w:multiLevelType w:val="hybridMultilevel"/>
    <w:tmpl w:val="E5B27D48"/>
    <w:lvl w:ilvl="0" w:tplc="A9746AC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E8709DA"/>
    <w:multiLevelType w:val="hybridMultilevel"/>
    <w:tmpl w:val="3320ADC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15418"/>
    <w:multiLevelType w:val="hybridMultilevel"/>
    <w:tmpl w:val="E3445754"/>
    <w:lvl w:ilvl="0" w:tplc="1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BA0F8D"/>
    <w:multiLevelType w:val="hybridMultilevel"/>
    <w:tmpl w:val="A25A01B6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A1D9F"/>
    <w:multiLevelType w:val="hybridMultilevel"/>
    <w:tmpl w:val="1D6E8564"/>
    <w:lvl w:ilvl="0" w:tplc="04381C9E">
      <w:start w:val="3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16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  <w:num w:numId="12">
    <w:abstractNumId w:val="12"/>
  </w:num>
  <w:num w:numId="13">
    <w:abstractNumId w:val="18"/>
  </w:num>
  <w:num w:numId="14">
    <w:abstractNumId w:val="14"/>
  </w:num>
  <w:num w:numId="15">
    <w:abstractNumId w:val="17"/>
  </w:num>
  <w:num w:numId="16">
    <w:abstractNumId w:val="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99"/>
    <w:rsid w:val="00000392"/>
    <w:rsid w:val="00002DB5"/>
    <w:rsid w:val="0000332C"/>
    <w:rsid w:val="00005484"/>
    <w:rsid w:val="00006851"/>
    <w:rsid w:val="00007299"/>
    <w:rsid w:val="00012875"/>
    <w:rsid w:val="00016688"/>
    <w:rsid w:val="00022370"/>
    <w:rsid w:val="00024636"/>
    <w:rsid w:val="00026106"/>
    <w:rsid w:val="00026399"/>
    <w:rsid w:val="00026A7F"/>
    <w:rsid w:val="00032EB2"/>
    <w:rsid w:val="00033A3E"/>
    <w:rsid w:val="00036E36"/>
    <w:rsid w:val="00040126"/>
    <w:rsid w:val="00041050"/>
    <w:rsid w:val="00044626"/>
    <w:rsid w:val="000455E0"/>
    <w:rsid w:val="000471A5"/>
    <w:rsid w:val="0004760E"/>
    <w:rsid w:val="000523A0"/>
    <w:rsid w:val="000573B6"/>
    <w:rsid w:val="00057EDB"/>
    <w:rsid w:val="00060B5E"/>
    <w:rsid w:val="00060E0A"/>
    <w:rsid w:val="0007032E"/>
    <w:rsid w:val="00072114"/>
    <w:rsid w:val="00072273"/>
    <w:rsid w:val="00076696"/>
    <w:rsid w:val="00076BCC"/>
    <w:rsid w:val="0008235A"/>
    <w:rsid w:val="000829EE"/>
    <w:rsid w:val="00083D85"/>
    <w:rsid w:val="00084785"/>
    <w:rsid w:val="00092102"/>
    <w:rsid w:val="00092769"/>
    <w:rsid w:val="0009317E"/>
    <w:rsid w:val="000936EA"/>
    <w:rsid w:val="00097DB4"/>
    <w:rsid w:val="000A73C8"/>
    <w:rsid w:val="000A7947"/>
    <w:rsid w:val="000B1EE2"/>
    <w:rsid w:val="000B2257"/>
    <w:rsid w:val="000B53FB"/>
    <w:rsid w:val="000B76BE"/>
    <w:rsid w:val="000C161B"/>
    <w:rsid w:val="000C56F0"/>
    <w:rsid w:val="000C58DD"/>
    <w:rsid w:val="000C722D"/>
    <w:rsid w:val="000D0044"/>
    <w:rsid w:val="000D0892"/>
    <w:rsid w:val="000D1138"/>
    <w:rsid w:val="000D1D38"/>
    <w:rsid w:val="000D42F2"/>
    <w:rsid w:val="000D4907"/>
    <w:rsid w:val="000D5A50"/>
    <w:rsid w:val="000D5A54"/>
    <w:rsid w:val="000D6F56"/>
    <w:rsid w:val="000E0E59"/>
    <w:rsid w:val="000E2D01"/>
    <w:rsid w:val="000F48E8"/>
    <w:rsid w:val="00101581"/>
    <w:rsid w:val="00104A6B"/>
    <w:rsid w:val="00105CFE"/>
    <w:rsid w:val="00105DFC"/>
    <w:rsid w:val="00107B71"/>
    <w:rsid w:val="00107E3E"/>
    <w:rsid w:val="001103FE"/>
    <w:rsid w:val="001156CE"/>
    <w:rsid w:val="001162F3"/>
    <w:rsid w:val="00116D0D"/>
    <w:rsid w:val="00120688"/>
    <w:rsid w:val="001236E3"/>
    <w:rsid w:val="00124BA9"/>
    <w:rsid w:val="00131978"/>
    <w:rsid w:val="00140FBC"/>
    <w:rsid w:val="0015552D"/>
    <w:rsid w:val="00160661"/>
    <w:rsid w:val="00160A05"/>
    <w:rsid w:val="001664C1"/>
    <w:rsid w:val="0017094C"/>
    <w:rsid w:val="00171A14"/>
    <w:rsid w:val="0017757F"/>
    <w:rsid w:val="001817B7"/>
    <w:rsid w:val="001859C4"/>
    <w:rsid w:val="00185CEE"/>
    <w:rsid w:val="00187FC7"/>
    <w:rsid w:val="00191096"/>
    <w:rsid w:val="00191C17"/>
    <w:rsid w:val="001A2A74"/>
    <w:rsid w:val="001A5A22"/>
    <w:rsid w:val="001A66DD"/>
    <w:rsid w:val="001A6B85"/>
    <w:rsid w:val="001B132B"/>
    <w:rsid w:val="001B2A83"/>
    <w:rsid w:val="001B3059"/>
    <w:rsid w:val="001B4C1F"/>
    <w:rsid w:val="001B52F3"/>
    <w:rsid w:val="001B79BB"/>
    <w:rsid w:val="001B7FA6"/>
    <w:rsid w:val="001C2FDD"/>
    <w:rsid w:val="001C4B3E"/>
    <w:rsid w:val="001C5A7B"/>
    <w:rsid w:val="001C5D58"/>
    <w:rsid w:val="001D123D"/>
    <w:rsid w:val="001D1426"/>
    <w:rsid w:val="001E3928"/>
    <w:rsid w:val="001E3B0A"/>
    <w:rsid w:val="001E7D0F"/>
    <w:rsid w:val="001F3D34"/>
    <w:rsid w:val="001F6071"/>
    <w:rsid w:val="001F6D22"/>
    <w:rsid w:val="001F7F19"/>
    <w:rsid w:val="0020437B"/>
    <w:rsid w:val="00205B8E"/>
    <w:rsid w:val="0021031C"/>
    <w:rsid w:val="00216F9F"/>
    <w:rsid w:val="0021705C"/>
    <w:rsid w:val="002233A6"/>
    <w:rsid w:val="00225551"/>
    <w:rsid w:val="00225F9C"/>
    <w:rsid w:val="002262DA"/>
    <w:rsid w:val="002319BF"/>
    <w:rsid w:val="00231FB5"/>
    <w:rsid w:val="00235246"/>
    <w:rsid w:val="0023699B"/>
    <w:rsid w:val="00240C2F"/>
    <w:rsid w:val="00242708"/>
    <w:rsid w:val="00242C0F"/>
    <w:rsid w:val="00244063"/>
    <w:rsid w:val="00245250"/>
    <w:rsid w:val="00247875"/>
    <w:rsid w:val="0025036F"/>
    <w:rsid w:val="0025400A"/>
    <w:rsid w:val="00254B2F"/>
    <w:rsid w:val="00260418"/>
    <w:rsid w:val="00263DA9"/>
    <w:rsid w:val="00266DEA"/>
    <w:rsid w:val="0027162B"/>
    <w:rsid w:val="0027496C"/>
    <w:rsid w:val="002764AC"/>
    <w:rsid w:val="002803EB"/>
    <w:rsid w:val="00280443"/>
    <w:rsid w:val="00284107"/>
    <w:rsid w:val="00287296"/>
    <w:rsid w:val="0029149F"/>
    <w:rsid w:val="002938EE"/>
    <w:rsid w:val="00297998"/>
    <w:rsid w:val="002A19BB"/>
    <w:rsid w:val="002A2B6A"/>
    <w:rsid w:val="002A2FC3"/>
    <w:rsid w:val="002A4603"/>
    <w:rsid w:val="002A4BA7"/>
    <w:rsid w:val="002A6340"/>
    <w:rsid w:val="002A7585"/>
    <w:rsid w:val="002A7CFD"/>
    <w:rsid w:val="002B14D2"/>
    <w:rsid w:val="002B169D"/>
    <w:rsid w:val="002B220E"/>
    <w:rsid w:val="002B3D3A"/>
    <w:rsid w:val="002B51CD"/>
    <w:rsid w:val="002C1519"/>
    <w:rsid w:val="002C20D1"/>
    <w:rsid w:val="002C25AC"/>
    <w:rsid w:val="002D247B"/>
    <w:rsid w:val="002D5219"/>
    <w:rsid w:val="002E14B9"/>
    <w:rsid w:val="002E19EC"/>
    <w:rsid w:val="002E1B76"/>
    <w:rsid w:val="002F0F51"/>
    <w:rsid w:val="002F384C"/>
    <w:rsid w:val="002F3E3E"/>
    <w:rsid w:val="002F4143"/>
    <w:rsid w:val="002F4A77"/>
    <w:rsid w:val="00302462"/>
    <w:rsid w:val="00307BD4"/>
    <w:rsid w:val="00314133"/>
    <w:rsid w:val="00314CA9"/>
    <w:rsid w:val="00323691"/>
    <w:rsid w:val="00323A04"/>
    <w:rsid w:val="00323E06"/>
    <w:rsid w:val="00324472"/>
    <w:rsid w:val="003259AF"/>
    <w:rsid w:val="00327A56"/>
    <w:rsid w:val="0033068E"/>
    <w:rsid w:val="00333D33"/>
    <w:rsid w:val="003429C2"/>
    <w:rsid w:val="0035046E"/>
    <w:rsid w:val="003510BE"/>
    <w:rsid w:val="00355184"/>
    <w:rsid w:val="00355C65"/>
    <w:rsid w:val="00360DF9"/>
    <w:rsid w:val="00361D53"/>
    <w:rsid w:val="00362DDB"/>
    <w:rsid w:val="00365544"/>
    <w:rsid w:val="00367A9D"/>
    <w:rsid w:val="00371DA8"/>
    <w:rsid w:val="003736F6"/>
    <w:rsid w:val="00373E65"/>
    <w:rsid w:val="00374DF5"/>
    <w:rsid w:val="0038037D"/>
    <w:rsid w:val="00380673"/>
    <w:rsid w:val="003807F1"/>
    <w:rsid w:val="00383901"/>
    <w:rsid w:val="00385B47"/>
    <w:rsid w:val="00387D4F"/>
    <w:rsid w:val="003936FB"/>
    <w:rsid w:val="00393A7C"/>
    <w:rsid w:val="00393BCA"/>
    <w:rsid w:val="00396DC6"/>
    <w:rsid w:val="00397A93"/>
    <w:rsid w:val="003A2F05"/>
    <w:rsid w:val="003A3502"/>
    <w:rsid w:val="003A354D"/>
    <w:rsid w:val="003A3D35"/>
    <w:rsid w:val="003A52F8"/>
    <w:rsid w:val="003B097A"/>
    <w:rsid w:val="003B0E19"/>
    <w:rsid w:val="003B1451"/>
    <w:rsid w:val="003B3A39"/>
    <w:rsid w:val="003B7DDD"/>
    <w:rsid w:val="003C76CD"/>
    <w:rsid w:val="003C7C86"/>
    <w:rsid w:val="003D2F8A"/>
    <w:rsid w:val="003D478F"/>
    <w:rsid w:val="003D5657"/>
    <w:rsid w:val="003E2840"/>
    <w:rsid w:val="003E4B98"/>
    <w:rsid w:val="003E6025"/>
    <w:rsid w:val="003F1797"/>
    <w:rsid w:val="003F2782"/>
    <w:rsid w:val="003F454D"/>
    <w:rsid w:val="003F5D4E"/>
    <w:rsid w:val="003F7E5C"/>
    <w:rsid w:val="00401DE8"/>
    <w:rsid w:val="004044D0"/>
    <w:rsid w:val="00406384"/>
    <w:rsid w:val="00407965"/>
    <w:rsid w:val="0041013C"/>
    <w:rsid w:val="0041531B"/>
    <w:rsid w:val="00415383"/>
    <w:rsid w:val="00416DF4"/>
    <w:rsid w:val="00420EC6"/>
    <w:rsid w:val="00421418"/>
    <w:rsid w:val="00422481"/>
    <w:rsid w:val="00424920"/>
    <w:rsid w:val="004263EB"/>
    <w:rsid w:val="00427873"/>
    <w:rsid w:val="004302B6"/>
    <w:rsid w:val="0043070C"/>
    <w:rsid w:val="00432F1F"/>
    <w:rsid w:val="0043336C"/>
    <w:rsid w:val="00435244"/>
    <w:rsid w:val="00440EA8"/>
    <w:rsid w:val="004412C2"/>
    <w:rsid w:val="0044148B"/>
    <w:rsid w:val="0044183C"/>
    <w:rsid w:val="00441876"/>
    <w:rsid w:val="00441B7E"/>
    <w:rsid w:val="00445AB0"/>
    <w:rsid w:val="00450091"/>
    <w:rsid w:val="00450391"/>
    <w:rsid w:val="0045233D"/>
    <w:rsid w:val="00452BE6"/>
    <w:rsid w:val="00453646"/>
    <w:rsid w:val="004565F6"/>
    <w:rsid w:val="00456AAB"/>
    <w:rsid w:val="0046022C"/>
    <w:rsid w:val="0046338F"/>
    <w:rsid w:val="00463A0D"/>
    <w:rsid w:val="00464D02"/>
    <w:rsid w:val="0047056F"/>
    <w:rsid w:val="004715B3"/>
    <w:rsid w:val="004733B8"/>
    <w:rsid w:val="004744E6"/>
    <w:rsid w:val="0048060B"/>
    <w:rsid w:val="00480D9F"/>
    <w:rsid w:val="00483017"/>
    <w:rsid w:val="0048605B"/>
    <w:rsid w:val="00486269"/>
    <w:rsid w:val="00486BE3"/>
    <w:rsid w:val="0049142F"/>
    <w:rsid w:val="00492739"/>
    <w:rsid w:val="00493015"/>
    <w:rsid w:val="00493314"/>
    <w:rsid w:val="004A1944"/>
    <w:rsid w:val="004A1C27"/>
    <w:rsid w:val="004A3851"/>
    <w:rsid w:val="004A4D13"/>
    <w:rsid w:val="004A6CF7"/>
    <w:rsid w:val="004B0F0D"/>
    <w:rsid w:val="004B499F"/>
    <w:rsid w:val="004C0B22"/>
    <w:rsid w:val="004C530E"/>
    <w:rsid w:val="004C6869"/>
    <w:rsid w:val="004D1265"/>
    <w:rsid w:val="004D130A"/>
    <w:rsid w:val="004D7FF2"/>
    <w:rsid w:val="004E1C43"/>
    <w:rsid w:val="004E3D02"/>
    <w:rsid w:val="004E4936"/>
    <w:rsid w:val="004E4AF3"/>
    <w:rsid w:val="004E7A85"/>
    <w:rsid w:val="004F28C4"/>
    <w:rsid w:val="004F6F87"/>
    <w:rsid w:val="00502EC1"/>
    <w:rsid w:val="0050413D"/>
    <w:rsid w:val="00505017"/>
    <w:rsid w:val="0051395A"/>
    <w:rsid w:val="00514C9B"/>
    <w:rsid w:val="00516DB9"/>
    <w:rsid w:val="00516E13"/>
    <w:rsid w:val="00517082"/>
    <w:rsid w:val="005174D3"/>
    <w:rsid w:val="00517F9E"/>
    <w:rsid w:val="00522455"/>
    <w:rsid w:val="00522832"/>
    <w:rsid w:val="005250B4"/>
    <w:rsid w:val="00530376"/>
    <w:rsid w:val="00534484"/>
    <w:rsid w:val="0053453B"/>
    <w:rsid w:val="00535E88"/>
    <w:rsid w:val="005427B4"/>
    <w:rsid w:val="00543752"/>
    <w:rsid w:val="0054434C"/>
    <w:rsid w:val="00551C51"/>
    <w:rsid w:val="005535BD"/>
    <w:rsid w:val="0055670F"/>
    <w:rsid w:val="00560817"/>
    <w:rsid w:val="00564645"/>
    <w:rsid w:val="0056678A"/>
    <w:rsid w:val="005701FB"/>
    <w:rsid w:val="005760FE"/>
    <w:rsid w:val="005775CD"/>
    <w:rsid w:val="00585D0E"/>
    <w:rsid w:val="005A0F83"/>
    <w:rsid w:val="005A2046"/>
    <w:rsid w:val="005A68E1"/>
    <w:rsid w:val="005A724B"/>
    <w:rsid w:val="005B1680"/>
    <w:rsid w:val="005B6A89"/>
    <w:rsid w:val="005B7759"/>
    <w:rsid w:val="005C0C07"/>
    <w:rsid w:val="005C0C9D"/>
    <w:rsid w:val="005C21A2"/>
    <w:rsid w:val="005C34E4"/>
    <w:rsid w:val="005C4C94"/>
    <w:rsid w:val="005C5577"/>
    <w:rsid w:val="005C6968"/>
    <w:rsid w:val="005C7304"/>
    <w:rsid w:val="005C79E2"/>
    <w:rsid w:val="005D07CF"/>
    <w:rsid w:val="005D2BB6"/>
    <w:rsid w:val="005D6204"/>
    <w:rsid w:val="005D7B6A"/>
    <w:rsid w:val="005D7D2B"/>
    <w:rsid w:val="005E0A1F"/>
    <w:rsid w:val="005E19E6"/>
    <w:rsid w:val="005E2972"/>
    <w:rsid w:val="005E2B56"/>
    <w:rsid w:val="005E30AA"/>
    <w:rsid w:val="005E6D15"/>
    <w:rsid w:val="005E6FE4"/>
    <w:rsid w:val="005F0DB8"/>
    <w:rsid w:val="005F2F1F"/>
    <w:rsid w:val="005F5F05"/>
    <w:rsid w:val="005F65A5"/>
    <w:rsid w:val="006015BF"/>
    <w:rsid w:val="0060205E"/>
    <w:rsid w:val="00604E50"/>
    <w:rsid w:val="00611771"/>
    <w:rsid w:val="00615797"/>
    <w:rsid w:val="00617294"/>
    <w:rsid w:val="00620CB7"/>
    <w:rsid w:val="00621621"/>
    <w:rsid w:val="0062218E"/>
    <w:rsid w:val="006227C8"/>
    <w:rsid w:val="00624BE1"/>
    <w:rsid w:val="00632DD0"/>
    <w:rsid w:val="006335AE"/>
    <w:rsid w:val="00635E92"/>
    <w:rsid w:val="00636720"/>
    <w:rsid w:val="00637280"/>
    <w:rsid w:val="006379E6"/>
    <w:rsid w:val="0064065E"/>
    <w:rsid w:val="00642518"/>
    <w:rsid w:val="006442CD"/>
    <w:rsid w:val="00651D2F"/>
    <w:rsid w:val="0065205F"/>
    <w:rsid w:val="00654BF2"/>
    <w:rsid w:val="00657785"/>
    <w:rsid w:val="00660D10"/>
    <w:rsid w:val="00661B00"/>
    <w:rsid w:val="00663A3E"/>
    <w:rsid w:val="006653C2"/>
    <w:rsid w:val="006666C2"/>
    <w:rsid w:val="00666DBE"/>
    <w:rsid w:val="00667A24"/>
    <w:rsid w:val="006708C2"/>
    <w:rsid w:val="00671176"/>
    <w:rsid w:val="006719BC"/>
    <w:rsid w:val="00672784"/>
    <w:rsid w:val="006769A7"/>
    <w:rsid w:val="0068020D"/>
    <w:rsid w:val="006808A2"/>
    <w:rsid w:val="00681494"/>
    <w:rsid w:val="00685636"/>
    <w:rsid w:val="00686801"/>
    <w:rsid w:val="0069044F"/>
    <w:rsid w:val="00690F7E"/>
    <w:rsid w:val="006917AE"/>
    <w:rsid w:val="00691A08"/>
    <w:rsid w:val="00692C4A"/>
    <w:rsid w:val="00694A42"/>
    <w:rsid w:val="00695515"/>
    <w:rsid w:val="006976F5"/>
    <w:rsid w:val="006A24AA"/>
    <w:rsid w:val="006A5402"/>
    <w:rsid w:val="006A6B07"/>
    <w:rsid w:val="006A77FE"/>
    <w:rsid w:val="006B1BF6"/>
    <w:rsid w:val="006B26BC"/>
    <w:rsid w:val="006B33B6"/>
    <w:rsid w:val="006B5109"/>
    <w:rsid w:val="006B5D4E"/>
    <w:rsid w:val="006B6838"/>
    <w:rsid w:val="006C110E"/>
    <w:rsid w:val="006C1965"/>
    <w:rsid w:val="006C215C"/>
    <w:rsid w:val="006C33F5"/>
    <w:rsid w:val="006C39A4"/>
    <w:rsid w:val="006C410E"/>
    <w:rsid w:val="006C5A20"/>
    <w:rsid w:val="006C702E"/>
    <w:rsid w:val="006D0227"/>
    <w:rsid w:val="006D79A5"/>
    <w:rsid w:val="006D7E24"/>
    <w:rsid w:val="006E2250"/>
    <w:rsid w:val="006E2A23"/>
    <w:rsid w:val="006F139D"/>
    <w:rsid w:val="006F29B3"/>
    <w:rsid w:val="006F6697"/>
    <w:rsid w:val="006F7FFA"/>
    <w:rsid w:val="007015AD"/>
    <w:rsid w:val="00701FDE"/>
    <w:rsid w:val="00705AB7"/>
    <w:rsid w:val="00712B26"/>
    <w:rsid w:val="00712C2B"/>
    <w:rsid w:val="00715F69"/>
    <w:rsid w:val="0071648A"/>
    <w:rsid w:val="00717FF7"/>
    <w:rsid w:val="0072283C"/>
    <w:rsid w:val="00725856"/>
    <w:rsid w:val="00725C95"/>
    <w:rsid w:val="007263A8"/>
    <w:rsid w:val="007316F4"/>
    <w:rsid w:val="00732388"/>
    <w:rsid w:val="007332FA"/>
    <w:rsid w:val="00734F51"/>
    <w:rsid w:val="00737BF6"/>
    <w:rsid w:val="007400B4"/>
    <w:rsid w:val="00741537"/>
    <w:rsid w:val="0074291C"/>
    <w:rsid w:val="00747EB3"/>
    <w:rsid w:val="00750EB5"/>
    <w:rsid w:val="007512AF"/>
    <w:rsid w:val="007534DC"/>
    <w:rsid w:val="00757412"/>
    <w:rsid w:val="00760BA4"/>
    <w:rsid w:val="00763C8C"/>
    <w:rsid w:val="007640E3"/>
    <w:rsid w:val="007759FF"/>
    <w:rsid w:val="00776A16"/>
    <w:rsid w:val="00783322"/>
    <w:rsid w:val="00785C35"/>
    <w:rsid w:val="00786DE6"/>
    <w:rsid w:val="0078768C"/>
    <w:rsid w:val="007900E0"/>
    <w:rsid w:val="00791DD9"/>
    <w:rsid w:val="0079282B"/>
    <w:rsid w:val="0079502F"/>
    <w:rsid w:val="00795A1E"/>
    <w:rsid w:val="00796FF8"/>
    <w:rsid w:val="00797051"/>
    <w:rsid w:val="007A0992"/>
    <w:rsid w:val="007A20B3"/>
    <w:rsid w:val="007A48E8"/>
    <w:rsid w:val="007A734B"/>
    <w:rsid w:val="007B1EB9"/>
    <w:rsid w:val="007B50A5"/>
    <w:rsid w:val="007B566C"/>
    <w:rsid w:val="007B68AC"/>
    <w:rsid w:val="007C0799"/>
    <w:rsid w:val="007C2689"/>
    <w:rsid w:val="007C2708"/>
    <w:rsid w:val="007C2798"/>
    <w:rsid w:val="007C51B8"/>
    <w:rsid w:val="007C5DBC"/>
    <w:rsid w:val="007C7149"/>
    <w:rsid w:val="007D1174"/>
    <w:rsid w:val="007D274D"/>
    <w:rsid w:val="007E003D"/>
    <w:rsid w:val="007E0788"/>
    <w:rsid w:val="007E7DE4"/>
    <w:rsid w:val="007F5255"/>
    <w:rsid w:val="007F7287"/>
    <w:rsid w:val="007F73EC"/>
    <w:rsid w:val="007F7538"/>
    <w:rsid w:val="00800593"/>
    <w:rsid w:val="00800C48"/>
    <w:rsid w:val="00801BE7"/>
    <w:rsid w:val="00803525"/>
    <w:rsid w:val="00807A2D"/>
    <w:rsid w:val="0081023C"/>
    <w:rsid w:val="008129E5"/>
    <w:rsid w:val="00814706"/>
    <w:rsid w:val="0081632D"/>
    <w:rsid w:val="00817283"/>
    <w:rsid w:val="008211A5"/>
    <w:rsid w:val="00822164"/>
    <w:rsid w:val="0082289A"/>
    <w:rsid w:val="00822F73"/>
    <w:rsid w:val="008237B8"/>
    <w:rsid w:val="008264D3"/>
    <w:rsid w:val="00826900"/>
    <w:rsid w:val="00826D32"/>
    <w:rsid w:val="0082709D"/>
    <w:rsid w:val="0083018C"/>
    <w:rsid w:val="00830524"/>
    <w:rsid w:val="00832E84"/>
    <w:rsid w:val="008345A2"/>
    <w:rsid w:val="00835965"/>
    <w:rsid w:val="00836563"/>
    <w:rsid w:val="0083714E"/>
    <w:rsid w:val="00837A32"/>
    <w:rsid w:val="00840FB3"/>
    <w:rsid w:val="008423F5"/>
    <w:rsid w:val="00845FB9"/>
    <w:rsid w:val="00853197"/>
    <w:rsid w:val="008555B1"/>
    <w:rsid w:val="008558C4"/>
    <w:rsid w:val="00855BAF"/>
    <w:rsid w:val="008602D1"/>
    <w:rsid w:val="008655D3"/>
    <w:rsid w:val="0086582B"/>
    <w:rsid w:val="00874628"/>
    <w:rsid w:val="00877140"/>
    <w:rsid w:val="0087738F"/>
    <w:rsid w:val="00877EC9"/>
    <w:rsid w:val="00880869"/>
    <w:rsid w:val="00886E11"/>
    <w:rsid w:val="00887EAC"/>
    <w:rsid w:val="00891C58"/>
    <w:rsid w:val="008A06DD"/>
    <w:rsid w:val="008A0951"/>
    <w:rsid w:val="008A0C0B"/>
    <w:rsid w:val="008A1CF8"/>
    <w:rsid w:val="008B11C5"/>
    <w:rsid w:val="008B2AA4"/>
    <w:rsid w:val="008B35A8"/>
    <w:rsid w:val="008B61FF"/>
    <w:rsid w:val="008B7413"/>
    <w:rsid w:val="008C0B2F"/>
    <w:rsid w:val="008C2510"/>
    <w:rsid w:val="008C26FB"/>
    <w:rsid w:val="008C2E42"/>
    <w:rsid w:val="008C5CF0"/>
    <w:rsid w:val="008C6E74"/>
    <w:rsid w:val="008D06A8"/>
    <w:rsid w:val="008D2B2F"/>
    <w:rsid w:val="008D3771"/>
    <w:rsid w:val="008D71CC"/>
    <w:rsid w:val="008E0007"/>
    <w:rsid w:val="008E2447"/>
    <w:rsid w:val="008E529B"/>
    <w:rsid w:val="008F552C"/>
    <w:rsid w:val="008F73C5"/>
    <w:rsid w:val="009024AD"/>
    <w:rsid w:val="00903DD3"/>
    <w:rsid w:val="00904D33"/>
    <w:rsid w:val="009056C3"/>
    <w:rsid w:val="009105E4"/>
    <w:rsid w:val="00912703"/>
    <w:rsid w:val="00913F8F"/>
    <w:rsid w:val="00914315"/>
    <w:rsid w:val="0091738D"/>
    <w:rsid w:val="009205C2"/>
    <w:rsid w:val="00920FB4"/>
    <w:rsid w:val="0092226D"/>
    <w:rsid w:val="00932662"/>
    <w:rsid w:val="00937874"/>
    <w:rsid w:val="009406EB"/>
    <w:rsid w:val="00941916"/>
    <w:rsid w:val="0094341E"/>
    <w:rsid w:val="00947CD9"/>
    <w:rsid w:val="00954D13"/>
    <w:rsid w:val="00956169"/>
    <w:rsid w:val="0095699A"/>
    <w:rsid w:val="00960E6B"/>
    <w:rsid w:val="0096201D"/>
    <w:rsid w:val="00962920"/>
    <w:rsid w:val="00962D87"/>
    <w:rsid w:val="00964FE6"/>
    <w:rsid w:val="009652CB"/>
    <w:rsid w:val="009655EF"/>
    <w:rsid w:val="00967E00"/>
    <w:rsid w:val="00970566"/>
    <w:rsid w:val="00970DB0"/>
    <w:rsid w:val="00971A95"/>
    <w:rsid w:val="009727F5"/>
    <w:rsid w:val="0097441F"/>
    <w:rsid w:val="00974728"/>
    <w:rsid w:val="0097705E"/>
    <w:rsid w:val="0097728C"/>
    <w:rsid w:val="009815C6"/>
    <w:rsid w:val="0098164B"/>
    <w:rsid w:val="00983C47"/>
    <w:rsid w:val="009871C0"/>
    <w:rsid w:val="0099141C"/>
    <w:rsid w:val="009955E1"/>
    <w:rsid w:val="00996D9C"/>
    <w:rsid w:val="009A1A49"/>
    <w:rsid w:val="009A55E5"/>
    <w:rsid w:val="009A637A"/>
    <w:rsid w:val="009B04EB"/>
    <w:rsid w:val="009B24AC"/>
    <w:rsid w:val="009B266C"/>
    <w:rsid w:val="009C352D"/>
    <w:rsid w:val="009C45B2"/>
    <w:rsid w:val="009C60EA"/>
    <w:rsid w:val="009C6518"/>
    <w:rsid w:val="009D49E2"/>
    <w:rsid w:val="009D631B"/>
    <w:rsid w:val="009D65A8"/>
    <w:rsid w:val="009E01B6"/>
    <w:rsid w:val="009E1300"/>
    <w:rsid w:val="009E1EE9"/>
    <w:rsid w:val="009F135D"/>
    <w:rsid w:val="009F1E56"/>
    <w:rsid w:val="009F3A51"/>
    <w:rsid w:val="009F3CB1"/>
    <w:rsid w:val="009F4878"/>
    <w:rsid w:val="009F7E9B"/>
    <w:rsid w:val="00A04DEA"/>
    <w:rsid w:val="00A12495"/>
    <w:rsid w:val="00A12CA9"/>
    <w:rsid w:val="00A16263"/>
    <w:rsid w:val="00A178B1"/>
    <w:rsid w:val="00A23001"/>
    <w:rsid w:val="00A240B9"/>
    <w:rsid w:val="00A257FE"/>
    <w:rsid w:val="00A26E19"/>
    <w:rsid w:val="00A32BCB"/>
    <w:rsid w:val="00A34602"/>
    <w:rsid w:val="00A36BD3"/>
    <w:rsid w:val="00A36F93"/>
    <w:rsid w:val="00A46F85"/>
    <w:rsid w:val="00A47593"/>
    <w:rsid w:val="00A53AC3"/>
    <w:rsid w:val="00A53B33"/>
    <w:rsid w:val="00A609EC"/>
    <w:rsid w:val="00A628E7"/>
    <w:rsid w:val="00A63454"/>
    <w:rsid w:val="00A634F4"/>
    <w:rsid w:val="00A70134"/>
    <w:rsid w:val="00A74C7A"/>
    <w:rsid w:val="00A7615A"/>
    <w:rsid w:val="00A80DEC"/>
    <w:rsid w:val="00A8195A"/>
    <w:rsid w:val="00A81D90"/>
    <w:rsid w:val="00A83A02"/>
    <w:rsid w:val="00A8414F"/>
    <w:rsid w:val="00A843EC"/>
    <w:rsid w:val="00A84C86"/>
    <w:rsid w:val="00A87066"/>
    <w:rsid w:val="00A90C23"/>
    <w:rsid w:val="00A91027"/>
    <w:rsid w:val="00A92CA5"/>
    <w:rsid w:val="00A9548A"/>
    <w:rsid w:val="00A95B8A"/>
    <w:rsid w:val="00A97C4C"/>
    <w:rsid w:val="00AA02CC"/>
    <w:rsid w:val="00AA3805"/>
    <w:rsid w:val="00AB7D66"/>
    <w:rsid w:val="00AC1372"/>
    <w:rsid w:val="00AC45CB"/>
    <w:rsid w:val="00AC61B8"/>
    <w:rsid w:val="00AC7B38"/>
    <w:rsid w:val="00AD0621"/>
    <w:rsid w:val="00AD33A9"/>
    <w:rsid w:val="00AD3800"/>
    <w:rsid w:val="00AD417F"/>
    <w:rsid w:val="00AE299C"/>
    <w:rsid w:val="00AE41D2"/>
    <w:rsid w:val="00AF09DE"/>
    <w:rsid w:val="00AF1DD9"/>
    <w:rsid w:val="00AF412C"/>
    <w:rsid w:val="00B01432"/>
    <w:rsid w:val="00B02456"/>
    <w:rsid w:val="00B03AD8"/>
    <w:rsid w:val="00B04AC1"/>
    <w:rsid w:val="00B055D4"/>
    <w:rsid w:val="00B05CFE"/>
    <w:rsid w:val="00B1035C"/>
    <w:rsid w:val="00B1237A"/>
    <w:rsid w:val="00B1262F"/>
    <w:rsid w:val="00B131C0"/>
    <w:rsid w:val="00B140DD"/>
    <w:rsid w:val="00B1457D"/>
    <w:rsid w:val="00B15766"/>
    <w:rsid w:val="00B158CC"/>
    <w:rsid w:val="00B160CE"/>
    <w:rsid w:val="00B23991"/>
    <w:rsid w:val="00B2463A"/>
    <w:rsid w:val="00B278DB"/>
    <w:rsid w:val="00B31131"/>
    <w:rsid w:val="00B32219"/>
    <w:rsid w:val="00B3297E"/>
    <w:rsid w:val="00B40C1A"/>
    <w:rsid w:val="00B413AA"/>
    <w:rsid w:val="00B41E83"/>
    <w:rsid w:val="00B42FD9"/>
    <w:rsid w:val="00B46BA4"/>
    <w:rsid w:val="00B4798B"/>
    <w:rsid w:val="00B505AA"/>
    <w:rsid w:val="00B5243C"/>
    <w:rsid w:val="00B541C0"/>
    <w:rsid w:val="00B6537A"/>
    <w:rsid w:val="00B66657"/>
    <w:rsid w:val="00B6695C"/>
    <w:rsid w:val="00B67B40"/>
    <w:rsid w:val="00B67D19"/>
    <w:rsid w:val="00B67F98"/>
    <w:rsid w:val="00B748D2"/>
    <w:rsid w:val="00B757A5"/>
    <w:rsid w:val="00B81F13"/>
    <w:rsid w:val="00B874C5"/>
    <w:rsid w:val="00B95E1D"/>
    <w:rsid w:val="00BA05D1"/>
    <w:rsid w:val="00BA78C9"/>
    <w:rsid w:val="00BB2774"/>
    <w:rsid w:val="00BB7A9C"/>
    <w:rsid w:val="00BC0B01"/>
    <w:rsid w:val="00BC1395"/>
    <w:rsid w:val="00BC34A1"/>
    <w:rsid w:val="00BC5868"/>
    <w:rsid w:val="00BC742D"/>
    <w:rsid w:val="00BC7693"/>
    <w:rsid w:val="00BD439B"/>
    <w:rsid w:val="00BD7CF2"/>
    <w:rsid w:val="00BE1F46"/>
    <w:rsid w:val="00BF259B"/>
    <w:rsid w:val="00BF2B4A"/>
    <w:rsid w:val="00BF3506"/>
    <w:rsid w:val="00BF53E5"/>
    <w:rsid w:val="00BF7AEA"/>
    <w:rsid w:val="00C0016B"/>
    <w:rsid w:val="00C02BF9"/>
    <w:rsid w:val="00C037AB"/>
    <w:rsid w:val="00C04F60"/>
    <w:rsid w:val="00C04F88"/>
    <w:rsid w:val="00C13286"/>
    <w:rsid w:val="00C13B3A"/>
    <w:rsid w:val="00C15805"/>
    <w:rsid w:val="00C15BAB"/>
    <w:rsid w:val="00C17E16"/>
    <w:rsid w:val="00C210AF"/>
    <w:rsid w:val="00C3298C"/>
    <w:rsid w:val="00C33CBE"/>
    <w:rsid w:val="00C35709"/>
    <w:rsid w:val="00C44BCC"/>
    <w:rsid w:val="00C50F15"/>
    <w:rsid w:val="00C53A05"/>
    <w:rsid w:val="00C53B4C"/>
    <w:rsid w:val="00C545CD"/>
    <w:rsid w:val="00C62B66"/>
    <w:rsid w:val="00C62D85"/>
    <w:rsid w:val="00C66B2D"/>
    <w:rsid w:val="00C70906"/>
    <w:rsid w:val="00C71A46"/>
    <w:rsid w:val="00C71AE9"/>
    <w:rsid w:val="00C71CBC"/>
    <w:rsid w:val="00C747EB"/>
    <w:rsid w:val="00C75139"/>
    <w:rsid w:val="00C76075"/>
    <w:rsid w:val="00C849D6"/>
    <w:rsid w:val="00C90250"/>
    <w:rsid w:val="00C95E55"/>
    <w:rsid w:val="00C95FEC"/>
    <w:rsid w:val="00C9685A"/>
    <w:rsid w:val="00C974F9"/>
    <w:rsid w:val="00CA67DC"/>
    <w:rsid w:val="00CA6D05"/>
    <w:rsid w:val="00CB011B"/>
    <w:rsid w:val="00CB02AC"/>
    <w:rsid w:val="00CB7292"/>
    <w:rsid w:val="00CB77D7"/>
    <w:rsid w:val="00CC0073"/>
    <w:rsid w:val="00CC0CEC"/>
    <w:rsid w:val="00CC50E9"/>
    <w:rsid w:val="00CC59CC"/>
    <w:rsid w:val="00CC62C4"/>
    <w:rsid w:val="00CC6A98"/>
    <w:rsid w:val="00CC6FE5"/>
    <w:rsid w:val="00CD0E51"/>
    <w:rsid w:val="00CD139E"/>
    <w:rsid w:val="00CD31B2"/>
    <w:rsid w:val="00CD4771"/>
    <w:rsid w:val="00CD570D"/>
    <w:rsid w:val="00CD7AA3"/>
    <w:rsid w:val="00CD7BB4"/>
    <w:rsid w:val="00CD7E85"/>
    <w:rsid w:val="00CE2372"/>
    <w:rsid w:val="00CE2D6E"/>
    <w:rsid w:val="00CE5AF5"/>
    <w:rsid w:val="00CE60CE"/>
    <w:rsid w:val="00CE708E"/>
    <w:rsid w:val="00CF2661"/>
    <w:rsid w:val="00CF2F8D"/>
    <w:rsid w:val="00CF3F92"/>
    <w:rsid w:val="00CF6353"/>
    <w:rsid w:val="00D0415F"/>
    <w:rsid w:val="00D06830"/>
    <w:rsid w:val="00D06F9F"/>
    <w:rsid w:val="00D1116D"/>
    <w:rsid w:val="00D14056"/>
    <w:rsid w:val="00D17A91"/>
    <w:rsid w:val="00D2068F"/>
    <w:rsid w:val="00D2372C"/>
    <w:rsid w:val="00D2376D"/>
    <w:rsid w:val="00D23F31"/>
    <w:rsid w:val="00D26262"/>
    <w:rsid w:val="00D3027B"/>
    <w:rsid w:val="00D30866"/>
    <w:rsid w:val="00D312F0"/>
    <w:rsid w:val="00D330F1"/>
    <w:rsid w:val="00D36624"/>
    <w:rsid w:val="00D36772"/>
    <w:rsid w:val="00D40C51"/>
    <w:rsid w:val="00D434A3"/>
    <w:rsid w:val="00D45FBC"/>
    <w:rsid w:val="00D46AEC"/>
    <w:rsid w:val="00D4793F"/>
    <w:rsid w:val="00D511C3"/>
    <w:rsid w:val="00D51297"/>
    <w:rsid w:val="00D5166A"/>
    <w:rsid w:val="00D53F1F"/>
    <w:rsid w:val="00D602C9"/>
    <w:rsid w:val="00D61DDB"/>
    <w:rsid w:val="00D65A90"/>
    <w:rsid w:val="00D66377"/>
    <w:rsid w:val="00D71C42"/>
    <w:rsid w:val="00D73FD0"/>
    <w:rsid w:val="00D80DE1"/>
    <w:rsid w:val="00D8181B"/>
    <w:rsid w:val="00D8358F"/>
    <w:rsid w:val="00D84205"/>
    <w:rsid w:val="00D91097"/>
    <w:rsid w:val="00D95178"/>
    <w:rsid w:val="00DA1066"/>
    <w:rsid w:val="00DA2F07"/>
    <w:rsid w:val="00DA4EB9"/>
    <w:rsid w:val="00DA55BA"/>
    <w:rsid w:val="00DA6987"/>
    <w:rsid w:val="00DB0DD1"/>
    <w:rsid w:val="00DB5111"/>
    <w:rsid w:val="00DC0BE7"/>
    <w:rsid w:val="00DC4B23"/>
    <w:rsid w:val="00DC6986"/>
    <w:rsid w:val="00DC72FA"/>
    <w:rsid w:val="00DD0211"/>
    <w:rsid w:val="00DE51AD"/>
    <w:rsid w:val="00DF09B6"/>
    <w:rsid w:val="00DF0D56"/>
    <w:rsid w:val="00DF1A20"/>
    <w:rsid w:val="00DF22F8"/>
    <w:rsid w:val="00DF4050"/>
    <w:rsid w:val="00DF409C"/>
    <w:rsid w:val="00DF4726"/>
    <w:rsid w:val="00DF516D"/>
    <w:rsid w:val="00DF5A49"/>
    <w:rsid w:val="00DF5B15"/>
    <w:rsid w:val="00E02E60"/>
    <w:rsid w:val="00E05731"/>
    <w:rsid w:val="00E05767"/>
    <w:rsid w:val="00E05DE7"/>
    <w:rsid w:val="00E075C5"/>
    <w:rsid w:val="00E1231F"/>
    <w:rsid w:val="00E17396"/>
    <w:rsid w:val="00E22AE7"/>
    <w:rsid w:val="00E25195"/>
    <w:rsid w:val="00E26020"/>
    <w:rsid w:val="00E303B1"/>
    <w:rsid w:val="00E35881"/>
    <w:rsid w:val="00E36F56"/>
    <w:rsid w:val="00E3758D"/>
    <w:rsid w:val="00E37BBE"/>
    <w:rsid w:val="00E37E6C"/>
    <w:rsid w:val="00E41086"/>
    <w:rsid w:val="00E44284"/>
    <w:rsid w:val="00E44E16"/>
    <w:rsid w:val="00E45099"/>
    <w:rsid w:val="00E46D42"/>
    <w:rsid w:val="00E50B10"/>
    <w:rsid w:val="00E52095"/>
    <w:rsid w:val="00E52293"/>
    <w:rsid w:val="00E54D3E"/>
    <w:rsid w:val="00E550CF"/>
    <w:rsid w:val="00E57AFF"/>
    <w:rsid w:val="00E6195C"/>
    <w:rsid w:val="00E61E80"/>
    <w:rsid w:val="00E62ED3"/>
    <w:rsid w:val="00E63BED"/>
    <w:rsid w:val="00E6487E"/>
    <w:rsid w:val="00E65A35"/>
    <w:rsid w:val="00E66ADE"/>
    <w:rsid w:val="00E72B10"/>
    <w:rsid w:val="00E770E0"/>
    <w:rsid w:val="00E830F2"/>
    <w:rsid w:val="00E90D6A"/>
    <w:rsid w:val="00E92522"/>
    <w:rsid w:val="00EA02C6"/>
    <w:rsid w:val="00EA23AD"/>
    <w:rsid w:val="00EA2764"/>
    <w:rsid w:val="00EB0738"/>
    <w:rsid w:val="00EB1E6A"/>
    <w:rsid w:val="00EB289C"/>
    <w:rsid w:val="00EB3051"/>
    <w:rsid w:val="00EB3FC8"/>
    <w:rsid w:val="00EB4CBC"/>
    <w:rsid w:val="00EC193E"/>
    <w:rsid w:val="00EC38C1"/>
    <w:rsid w:val="00EC4624"/>
    <w:rsid w:val="00EC6F2E"/>
    <w:rsid w:val="00ED75FB"/>
    <w:rsid w:val="00EE117C"/>
    <w:rsid w:val="00EE22B9"/>
    <w:rsid w:val="00EE3776"/>
    <w:rsid w:val="00EE5B5B"/>
    <w:rsid w:val="00EF0D08"/>
    <w:rsid w:val="00EF46AC"/>
    <w:rsid w:val="00F01A5E"/>
    <w:rsid w:val="00F02A8B"/>
    <w:rsid w:val="00F02C36"/>
    <w:rsid w:val="00F04761"/>
    <w:rsid w:val="00F13E74"/>
    <w:rsid w:val="00F1457E"/>
    <w:rsid w:val="00F25614"/>
    <w:rsid w:val="00F26090"/>
    <w:rsid w:val="00F30A6F"/>
    <w:rsid w:val="00F40D43"/>
    <w:rsid w:val="00F44114"/>
    <w:rsid w:val="00F4472F"/>
    <w:rsid w:val="00F4633A"/>
    <w:rsid w:val="00F468DA"/>
    <w:rsid w:val="00F50BCA"/>
    <w:rsid w:val="00F53075"/>
    <w:rsid w:val="00F56513"/>
    <w:rsid w:val="00F56C2D"/>
    <w:rsid w:val="00F60451"/>
    <w:rsid w:val="00F61BE6"/>
    <w:rsid w:val="00F6650B"/>
    <w:rsid w:val="00F71A25"/>
    <w:rsid w:val="00F72A92"/>
    <w:rsid w:val="00F77DC0"/>
    <w:rsid w:val="00F803F6"/>
    <w:rsid w:val="00F813C3"/>
    <w:rsid w:val="00F81943"/>
    <w:rsid w:val="00F84811"/>
    <w:rsid w:val="00F84907"/>
    <w:rsid w:val="00F96CDA"/>
    <w:rsid w:val="00F96ED1"/>
    <w:rsid w:val="00F97B39"/>
    <w:rsid w:val="00FA4253"/>
    <w:rsid w:val="00FB5C1D"/>
    <w:rsid w:val="00FB635F"/>
    <w:rsid w:val="00FB6677"/>
    <w:rsid w:val="00FC1375"/>
    <w:rsid w:val="00FC1618"/>
    <w:rsid w:val="00FC2E1F"/>
    <w:rsid w:val="00FC311E"/>
    <w:rsid w:val="00FD1059"/>
    <w:rsid w:val="00FD2752"/>
    <w:rsid w:val="00FD3048"/>
    <w:rsid w:val="00FD742B"/>
    <w:rsid w:val="00FE21A2"/>
    <w:rsid w:val="00FE35DD"/>
    <w:rsid w:val="00FF044E"/>
    <w:rsid w:val="00FF2235"/>
    <w:rsid w:val="00FF3127"/>
    <w:rsid w:val="00FF40C9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EB7A84-F71F-4A08-91FA-D3763E31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D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4D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35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-Accent5">
    <w:name w:val="Medium Grid 2 Accent 5"/>
    <w:basedOn w:val="TableNormal"/>
    <w:uiPriority w:val="68"/>
    <w:rsid w:val="001B52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1B52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Shading-Accent3">
    <w:name w:val="Colorful Shading Accent 3"/>
    <w:basedOn w:val="TableNormal"/>
    <w:uiPriority w:val="71"/>
    <w:rsid w:val="001B52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Default">
    <w:name w:val="Default"/>
    <w:rsid w:val="00EE11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Footnote Text Blue,Footnote Text1,Char,fn,FOOTNOTES,single space,footnote text,ADB,Footnote Text Char Char Char,Footnote Text Char Char,ft,Tegn1,Tegn1 Char,Char Char Char,Footnote Text Char2 Char Char,Footnote Text Char Char2 Char Char, Ch"/>
    <w:basedOn w:val="Normal"/>
    <w:link w:val="FootnoteTextChar"/>
    <w:unhideWhenUsed/>
    <w:qFormat/>
    <w:rsid w:val="00FB5C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Blue Char,Footnote Text1 Char,Char Char,fn Char,FOOTNOTES Char,single space Char,footnote text Char,ADB Char,Footnote Text Char Char Char Char,Footnote Text Char Char Char1,ft Char,Tegn1 Char1,Tegn1 Char Char, Ch Char"/>
    <w:basedOn w:val="DefaultParagraphFont"/>
    <w:link w:val="FootnoteText"/>
    <w:uiPriority w:val="8"/>
    <w:rsid w:val="00FB5C1D"/>
    <w:rPr>
      <w:sz w:val="20"/>
      <w:szCs w:val="20"/>
    </w:rPr>
  </w:style>
  <w:style w:type="character" w:styleId="FootnoteReference">
    <w:name w:val="footnote reference"/>
    <w:aliases w:val="ftref,Footnote Reference Superscript,Footnote Reference Number,Footnote Reference_LVL6,Footnote Reference_LVL61,Footnote Reference_LVL62,Footnote Reference_LVL63,Footnote Reference_LVL64,16 Point,Superscript 6 Point,Знак сноски-FN,fr"/>
    <w:basedOn w:val="DefaultParagraphFont"/>
    <w:unhideWhenUsed/>
    <w:rsid w:val="00FB5C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5C1D"/>
    <w:rPr>
      <w:color w:val="0000FF" w:themeColor="hyperlink"/>
      <w:u w:val="single"/>
    </w:rPr>
  </w:style>
  <w:style w:type="paragraph" w:customStyle="1" w:styleId="5Normal">
    <w:name w:val="5 Normal"/>
    <w:basedOn w:val="Normal"/>
    <w:link w:val="5NormalChar"/>
    <w:rsid w:val="006727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eastAsia="Times New Roman" w:hAnsi="Verdana" w:cs="Times New Roman"/>
      <w:spacing w:val="-2"/>
      <w:sz w:val="20"/>
      <w:szCs w:val="24"/>
    </w:rPr>
  </w:style>
  <w:style w:type="character" w:customStyle="1" w:styleId="5NormalChar">
    <w:name w:val="5 Normal Char"/>
    <w:link w:val="5Normal"/>
    <w:locked/>
    <w:rsid w:val="00672784"/>
    <w:rPr>
      <w:rFonts w:ascii="Verdana" w:eastAsia="Times New Roman" w:hAnsi="Verdana" w:cs="Times New Roman"/>
      <w:spacing w:val="-2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54D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4D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954D1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54D13"/>
    <w:rPr>
      <w:rFonts w:ascii="Calibri" w:eastAsia="Calibri" w:hAnsi="Calibri" w:cs="Times New Roman"/>
      <w:lang w:val="bs-Latn-BA"/>
    </w:rPr>
  </w:style>
  <w:style w:type="table" w:customStyle="1" w:styleId="LightShading1">
    <w:name w:val="Light Shading1"/>
    <w:basedOn w:val="TableNormal"/>
    <w:uiPriority w:val="60"/>
    <w:rsid w:val="009419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0823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235A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A92CA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E35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35046E"/>
    <w:pPr>
      <w:spacing w:after="100"/>
      <w:ind w:left="440"/>
    </w:pPr>
  </w:style>
  <w:style w:type="table" w:customStyle="1" w:styleId="LightShading-Accent11">
    <w:name w:val="Light Shading - Accent 11"/>
    <w:basedOn w:val="TableNormal"/>
    <w:uiPriority w:val="60"/>
    <w:rsid w:val="007B1EB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34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8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44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4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4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484"/>
    <w:rPr>
      <w:b/>
      <w:bCs/>
      <w:sz w:val="20"/>
      <w:szCs w:val="20"/>
    </w:rPr>
  </w:style>
  <w:style w:type="paragraph" w:customStyle="1" w:styleId="CharChar1CharCharCharCharChar">
    <w:name w:val="Char Char1 Char Char Char Char Char"/>
    <w:basedOn w:val="Normal"/>
    <w:rsid w:val="002A63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D1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23D"/>
  </w:style>
  <w:style w:type="paragraph" w:styleId="Footer">
    <w:name w:val="footer"/>
    <w:basedOn w:val="Normal"/>
    <w:link w:val="FooterChar"/>
    <w:uiPriority w:val="99"/>
    <w:unhideWhenUsed/>
    <w:rsid w:val="001D1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23D"/>
  </w:style>
  <w:style w:type="paragraph" w:customStyle="1" w:styleId="Cubicles">
    <w:name w:val="Cubicles"/>
    <w:rsid w:val="00AD0621"/>
    <w:rPr>
      <w:lang w:val="en-US" w:eastAsia="ja-JP"/>
    </w:rPr>
  </w:style>
  <w:style w:type="paragraph" w:styleId="NoSpacing">
    <w:name w:val="No Spacing"/>
    <w:link w:val="NoSpacingChar"/>
    <w:uiPriority w:val="1"/>
    <w:qFormat/>
    <w:rsid w:val="0021031C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1031C"/>
    <w:rPr>
      <w:lang w:val="en-US" w:eastAsia="en-US"/>
    </w:rPr>
  </w:style>
  <w:style w:type="paragraph" w:styleId="NormalWeb">
    <w:name w:val="Normal (Web)"/>
    <w:basedOn w:val="Normal"/>
    <w:uiPriority w:val="99"/>
    <w:unhideWhenUsed/>
    <w:rsid w:val="0079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image" Target="media/image6.emf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file:///C:\Users\sbezdrob\Desktop\Smjernice%20ekonomske%20i%20fiskalne%20politike%20(2018-2020).docx" TargetMode="External"/><Relationship Id="rId17" Type="http://schemas.openxmlformats.org/officeDocument/2006/relationships/image" Target="media/image5.emf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sbezdrob\Desktop\Smjernice%20ekonomske%20i%20fiskalne%20politike%20(2018-2020).docx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hyperlink" Target="file:///C:\Users\sbezdrob\Desktop\Smjernice%20ekonomske%20i%20fiskalne%20politike%20(2018-2020).docx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file:///C:\Users\sbezdrob\Desktop\Smjernice%20ekonomske%20i%20fiskalne%20politike%20(2018-2020).docx" TargetMode="External"/><Relationship Id="rId14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ic.ba/bs/compact-invest-ulaze-50-mil-km-u-izgradnju-kompleksa-sarajevo-waves-na-ilidzi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Sarajevo, maj 2017. godine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204A41-50F8-48DF-A660-041D58C9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25</Pages>
  <Words>8471</Words>
  <Characters>48288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SMJERNICE EKONOMSKE I FISKALNE POLITIKE ZA PERIOD 2018. – 2020.</vt:lpstr>
    </vt:vector>
  </TitlesOfParts>
  <Company>Hewlett-Packard Company</Company>
  <LinksUpToDate>false</LinksUpToDate>
  <CharactersWithSpaces>56646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SMJERNICE EKONOMSKE I FISKALNE POLITIKE ZA PERIOD 2018. – 2020.</dc:title>
  <dc:creator>jasna vukasovic</dc:creator>
  <cp:lastModifiedBy>Sabina Bezdrob</cp:lastModifiedBy>
  <cp:revision>382</cp:revision>
  <cp:lastPrinted>2017-05-17T13:45:00Z</cp:lastPrinted>
  <dcterms:created xsi:type="dcterms:W3CDTF">2016-05-26T09:13:00Z</dcterms:created>
  <dcterms:modified xsi:type="dcterms:W3CDTF">2017-05-17T13:45:00Z</dcterms:modified>
</cp:coreProperties>
</file>